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begin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the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out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had an inconsistent abundance profile across pretreatment groups.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(refer to Materials &amp; Methods).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untreated animals and antibiotic-treated, mock-infected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carbohydrate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 during antibiotic treatment. This molecule is byproduct of amino acid catabolism and is typically recycled under normal conditions</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itself alters each susceptible cecal metabolome.</w:t>
      </w:r>
      <w:r>
        <w:t xml:space="preserve"> </w:t>
      </w:r>
      <w:r>
        <w:t xml:space="preserve">Following the changes to the cecal metabolome in response to antibiotic treatment in mock-infected animals, we assessed the degree to which</w:t>
      </w:r>
      <w:r>
        <w:t xml:space="preserve"> </w:t>
      </w:r>
      <w:r>
        <w:rPr>
          <w:i/>
        </w:rPr>
        <w:t xml:space="preserve">C. difficile</w:t>
      </w:r>
      <w:r>
        <w:t xml:space="preserve"> </w:t>
      </w:r>
      <w:r>
        <w:t xml:space="preserve">colonization altered the cecal metabolome of antibiotic-treated animals. We hypothesized that the introduction of</w:t>
      </w:r>
      <w:r>
        <w:t xml:space="preserve"> </w:t>
      </w:r>
      <w:r>
        <w:rPr>
          <w:i/>
        </w:rPr>
        <w:t xml:space="preserve">C. difficile</w:t>
      </w:r>
      <w:r>
        <w:t xml:space="preserve"> </w:t>
      </w:r>
      <w:r>
        <w:t xml:space="preserve">would impact the metabolome either through signatures of its own metabolism or by causing a shift in the metabolism of other members in the surrounding community. First, we focused on identifying conserved metabolic signatures of infection across all treatment groups together. In a similar approach as the previous analysis, we employed ordination of Bray-Curtis dissimilarity of mock-infected and</w:t>
      </w:r>
      <w:r>
        <w:t xml:space="preserve"> </w:t>
      </w:r>
      <w:r>
        <w:rPr>
          <w:i/>
        </w:rPr>
        <w:t xml:space="preserve">C. difficile</w:t>
      </w:r>
      <w:r>
        <w:t xml:space="preserve">-infected metabolomes and found no difference between infected and uninfected conditions in the pooled analysis (</w:t>
      </w:r>
      <w:r>
        <w:rPr>
          <w:i/>
        </w:rPr>
        <w:t xml:space="preserve">p</w:t>
      </w:r>
      <w:r>
        <w:t xml:space="preserve"> </w:t>
      </w:r>
      <w:r>
        <w:t xml:space="preserve">= 0.075; Fig. S3A). We moved on to calculate the within-group dissimilarities for each individual antibiotic treatment group. We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by applying a similar random forest analysis as before. As in the previous odination analysis, we first we interested in global markers of infection that were consistent across all infection models.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Next we used this technique to identify the metabolites that discriminate between infected and uninfected metabolomes within each treatment group separately. In agreement with the ordination analysis from Figure 4a-4c, random forest was only able to reliably classify infected mice in streptomycin and cefoperazone treatment while clindamycin maintained a high out-of-bag error (OOB =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environemtn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gene outliers of expression that were a shorter distance from even expression in uninfected and infection conditions than either of the other antibiotic groups.</w:t>
      </w:r>
    </w:p>
    <w:p>
      <w:pPr>
        <w:pStyle w:val="BodyText"/>
      </w:pPr>
      <w:r>
        <w:t xml:space="preserve">Incorporation of the genes-level taxonomic information for each transcript revealed that outlier genes came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normal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even number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[42]</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[19,43]</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[44]</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[47]</w:t>
      </w:r>
      <w:r>
        <w:t xml:space="preserve"> </w:t>
      </w:r>
      <w:r>
        <w:t xml:space="preserve">on a per library basis. Reads were quality trimmed using Sickle</w:t>
      </w:r>
      <w:r>
        <w:t xml:space="preserve"> </w:t>
      </w:r>
      <w: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t xml:space="preserve"> </w:t>
      </w:r>
      <w:r>
        <w:t xml:space="preserve">[50]</w:t>
      </w:r>
      <w:r>
        <w:t xml:space="preserve"> </w:t>
      </w:r>
      <w:r>
        <w:t xml:space="preserve">using Diamond implementation of BLASTp</w:t>
      </w:r>
      <w:r>
        <w:t xml:space="preserve"> </w:t>
      </w:r>
      <w: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A more detailed description of the procedure, was described previously</w:t>
      </w:r>
      <w:r>
        <w:t xml:space="preserve"> </w:t>
      </w:r>
      <w:r>
        <w:t xml:space="preserve">[19]</w:t>
      </w:r>
      <w: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[54]</w:t>
      </w:r>
      <w:r>
        <w:t xml:space="preserve">, with the informative threshold of MDAs greater than the abolute value of the lowest MDA defined by</w:t>
      </w:r>
      <w:r>
        <w:t xml:space="preserve"> </w:t>
      </w:r>
      <w: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bioRxiv. 2017;</w:t>
      </w:r>
      <w:r>
        <w:t xml:space="preserve"> </w:t>
      </w:r>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Reeves AE, Koenigsknecht MJ, Bergin IL, Young VB. Suppression of Clostridium difficile in the gastrointestinal tracts of germfree mice inoculated with a murine isolate from the family Lachnospiraceae. Infection and Immunity. 2012;80: 3786–3794. doi:</w:t>
      </w:r>
      <w:hyperlink r:id="rId68">
        <w:r>
          <w:rPr>
            <w:rStyle w:val="Hyperlink"/>
          </w:rPr>
          <w:t xml:space="preserve">10.1128/IAI.00647-12</w:t>
        </w:r>
      </w:hyperlink>
    </w:p>
    <w:p>
      <w:pPr>
        <w:pStyle w:val="Bibliography"/>
      </w:pPr>
      <w:r>
        <w:t xml:space="preserve">39. Lawley TD, Clare S, Walker AW, Stares MD, Connor TR, Raisen C, et al. Targeted Restoration of the Intestinal Microbiota with a Simple, Defined Bacteriotherapy Resolves Relapsing Clostridium difficile Disease in Mice. PLoS Pathogens. 2012;8. doi:</w:t>
      </w:r>
      <w:hyperlink r:id="rId69">
        <w:r>
          <w:rPr>
            <w:rStyle w:val="Hyperlink"/>
          </w:rPr>
          <w:t xml:space="preserve">10.1371/journal.ppat.1002995</w:t>
        </w:r>
      </w:hyperlink>
    </w:p>
    <w:p>
      <w:pPr>
        <w:pStyle w:val="Bibliography"/>
      </w:pPr>
      <w:r>
        <w:t xml:space="preserve">40. Petrof EO, Gloor GB, Vanner SJ, Weese SJ, Carter D, Daigneault MC, et al. Stool substitute transplant therapy for the eradication of Clostridium difficile infection: ‘RePOOPulating’ the gut. Microbiome. 2013;1: 3. doi:</w:t>
      </w:r>
      <w:hyperlink r:id="rId70">
        <w:r>
          <w:rPr>
            <w:rStyle w:val="Hyperlink"/>
          </w:rPr>
          <w:t xml:space="preserve">10.1186/2049-2618-1-3</w:t>
        </w:r>
      </w:hyperlink>
    </w:p>
    <w:p>
      <w:pPr>
        <w:pStyle w:val="Bibliography"/>
      </w:pPr>
      <w:r>
        <w:t xml:space="preserve">41. Adlerberth I, Huang H, Lindberg E, Åberg N, Hesselmar B, Saalman R, et al. Toxin-Producing clostridium difficile strains as long-term gut colonizers in healthy infants. Journal of Clinical Microbiology. 2014;52: 173–179. doi:</w:t>
      </w:r>
      <w:hyperlink r:id="rId71">
        <w:r>
          <w:rPr>
            <w:rStyle w:val="Hyperlink"/>
          </w:rPr>
          <w:t xml:space="preserve">10.1128/JCM.01701-13</w:t>
        </w:r>
      </w:hyperlink>
    </w:p>
    <w:p>
      <w:pPr>
        <w:pStyle w:val="Bibliography"/>
      </w:pPr>
      <w:r>
        <w:t xml:space="preserve">42. Wilson KH, Kennedy MJ, Fekety FR. Use of sodium taurocholate to enhance spore recovery on a medium selective for Clostridium difficile. Journal of Clinical Microbiology. 1982;15: 443–446.</w:t>
      </w:r>
      <w:r>
        <w:t xml:space="preserve"> </w:t>
      </w:r>
    </w:p>
    <w:p>
      <w:pPr>
        <w:pStyle w:val="Bibliography"/>
      </w:pPr>
      <w:r>
        <w:t xml:space="preserve">43.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2">
        <w:r>
          <w:rPr>
            <w:rStyle w:val="Hyperlink"/>
          </w:rPr>
          <w:t xml:space="preserve">10.1128/IAI.02561-14</w:t>
        </w:r>
      </w:hyperlink>
    </w:p>
    <w:p>
      <w:pPr>
        <w:pStyle w:val="Bibliography"/>
      </w:pPr>
      <w:r>
        <w:t xml:space="preserve">44. Kozich J( of M, Schloss P. 16S Sequencing with the Illumina MiSeq Personal Sequencer. University of Michigan Health System SOP. 2013;3.1: 1–16.</w:t>
      </w:r>
      <w:r>
        <w:t xml:space="preserve"> </w:t>
      </w:r>
    </w:p>
    <w:p>
      <w:pPr>
        <w:pStyle w:val="Bibliography"/>
      </w:pPr>
      <w:r>
        <w:t xml:space="preserve">45. Lopez-Medina E, Neubauer MM, Pier GB, Koh AY. RNA isolation of Pseudomonas aeruginosa colonizing the murine gastrointestinal tract. Journal of visualized experiments : JoVE. 2011; 6–9. doi:</w:t>
      </w:r>
      <w:hyperlink r:id="rId73">
        <w:r>
          <w:rPr>
            <w:rStyle w:val="Hyperlink"/>
          </w:rPr>
          <w:t xml:space="preserve">10.3791/3293</w:t>
        </w:r>
      </w:hyperlink>
    </w:p>
    <w:p>
      <w:pPr>
        <w:pStyle w:val="Bibliography"/>
      </w:pPr>
      <w:r>
        <w:t xml:space="preserve">46. Franzosa EA, Morgan XC, Segata N, Waldron L, Reyes J, Earl AM, et al. Relating the metatranscriptome and metagenome of the human gut. Proceedings of the National Academy of Sciences. 2014;111: E2329–E2338. doi:</w:t>
      </w:r>
      <w:hyperlink r:id="rId74">
        <w:r>
          <w:rPr>
            <w:rStyle w:val="Hyperlink"/>
          </w:rPr>
          <w:t xml:space="preserve">10.1073/pnas.1319284111</w:t>
        </w:r>
      </w:hyperlink>
    </w:p>
    <w:p>
      <w:pPr>
        <w:pStyle w:val="Bibliography"/>
      </w:pPr>
      <w:r>
        <w:t xml:space="preserve">47. Martin M. Cutadapt removes adapter sequences from high-throughput sequencing reads. EMBnet. 2011;17: 10. doi:</w:t>
      </w:r>
      <w:hyperlink r:id="rId75">
        <w:r>
          <w:rPr>
            <w:rStyle w:val="Hyperlink"/>
          </w:rPr>
          <w:t xml:space="preserve">10.14806/ej.17.1.200</w:t>
        </w:r>
      </w:hyperlink>
    </w:p>
    <w:p>
      <w:pPr>
        <w:pStyle w:val="Bibliography"/>
      </w:pPr>
      <w:r>
        <w:t xml:space="preserve">48. Joshi N, Fass J. Sickle: A sliding-window, adaptive, quality-based trimming tool for FastQ files (Version 1.33) [Software]. Available at https://githubcom/najoshi/sickle. 2011; 2011.</w:t>
      </w:r>
      <w:r>
        <w:t xml:space="preserve"> </w:t>
      </w:r>
    </w:p>
    <w:p>
      <w:pPr>
        <w:pStyle w:val="Bibliography"/>
      </w:pPr>
      <w:r>
        <w:t xml:space="preserve">49. Li D, Liu CM, Luo R, Sadakane K, Lam TW. MEGAHIT: An ultra-fast single-node solution for large and complex metagenomics assembly via succinct de Bruijn graph. Bioinformatics. 2014;31: 1674–1676. doi:</w:t>
      </w:r>
      <w:hyperlink r:id="rId76">
        <w:r>
          <w:rPr>
            <w:rStyle w:val="Hyperlink"/>
          </w:rPr>
          <w:t xml:space="preserve">10.1093/bioinformatics/btv033</w:t>
        </w:r>
      </w:hyperlink>
    </w:p>
    <w:p>
      <w:pPr>
        <w:pStyle w:val="Bibliography"/>
      </w:pPr>
      <w:r>
        <w:t xml:space="preserve">50. Ogata H, Goto S, Sato K, Fujibuchi W, Bono H, Kanehisa M. KEGG: Kyoto encyclopedia of genes and genomes. 1999. pp. 29–34. doi:</w:t>
      </w:r>
      <w:hyperlink r:id="rId77">
        <w:r>
          <w:rPr>
            <w:rStyle w:val="Hyperlink"/>
          </w:rPr>
          <w:t xml:space="preserve">10.1093/nar/27.1.29</w:t>
        </w:r>
      </w:hyperlink>
    </w:p>
    <w:p>
      <w:pPr>
        <w:pStyle w:val="Bibliography"/>
      </w:pPr>
      <w:r>
        <w:t xml:space="preserve">51. Buchfink B, Xie C, Huson DH. Fast and sensitive protein alignment using DIAMOND. Nature methods. 2015;12: 59–60. doi:</w:t>
      </w:r>
      <w:hyperlink r:id="rId78">
        <w:r>
          <w:rPr>
            <w:rStyle w:val="Hyperlink"/>
          </w:rPr>
          <w:t xml:space="preserve">10.1038/nmeth.3176</w:t>
        </w:r>
      </w:hyperlink>
    </w:p>
    <w:p>
      <w:pPr>
        <w:pStyle w:val="Bibliography"/>
      </w:pPr>
      <w:r>
        <w:t xml:space="preserve">52. Langmead B, Salzberg SL. Fast gapped-read alignment with Bowtie 2. Nature methods. 2012;9: 357–9. doi:</w:t>
      </w:r>
      <w:hyperlink r:id="rId79">
        <w:r>
          <w:rPr>
            <w:rStyle w:val="Hyperlink"/>
          </w:rPr>
          <w:t xml:space="preserve">10.1038/nmeth.1923</w:t>
        </w:r>
      </w:hyperlink>
    </w:p>
    <w:p>
      <w:pPr>
        <w:pStyle w:val="Bibliography"/>
      </w:pPr>
      <w:r>
        <w:t xml:space="preserve">53. Li H, Handsaker B, Wysoker A, Fennell T, Ruan J, Homer N, et al. The Sequence Alignment/Map format and SAMtools. Bioinformatics. 2009;25: 2078–2079. doi:</w:t>
      </w:r>
      <w:hyperlink r:id="rId80">
        <w:r>
          <w:rPr>
            <w:rStyle w:val="Hyperlink"/>
          </w:rPr>
          <w:t xml:space="preserve">10.1093/bioinformatics/btp352</w:t>
        </w:r>
      </w:hyperlink>
    </w:p>
    <w:p>
      <w:pPr>
        <w:pStyle w:val="Bibliography"/>
      </w:pPr>
      <w:r>
        <w:t xml:space="preserve">54. Breiman L. Random forests. Machine Learning. 2001;45: 5–32. doi:</w:t>
      </w:r>
      <w:hyperlink r:id="rId81">
        <w:r>
          <w:rPr>
            <w:rStyle w:val="Hyperlink"/>
          </w:rPr>
          <w:t xml:space="preserve">10.1023/A:1010933404324</w:t>
        </w:r>
      </w:hyperlink>
    </w:p>
    <w:p>
      <w:pPr>
        <w:pStyle w:val="Bibliography"/>
      </w:pPr>
      <w:r>
        <w:t xml:space="preserve">55. Segal MR. Machine Learning Benchmarks and Random Forest Regression. Biostatistics. 2004; 1–14. Available:</w:t>
      </w:r>
      <w:r>
        <w:t xml:space="preserve"> </w:t>
      </w:r>
      <w:hyperlink r:id="rId82">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b983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2"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79" Target="https://doi.org/10.1038/nmeth.1923" TargetMode="External" /><Relationship Type="http://schemas.openxmlformats.org/officeDocument/2006/relationships/hyperlink" Id="rId78"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74"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0" Target="https://doi.org/10.1093/bioinformatics/btp352" TargetMode="External" /><Relationship Type="http://schemas.openxmlformats.org/officeDocument/2006/relationships/hyperlink" Id="rId76"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77" Target="https://doi.org/10.1093/nar/27.1.29" TargetMode="External" /><Relationship Type="http://schemas.openxmlformats.org/officeDocument/2006/relationships/hyperlink" Id="rId58"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68"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2"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1"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65"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0"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69" Target="https://doi.org/10.1371/journal.ppat.1002995" TargetMode="External" /><Relationship Type="http://schemas.openxmlformats.org/officeDocument/2006/relationships/hyperlink" Id="rId75"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3"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2"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79" Target="https://doi.org/10.1038/nmeth.1923" TargetMode="External" /><Relationship Type="http://schemas.openxmlformats.org/officeDocument/2006/relationships/hyperlink" Id="rId78"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74"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0" Target="https://doi.org/10.1093/bioinformatics/btp352" TargetMode="External" /><Relationship Type="http://schemas.openxmlformats.org/officeDocument/2006/relationships/hyperlink" Id="rId76"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77" Target="https://doi.org/10.1093/nar/27.1.29" TargetMode="External" /><Relationship Type="http://schemas.openxmlformats.org/officeDocument/2006/relationships/hyperlink" Id="rId58"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68"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2"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1"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65"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0"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69" Target="https://doi.org/10.1371/journal.ppat.1002995" TargetMode="External" /><Relationship Type="http://schemas.openxmlformats.org/officeDocument/2006/relationships/hyperlink" Id="rId75"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3"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2017-06-30T19:35:11Z</dcterms:created>
  <dcterms:modified xsi:type="dcterms:W3CDTF">2017-06-30T19:35:11Z</dcterms:modified>
</cp:coreProperties>
</file>