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r>
        <w:t xml:space="preserve"> </w:t>
      </w:r>
      <w:r>
        <w:t xml:space="preserve">during</w:t>
      </w:r>
      <w:r>
        <w:t xml:space="preserve"> </w:t>
      </w:r>
      <w:r>
        <w:t xml:space="preserve">infection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Susceptibility is primarily associated with previous exposure to antibiotics, which compromise the structure and function of the gut bacterial community. While most antibiotics have been linked, specific classes correlate more strongly with recurrent or persistent</w:t>
      </w:r>
      <w:r>
        <w:t xml:space="preserve"> </w:t>
      </w:r>
      <w:r>
        <w:rPr>
          <w:i/>
        </w:rPr>
        <w:t xml:space="preserve">C. difficile</w:t>
      </w:r>
      <w:r>
        <w:t xml:space="preserve"> </w:t>
      </w:r>
      <w:r>
        <w:t xml:space="preserve">infection. In this study, we used a murine model of infection to explore the effect of distinct antibiotic classes on sustained</w:t>
      </w:r>
      <w:r>
        <w:t xml:space="preserve"> </w:t>
      </w:r>
      <w:r>
        <w:rPr>
          <w:i/>
        </w:rPr>
        <w:t xml:space="preserve">C. difficile</w:t>
      </w:r>
      <w:r>
        <w:t xml:space="preserve"> </w:t>
      </w:r>
      <w:r>
        <w:t xml:space="preserve">colonization, as well as the impact of infection on community-level gene expression and metabolism 18 hours post-infection. Utilizing metagenome-enable metatranscriptomics, supplemented by untargeted metabolomic analysis, we found that</w:t>
      </w:r>
      <w:r>
        <w:t xml:space="preserve"> </w:t>
      </w:r>
      <w:r>
        <w:rPr>
          <w:i/>
        </w:rPr>
        <w:t xml:space="preserve">C. difficile</w:t>
      </w:r>
      <w:r>
        <w:t xml:space="preserve"> </w:t>
      </w:r>
      <w:r>
        <w:t xml:space="preserve">infection has differentially larger impacts on the metabolic activity of the microbiota across multiple pretreatments that allow for persistant colonization. These differences were enriched in pathways associated with amino acid metabolism and particularly in non-dominant species. Conversely, in clindamycin pretreatment where</w:t>
      </w:r>
      <w:r>
        <w:t xml:space="preserve"> </w:t>
      </w:r>
      <w:r>
        <w:rPr>
          <w:i/>
        </w:rPr>
        <w:t xml:space="preserve">C. difficile</w:t>
      </w:r>
      <w:r>
        <w:t xml:space="preserve"> </w:t>
      </w:r>
      <w:r>
        <w:t xml:space="preserve">is cleared within 7 days, the effect of infection on the microbiota is only detectable in community structure but not in activity. Our results suggest that</w:t>
      </w:r>
      <w:r>
        <w:t xml:space="preserve"> </w:t>
      </w:r>
      <w:r>
        <w:rPr>
          <w:i/>
        </w:rPr>
        <w:t xml:space="preserve">C. difficile</w:t>
      </w:r>
      <w:r>
        <w:t xml:space="preserve"> </w:t>
      </w:r>
      <w:r>
        <w:t xml:space="preserve">is able to restructure the nutrient-niche landscape in certain gut environments in order to promote persistent infection.</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germ free mice as well as antibiotic-pretreated, mock-infected animals of the same genotype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within the observation period,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(Fig. 4A-4C), random forest was only able to reliably classify infected mice in streptomycin and cefoperazone treatment while clindamycin maintained a high out-of-bag error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S5).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animal model, refer to Jenior et al. (2017)</w:t>
      </w:r>
      <w:r>
        <w:t xml:space="preserve"> </w:t>
      </w:r>
      <w:r>
        <w:t xml:space="preserve">[19]</w:t>
      </w:r>
      <w:r>
        <w:t xml:space="preserve">. Briefly, approximately equal numbers of male and female conventionally-reared six-to-eight week-old C57BL/6 mice were randomly assigned to each experimental group. They were administered one of three antibiotics; cefoperazone, streptomycin, or clindamycin before oral</w:t>
      </w:r>
      <w:r>
        <w:t xml:space="preserve"> </w:t>
      </w:r>
      <w:r>
        <w:rPr>
          <w:i/>
        </w:rPr>
        <w:t xml:space="preserve">C. difficile</w:t>
      </w:r>
      <w:r>
        <w:t xml:space="preserve"> </w:t>
      </w:r>
      <w:r>
        <w:t xml:space="preserve">infection (Table S1).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[45]</w:t>
      </w:r>
      <w:r>
        <w:t xml:space="preserve">. In parallel, undiluted samples were heated at 60°C for 30 minutes to eliminate vegetative cells and enrich for spores</w:t>
      </w:r>
      <w:r>
        <w:t xml:space="preserve"> </w:t>
      </w:r>
      <w:r>
        <w:t xml:space="preserve">[29]</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colonization densities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where it was then incubated at 37°C for 24 hours. Plates were then inspectred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5-prime and 3-prime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w:t>
      </w:r>
      <w:r>
        <w:t xml:space="preserve"> </w:t>
      </w:r>
      <w:hyperlink r:id="rId29">
        <w:r>
          <w:rPr>
            <w:rStyle w:val="Hyperlink"/>
          </w:rPr>
          <w:t xml:space="preserve">https://github.com/mjenior/Jenior_Metatranscriptomics_eLife_2017</w:t>
        </w:r>
      </w:hyperlink>
      <w:r>
        <w:t xml:space="preserve">.</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rPr>
          <w:b/>
        </w:rPr>
        <w:t xml:space="preserve">Competing Interests</w:t>
      </w:r>
      <w:r>
        <w:t xml:space="preserve"> </w:t>
      </w:r>
      <w:r>
        <w:t xml:space="preserve">The authors declare no conflicts of interest.</w:t>
      </w:r>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1" w:name="references"/>
      <w:bookmarkEnd w:id="31"/>
      <w:r>
        <w:t xml:space="preserve">References</w:t>
      </w:r>
    </w:p>
    <w:p>
      <w:pPr>
        <w:pStyle w:val="Bibliography"/>
      </w:pPr>
      <w:r>
        <w:t xml:space="preserve">1. Vollaard EJ, Clasener HAL. Colonization resistance. 1994. pp. 409–414. doi:</w:t>
      </w:r>
      <w:hyperlink r:id="rId32">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3">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4">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5">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6">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7">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8">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39">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0">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1">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2">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3">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4">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5">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6">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7">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8">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49">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0">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1">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2">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3">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4">
        <w:r>
          <w:rPr>
            <w:rStyle w:val="Hyperlink"/>
          </w:rPr>
          <w:t xml:space="preserve">10.1186/gb-2011-12-6-r60</w:t>
        </w:r>
      </w:hyperlink>
    </w:p>
    <w:p>
      <w:pPr>
        <w:pStyle w:val="Bibliography"/>
      </w:pPr>
      <w:r>
        <w:t xml:space="preserve">25. Liaw a, Wiener M. Classification and Regression by randomForest. R news. 2002;2: 18–22. doi:</w:t>
      </w:r>
      <w:hyperlink r:id="rId55">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6">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7">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8">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59">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0">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1">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2">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3">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4">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5">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6">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7">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8">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69">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0">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1">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2">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3">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4">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5">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6">
        <w:r>
          <w:rPr>
            <w:rStyle w:val="Hyperlink"/>
          </w:rPr>
          <w:t xml:space="preserve">10.3791/3293</w:t>
        </w:r>
      </w:hyperlink>
    </w:p>
    <w:p>
      <w:pPr>
        <w:pStyle w:val="Bibliography"/>
      </w:pPr>
      <w:r>
        <w:t xml:space="preserve">49. Martin M. Cutadapt removes adapter sequences from high-throughput sequencing reads. EMBnet. 2011;17: 10. doi:</w:t>
      </w:r>
      <w:hyperlink r:id="rId77">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8">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79">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0">
        <w:r>
          <w:rPr>
            <w:rStyle w:val="Hyperlink"/>
          </w:rPr>
          <w:t xml:space="preserve">10.1038/nmeth.3176</w:t>
        </w:r>
      </w:hyperlink>
    </w:p>
    <w:p>
      <w:pPr>
        <w:pStyle w:val="Bibliography"/>
      </w:pPr>
      <w:r>
        <w:t xml:space="preserve">54. Langmead B, Salzberg SL. Fast gapped-read alignment with Bowtie 2. Nature methods. 2012;9: 357–9. doi:</w:t>
      </w:r>
      <w:hyperlink r:id="rId81">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2">
        <w:r>
          <w:rPr>
            <w:rStyle w:val="Hyperlink"/>
          </w:rPr>
          <w:t xml:space="preserve">10.1093/bioinformatics/btp352</w:t>
        </w:r>
      </w:hyperlink>
    </w:p>
    <w:p>
      <w:pPr>
        <w:pStyle w:val="Bibliography"/>
      </w:pPr>
      <w:r>
        <w:t xml:space="preserve">56. Breiman L. Random forests. Machine Learning. 2001;45: 5–32. doi:</w:t>
      </w:r>
      <w:hyperlink r:id="rId83">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4">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c6510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7"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1"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2"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45"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39" Target="https://doi.org/10.1128/AAC.01664-10" TargetMode="External" /><Relationship Type="http://schemas.openxmlformats.org/officeDocument/2006/relationships/hyperlink" Id="rId46"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4"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0"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3"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7"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1"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2"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45"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39" Target="https://doi.org/10.1128/AAC.01664-10" TargetMode="External" /><Relationship Type="http://schemas.openxmlformats.org/officeDocument/2006/relationships/hyperlink" Id="rId46"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4"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0"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3"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structure and metabolism of distinct cecal microbiomes to promote sustained colonization during infection</dc:title>
  <dc:creator/>
  <dcterms:created xsi:type="dcterms:W3CDTF">2017-09-10T20:52:06Z</dcterms:created>
  <dcterms:modified xsi:type="dcterms:W3CDTF">2017-09-10T20:52:06Z</dcterms:modified>
</cp:coreProperties>
</file>