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w:t>
      </w:r>
      <w:r>
        <w:rPr>
          <w:b w:val="false"/>
          <w:bCs w:val="false"/>
          <w:sz w:val="24"/>
          <w:szCs w:val="24"/>
        </w:rPr>
        <w:t xml:space="preserve">persistent </w:t>
      </w:r>
      <w:r>
        <w:rPr>
          <w:b w:val="false"/>
          <w:bCs w:val="false"/>
          <w:sz w:val="24"/>
          <w:szCs w:val="24"/>
        </w:rPr>
        <w:t>colonization during infection</w:t>
      </w:r>
    </w:p>
    <w:p>
      <w:pPr>
        <w:pStyle w:val="Normal"/>
        <w:spacing w:lineRule="auto" w:line="480" w:before="480" w:after="240"/>
        <w:rPr>
          <w:rFonts w:ascii="Arial" w:hAnsi="Arial"/>
          <w:b w:val="false"/>
          <w:b w:val="false"/>
          <w:bCs w:val="false"/>
          <w:sz w:val="24"/>
          <w:szCs w:val="24"/>
        </w:rPr>
      </w:pPr>
      <w:r>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vertAlign w:val="superscript"/>
        </w:rPr>
      </w:pPr>
      <w:bookmarkStart w:id="1" w:name="__DdeLink__1433_2080638894"/>
      <w:bookmarkStart w:id="2" w:name="__DdeLink__2844_965882799"/>
      <w:bookmarkStart w:id="3" w:name="__DdeLink__1434_1066350168"/>
      <w:bookmarkEnd w:id="1"/>
      <w:bookmarkEnd w:id="2"/>
      <w:bookmarkEnd w:id="3"/>
      <w:r>
        <w:rPr>
          <w:i w:val="false"/>
          <w:iCs w:val="fals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Westcott S, Baxter N, Highlander S,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4">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43</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43</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18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file:///C:/Users/Matt Jenior/Desktop/Repositories/Jenior_Metatranscriptomics_eLife_2017/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LibreOffice/5.3.3.2$Windows_x86 LibreOffice_project/3d9a8b4b4e538a85e0782bd6c2d430bafe583448</Application>
  <Pages>43</Pages>
  <Words>10457</Words>
  <Characters>64187</Characters>
  <CharactersWithSpaces>74467</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2017-10-27T17:18:05Z</dcterms:created>
  <dc:creator/>
  <dc:description/>
  <dc:language>en-US</dc:language>
  <cp:lastModifiedBy/>
  <dcterms:modified xsi:type="dcterms:W3CDTF">2017-10-27T13:19:06Z</dcterms:modified>
  <cp:revision>1</cp:revision>
  <dc:subject/>
  <dc:title>Clostridium difficile differentially alters the structure and metabolism of distinct cecal microbiomes to promote persistent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