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to</w:t>
      </w:r>
      <w:r>
        <w:t xml:space="preserve"> </w:t>
      </w:r>
      <w:r>
        <w:t xml:space="preserve">promote</w:t>
      </w:r>
      <w:r>
        <w:t xml:space="preserve"> </w:t>
      </w:r>
      <w:r>
        <w:t xml:space="preserve">persistent</w:t>
      </w:r>
      <w:r>
        <w:t xml:space="preserve"> </w:t>
      </w:r>
      <w:r>
        <w:t xml:space="preserve">colonization</w:t>
      </w:r>
      <w:r>
        <w:t xml:space="preserve"> </w:t>
      </w:r>
      <w:r>
        <w:t xml:space="preserve">during</w:t>
      </w:r>
      <w:r>
        <w:t xml:space="preserve"> </w:t>
      </w:r>
      <w:r>
        <w:t xml:space="preserve">infection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w:t>
      </w:r>
      <w:r>
        <w:t xml:space="preserve"> </w:t>
      </w:r>
      <w:r>
        <w:rPr>
          <w:i/>
        </w:rPr>
        <w:t xml:space="preserve">C. difficile</w:t>
      </w:r>
      <w:r>
        <w:t xml:space="preserve"> </w:t>
      </w:r>
      <w:r>
        <w:t xml:space="preserve">infection. We used a murine model of infection to explore the effect of distinct antibiotic classes on sustained</w:t>
      </w:r>
      <w:r>
        <w:t xml:space="preserve"> </w:t>
      </w:r>
      <w:r>
        <w:rPr>
          <w:i/>
        </w:rPr>
        <w:t xml:space="preserve">C. difficile</w:t>
      </w:r>
      <w:r>
        <w:t xml:space="preserve"> </w:t>
      </w:r>
      <w:r>
        <w:t xml:space="preserve">colonization, as well as the impact of infection on community-level gene expression and metabolism 18 hours post-infection. Utilizing untargeted metabolomic analysis, we found that</w:t>
      </w:r>
      <w:r>
        <w:t xml:space="preserve"> </w:t>
      </w:r>
      <w:r>
        <w:rPr>
          <w:i/>
        </w:rPr>
        <w:t xml:space="preserve">C. difficile</w:t>
      </w:r>
      <w:r>
        <w:t xml:space="preserve"> </w:t>
      </w:r>
      <w:r>
        <w:t xml:space="preserve">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w:t>
      </w:r>
      <w:r>
        <w:t xml:space="preserve"> </w:t>
      </w:r>
      <w:r>
        <w:rPr>
          <w:i/>
        </w:rPr>
        <w:t xml:space="preserve">C. difficile</w:t>
      </w:r>
      <w:r>
        <w:t xml:space="preserve"> </w:t>
      </w:r>
      <w:r>
        <w:t xml:space="preserve">is able to restructure the nutrient-niche landscape in certain gut environments in order to promote persistent infection.</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established that</w:t>
      </w:r>
      <w:r>
        <w:t xml:space="preserve"> </w:t>
      </w:r>
      <w:r>
        <w:rPr>
          <w:i/>
        </w:rPr>
        <w:t xml:space="preserve">C. difficile</w:t>
      </w:r>
      <w:r>
        <w:t xml:space="preserve"> </w:t>
      </w:r>
      <w:r>
        <w:t xml:space="preserve">is able to colonize these communities, it is yet to be determined whether the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the specific species interactions that occur with</w:t>
      </w:r>
      <w:r>
        <w:t xml:space="preserve"> </w:t>
      </w:r>
      <w:r>
        <w:rPr>
          <w:i/>
        </w:rPr>
        <w:t xml:space="preserve">C. difficile</w:t>
      </w:r>
      <w:r>
        <w:t xml:space="preserve"> </w:t>
      </w:r>
      <w:r>
        <w:t xml:space="preserve">during infection. To address this fundamental question, we employed a murine model of CDI where the murine gut microbiota are disturbed with antibiotics and assessed for the ability of</w:t>
      </w:r>
      <w:r>
        <w:t xml:space="preserve"> </w:t>
      </w:r>
      <w:r>
        <w:rPr>
          <w:i/>
        </w:rPr>
        <w:t xml:space="preserve">C. difficile</w:t>
      </w:r>
      <w:r>
        <w:t xml:space="preserve"> </w:t>
      </w:r>
      <w:r>
        <w:t xml:space="preserve">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w:t>
      </w:r>
      <w:r>
        <w:t xml:space="preserve"> </w:t>
      </w:r>
      <w:r>
        <w:rPr>
          <w:i/>
        </w:rPr>
        <w:t xml:space="preserve">C. difficile</w:t>
      </w:r>
      <w:r>
        <w:t xml:space="preserve"> </w:t>
      </w:r>
      <w:r>
        <w:t xml:space="preserve">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pretreatments are associated with different patterns of clearance following primary infection.</w:t>
      </w:r>
      <w:r>
        <w:t xml:space="preserve"> </w:t>
      </w:r>
      <w:r>
        <w:t xml:space="preserve">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because they represented different spectrum of activity, had the ability to to reduce</w:t>
      </w:r>
      <w:r>
        <w:t xml:space="preserve"> </w:t>
      </w:r>
      <w:r>
        <w:rPr>
          <w:i/>
        </w:rPr>
        <w:t xml:space="preserve">C. difficile</w:t>
      </w:r>
      <w:r>
        <w:t xml:space="preserve"> </w:t>
      </w:r>
      <w:r>
        <w:t xml:space="preserve">colonization resistance in a mouse model</w:t>
      </w:r>
      <w:r>
        <w:t xml:space="preserve"> </w:t>
      </w:r>
      <w:r>
        <w:t xml:space="preserve">[18]</w:t>
      </w:r>
      <w:r>
        <w:t xml:space="preserve">, had distinct and significant impacts on the structure and diversity of the cecal microbiota (all</w:t>
      </w:r>
      <w:r>
        <w:t xml:space="preserve"> </w:t>
      </w:r>
      <w:r>
        <w:rPr>
          <w:i/>
        </w:rPr>
        <w:t xml:space="preserve">p</w:t>
      </w:r>
      <w:r>
        <w:t xml:space="preserve"> </w:t>
      </w:r>
      <w:r>
        <w:t xml:space="preserve">&lt; 0.001; Fig. S1A), and the infected communities differed in their to recover and clear the infection (Fig. 1B). Selection of the toxigenic</w:t>
      </w:r>
      <w:r>
        <w:t xml:space="preserve"> </w:t>
      </w:r>
      <w:r>
        <w:rPr>
          <w:i/>
        </w:rPr>
        <w:t xml:space="preserve">C. difficile</w:t>
      </w:r>
      <w:r>
        <w:t xml:space="preserve"> </w:t>
      </w:r>
      <w:r>
        <w:t xml:space="preserve">strain 630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pretreated with the respective antibiotic and were subsequently challenged with ~1x10</w:t>
      </w:r>
      <w:r>
        <w:rPr>
          <w:vertAlign w:val="superscript"/>
        </w:rPr>
        <w:t xml:space="preserve">3</w:t>
      </w:r>
      <w:r>
        <w:t xml:space="preserve"> </w:t>
      </w:r>
      <w:r>
        <w:rPr>
          <w:i/>
        </w:rPr>
        <w:t xml:space="preserve">C. difficile</w:t>
      </w:r>
      <w:r>
        <w:t xml:space="preserve"> </w:t>
      </w:r>
      <w:r>
        <w:t xml:space="preserve">str. 630 spores via oral gavage (Fig. 1A). We then monitored for disease over the following 10 days and the carriage of</w:t>
      </w:r>
      <w:r>
        <w:t xml:space="preserve"> </w:t>
      </w:r>
      <w:r>
        <w:rPr>
          <w:i/>
        </w:rPr>
        <w:t xml:space="preserve">C. difficile</w:t>
      </w:r>
      <w:r>
        <w:t xml:space="preserve"> </w:t>
      </w:r>
      <w:r>
        <w:t xml:space="preserve">in feces over time. In each antibiotic pretreatment model, we observed equally high levels of</w:t>
      </w:r>
      <w:r>
        <w:t xml:space="preserve"> </w:t>
      </w:r>
      <w:r>
        <w:rPr>
          <w:i/>
        </w:rPr>
        <w:t xml:space="preserve">C. difficile</w:t>
      </w:r>
      <w:r>
        <w:t xml:space="preserve"> </w:t>
      </w:r>
      <w:r>
        <w:t xml:space="preserve">colonization on the day after infection; however, over the following 8 days, only clindamycin-pretreated mice cleared the infection while the other two pretreatments remained highly colonized (Fig. 1B).</w:t>
      </w:r>
    </w:p>
    <w:p>
      <w:pPr>
        <w:pStyle w:val="BodyText"/>
      </w:pPr>
      <w:r>
        <w:rPr>
          <w:i/>
          <w:b/>
        </w:rPr>
        <w:t xml:space="preserve">C. difficile</w:t>
      </w:r>
      <w:r>
        <w:rPr>
          <w:b/>
        </w:rPr>
        <w:t xml:space="preserve"> </w:t>
      </w:r>
      <w:r>
        <w:rPr>
          <w:b/>
        </w:rPr>
        <w:t xml:space="preserve">differentially expresses virulence factors across separate antibiotic pretreatments.</w:t>
      </w:r>
      <w:r>
        <w:t xml:space="preserve"> </w:t>
      </w:r>
      <w:r>
        <w:t xml:space="preserve">We hypothesized that the clindamycin-pretreated mice cleared the infection while animals in the other groups did not because the pretreated microbiota occupied niche space that with greater overlap with that of</w:t>
      </w:r>
      <w:r>
        <w:t xml:space="preserve"> </w:t>
      </w:r>
      <w:r>
        <w:rPr>
          <w:i/>
        </w:rPr>
        <w:t xml:space="preserve">C. difficile</w:t>
      </w:r>
      <w:r>
        <w:t xml:space="preserve">.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spore and toxin production. Continuing with the same pretreatment and primary infection protocols used in the 10-day colonization experiments, we chose to focus our analysis on 18-hours post-infection to the assess behavior of</w:t>
      </w:r>
      <w:r>
        <w:t xml:space="preserve"> </w:t>
      </w:r>
      <w:r>
        <w:rPr>
          <w:i/>
        </w:rPr>
        <w:t xml:space="preserve">C. difficile</w:t>
      </w:r>
      <w:r>
        <w:t xml:space="preserve"> </w:t>
      </w:r>
      <w:r>
        <w:t xml:space="preserve">directly prior to the beginning of clearance and utilized this time period for the remainder of experiments. This end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[23]</w:t>
      </w:r>
      <w:r>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 xml:space="preserve">8</w:t>
      </w:r>
      <w:r>
        <w:t xml:space="preserve"> </w:t>
      </w:r>
      <w:r>
        <w:t xml:space="preserve">vegetative colony forming units (cfu) per gram of cecal content and untreated mice maintained</w:t>
      </w:r>
      <w:r>
        <w:t xml:space="preserve"> </w:t>
      </w:r>
      <w:r>
        <w:rPr>
          <w:i/>
        </w:rPr>
        <w:t xml:space="preserve">C. difficile</w:t>
      </w:r>
      <w:r>
        <w:t xml:space="preserve"> </w:t>
      </w:r>
      <w:r>
        <w:t xml:space="preserve">colonization resistance (Fig. 1C). We also measured both spore production and toxin activity as activation of both processes has been linked to environmental concentrations of specific growth nutrients</w:t>
      </w:r>
      <w:r>
        <w:t xml:space="preserve"> </w:t>
      </w:r>
      <w:r>
        <w:t xml:space="preserve">[21]</w:t>
      </w:r>
      <w:r>
        <w:t xml:space="preserve">. Despite having similar vegetative</w:t>
      </w:r>
      <w:r>
        <w:t xml:space="preserve"> </w:t>
      </w:r>
      <w:r>
        <w:rPr>
          <w:i/>
        </w:rPr>
        <w:t xml:space="preserve">C. difficile</w:t>
      </w:r>
      <w:r>
        <w:t xml:space="preserve"> </w:t>
      </w:r>
      <w:r>
        <w:t xml:space="preserve">load, varying levels of both cfu due to spores and toxin titer were observed across each of the antibiotic pretreatments. These results showed that</w:t>
      </w:r>
      <w:r>
        <w:t xml:space="preserve"> </w:t>
      </w:r>
      <w:r>
        <w:rPr>
          <w:i/>
        </w:rPr>
        <w:t xml:space="preserve">C. difficile</w:t>
      </w:r>
      <w:r>
        <w:t xml:space="preserve"> </w:t>
      </w:r>
      <w:r>
        <w:t xml:space="preserve">colonized different antibiotic-pretreated mice to consistently high levels, and the distinct pretreatments corresponded with moderate differences in the level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To evaluate changes in bacterial population abundances in response to antibiotic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pretreatment models. To focus our analysis specifically on the surrounding bacterial communities we removed all</w:t>
      </w:r>
      <w:r>
        <w:t xml:space="preserve"> </w:t>
      </w:r>
      <w:r>
        <w:rPr>
          <w:i/>
        </w:rPr>
        <w:t xml:space="preserve">C. difficile</w:t>
      </w:r>
      <w:r>
        <w:t xml:space="preserve"> </w:t>
      </w:r>
      <w:r>
        <w:t xml:space="preserve">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pretreatment induced distinct and significant shifts in the community structure (all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w:t>
      </w:r>
      <w:r>
        <w:t xml:space="preserve"> </w:t>
      </w:r>
      <w:r>
        <w:rPr>
          <w:i/>
        </w:rPr>
        <w:t xml:space="preserve">Bacteroidetes</w:t>
      </w:r>
      <w:r>
        <w:t xml:space="preserve"> </w:t>
      </w:r>
      <w:r>
        <w:t xml:space="preserve">(Fig. 2A).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(Fig. 2A). Despite variation in the community structures generated by streptomycin pretreatment, those communities were colonized by</w:t>
      </w:r>
      <w:r>
        <w:t xml:space="preserve"> </w:t>
      </w:r>
      <w:r>
        <w:rPr>
          <w:i/>
        </w:rPr>
        <w:t xml:space="preserve">C. difficile</w:t>
      </w:r>
      <w:r>
        <w:t xml:space="preserve"> </w:t>
      </w:r>
      <w:r>
        <w:t xml:space="preserve">to the same level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Cefoperazone-pretreated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pretreatment group. Utilizing LEfSe differential abundant feature detection</w:t>
      </w:r>
      <w:r>
        <w:t xml:space="preserve"> </w:t>
      </w:r>
      <w:r>
        <w:t xml:space="preserve">[24]</w:t>
      </w:r>
      <w:r>
        <w:t xml:space="preserve">,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w:t>
      </w:r>
      <w:r>
        <w:t xml:space="preserve"> </w:t>
      </w:r>
      <w:r>
        <w:rPr>
          <w:i/>
        </w:rPr>
        <w:t xml:space="preserve">C. difficile</w:t>
      </w:r>
      <w:r>
        <w:t xml:space="preserve">.</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Pretreatment with antibiotics not only alters the structure of the resident microbiota, but also has a dramatic impact on the intestinal metabolome</w:t>
      </w:r>
      <w:r>
        <w:t xml:space="preserve"> </w:t>
      </w:r>
      <w:r>
        <w:t xml:space="preserve">[11–13]</w:t>
      </w:r>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w:t>
      </w:r>
      <w:r>
        <w:t xml:space="preserve"> </w:t>
      </w:r>
      <w:r>
        <w:rPr>
          <w:i/>
        </w:rPr>
        <w:t xml:space="preserve">C. difficile</w:t>
      </w:r>
      <w:r>
        <w:t xml:space="preserve">-susceptible conditions (Fig. 3). All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BodyText"/>
      </w:pPr>
      <w: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w:t>
      </w:r>
      <w:r>
        <w:t xml:space="preserve"> </w:t>
      </w:r>
      <w:r>
        <w:t xml:space="preserve">[25]</w:t>
      </w:r>
      <w:r>
        <w:t xml:space="preserve"> </w:t>
      </w:r>
      <w:r>
        <w:t xml:space="preserve">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[12]</w:t>
      </w:r>
      <w:r>
        <w:t xml:space="preserve">. N−methylpipecolate was the only metabolite we identified that consistently decreased during antibiotic pretreatment. This molecule is a by-product of amino acid catabolism and is typically oxidized under normal conditions back into glycine</w:t>
      </w:r>
      <w:r>
        <w:t xml:space="preserve"> </w:t>
      </w:r>
      <w:r>
        <w:t xml:space="preserve">[26]</w:t>
      </w:r>
      <w:r>
        <w:t xml:space="preserve">. These data support the hypothesis that amino acid catabolism is disrupted at a community-level following antibiotic pretreatment and may suggest open nutrient niches for</w:t>
      </w:r>
      <w:r>
        <w:t xml:space="preserve"> </w:t>
      </w:r>
      <w:r>
        <w:rPr>
          <w:i/>
        </w:rPr>
        <w:t xml:space="preserve">C. difficile</w:t>
      </w:r>
      <w:r>
        <w:t xml:space="preserve">, a known fermenter of peptides</w:t>
      </w:r>
      <w:r>
        <w:t xml:space="preserve"> </w:t>
      </w:r>
      <w:r>
        <w:t xml:space="preserve">[27]</w:t>
      </w:r>
      <w:r>
        <w:t xml:space="preserve">.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[12]</w:t>
      </w:r>
      <w:r>
        <w:t xml:space="preserve">.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pretreatment that are now accessible to</w:t>
      </w:r>
      <w:r>
        <w:t xml:space="preserve"> </w:t>
      </w:r>
      <w:r>
        <w:rPr>
          <w:i/>
        </w:rPr>
        <w:t xml:space="preserve">C. difficile</w:t>
      </w:r>
      <w:r>
        <w:t xml:space="preserve"> </w:t>
      </w:r>
      <w:r>
        <w:t xml:space="preserve">(Fig.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w:t>
      </w:r>
      <w:r>
        <w:t xml:space="preserve"> </w:t>
      </w:r>
      <w:r>
        <w:rPr>
          <w:i/>
        </w:rPr>
        <w:t xml:space="preserve">C. difficile</w:t>
      </w:r>
      <w:r>
        <w:t xml:space="preserve">'s ability to compete with the indigenous microbiota.</w:t>
      </w:r>
    </w:p>
    <w:p>
      <w:pPr>
        <w:pStyle w:val="BodyText"/>
      </w:pPr>
      <w:r>
        <w:t xml:space="preserve">Following this unsupervised approach for identification of susceptibility markers, we also measured the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[13]</w:t>
      </w:r>
      <w:r>
        <w:t xml:space="preserve">. We assessed differences in bile acids, which are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were no persistently increased bile acids across the antibiotic pretreatments (Fig. S2a). There were also no amino acids that were always highly available (Fig. S2B). These results suggested that despite varying efficiencies,</w:t>
      </w:r>
      <w:r>
        <w:t xml:space="preserve"> </w:t>
      </w:r>
      <w:r>
        <w:rPr>
          <w:i/>
        </w:rPr>
        <w:t xml:space="preserve">C. difficile</w:t>
      </w:r>
      <w:r>
        <w:t xml:space="preserve"> </w:t>
      </w:r>
      <w:r>
        <w:t xml:space="preserve">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w:t>
      </w:r>
      <w:r>
        <w:t xml:space="preserve"> </w:t>
      </w:r>
      <w:r>
        <w:rPr>
          <w:i/>
        </w:rPr>
        <w:t xml:space="preserve">C. difficile</w:t>
      </w:r>
      <w:r>
        <w:t xml:space="preserve"> </w:t>
      </w:r>
      <w:r>
        <w:t xml:space="preserve">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individually. We compared the cecal metabolomes from all mice across pretreatment groups, and were unable to detect a consistent difference between groups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 xml:space="preserve">p</w:t>
      </w:r>
      <w:r>
        <w:t xml:space="preserve"> </w:t>
      </w:r>
      <w:r>
        <w:t xml:space="preserve">= 0.003; Fig. 4B, 4C). Interestingly, streptomycin-pretreated microbiomes were significantly altered by</w:t>
      </w:r>
      <w:r>
        <w:t xml:space="preserve"> </w:t>
      </w:r>
      <w:r>
        <w:rPr>
          <w:i/>
        </w:rPr>
        <w:t xml:space="preserve">C. difficile</w:t>
      </w:r>
      <w:r>
        <w:t xml:space="preserve"> </w:t>
      </w:r>
      <w:r>
        <w:t xml:space="preserve">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again applied the Random Forest machine-learning approach. We were able to distinguish those microbiomes infected with</w:t>
      </w:r>
      <w:r>
        <w:t xml:space="preserve"> </w:t>
      </w:r>
      <w:r>
        <w:rPr>
          <w:i/>
        </w:rPr>
        <w:t xml:space="preserve">C. difficile</w:t>
      </w:r>
      <w:r>
        <w:t xml:space="preserve"> </w:t>
      </w:r>
      <w:r>
        <w:t xml:space="preserve">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over 10 days,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Along these lines, when we measured for unified metabolite signals across all antibiotic pretreatment models, proline and 3 proline-conjugated amino acids (i.e. pro-hydroxy-pro, thioproline, and trans-4-hydroxyproline) were significantly decreased during infection (Fig. S3B;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be a preferred energy acquisition pathway for</w:t>
      </w:r>
      <w:r>
        <w:t xml:space="preserve"> </w:t>
      </w:r>
      <w:r>
        <w:rPr>
          <w:i/>
        </w:rPr>
        <w:t xml:space="preserve">C. difficile</w:t>
      </w:r>
      <w:r>
        <w:t xml:space="preserve"> </w:t>
      </w:r>
      <w:r>
        <w:rPr>
          <w:i/>
        </w:rPr>
        <w:t xml:space="preserve">in vivo</w:t>
      </w:r>
      <w: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w:t>
      </w:r>
      <w:r>
        <w:t xml:space="preserve"> </w:t>
      </w:r>
      <w:r>
        <w:rPr>
          <w:i/>
        </w:rPr>
        <w:t xml:space="preserve">C. difficile</w:t>
      </w:r>
      <w:r>
        <w:t xml:space="preserve"> </w:t>
      </w:r>
      <w:r>
        <w:t xml:space="preserve">colonization in a unique manner. However, it was not possible to isolate where changes to the metabolome were a result of altered community metabolism, altered host metabolism, or from</w:t>
      </w:r>
      <w:r>
        <w:t xml:space="preserve"> </w:t>
      </w:r>
      <w:r>
        <w:rPr>
          <w:i/>
        </w:rPr>
        <w:t xml:space="preserve">C. difficile</w:t>
      </w:r>
      <w:r>
        <w:t xml:space="preserve">.</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Combined, 16S rRNA gene sequencing and metabolomics results demonstrated that antibiotic pretreatments resulted in distinct bacterial communities that led to altered metabolite profiles. It is also possible that metabolism of the host or</w:t>
      </w:r>
      <w:r>
        <w:t xml:space="preserve"> </w:t>
      </w:r>
      <w:r>
        <w:rPr>
          <w:i/>
        </w:rPr>
        <w:t xml:space="preserve">C. difficile</w:t>
      </w:r>
      <w:r>
        <w:t xml:space="preserve"> </w:t>
      </w:r>
      <w:r>
        <w:t xml:space="preserve">contributed to the differences in the metabolomes during infection. To gain a more specific understanding of how the microbiota or</w:t>
      </w:r>
      <w:r>
        <w:t xml:space="preserve"> </w:t>
      </w:r>
      <w:r>
        <w:rPr>
          <w:i/>
        </w:rPr>
        <w:t xml:space="preserve">C. difficile</w:t>
      </w:r>
      <w:r>
        <w:t xml:space="preserve"> </w:t>
      </w:r>
      <w:r>
        <w:t xml:space="preserve">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w:t>
      </w:r>
      <w:r>
        <w:t xml:space="preserve"> </w:t>
      </w:r>
      <w:r>
        <w:rPr>
          <w:i/>
        </w:rPr>
        <w:t xml:space="preserve">C. difficile</w:t>
      </w:r>
      <w:r>
        <w:t xml:space="preserve">-infected conditions within each pretreatment (Fig. 5A). In streptomycin and clindamycin-pretreated mice, increased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w:t>
      </w:r>
      <w:r>
        <w:t xml:space="preserve"> </w:t>
      </w:r>
      <w:r>
        <w:rPr>
          <w:i/>
        </w:rPr>
        <w:t xml:space="preserve">C. difficile</w:t>
      </w:r>
      <w:r>
        <w:t xml:space="preserve">. Conversely in cefoperazone-pretreated mice, a large number of genes were instead over-expressed in the absence of</w:t>
      </w:r>
      <w:r>
        <w:t xml:space="preserve"> </w:t>
      </w:r>
      <w:r>
        <w:rPr>
          <w:i/>
        </w:rPr>
        <w:t xml:space="preserve">C. difficile</w:t>
      </w:r>
      <w:r>
        <w:t xml:space="preserve">. These pathways included the replication or manipulation of genetic material (i.e. RNA Processing, tRNA Synthesis, &amp; Homologous Recombination). Among the genes that were upregulated in the presence of</w:t>
      </w:r>
      <w:r>
        <w:t xml:space="preserve"> </w:t>
      </w:r>
      <w:r>
        <w:rPr>
          <w:i/>
        </w:rPr>
        <w:t xml:space="preserve">C. difficile</w:t>
      </w:r>
      <w:r>
        <w:t xml:space="preserve">, there were many genes involved in anaerobic glucose metabolism and select ABC-transporters (Table S3). These results indicate that the cecal microbiota of infected mice shifted its metabolism toward catabolizing simple carbohydrates.</w:t>
      </w:r>
    </w:p>
    <w:p>
      <w:pPr>
        <w:pStyle w:val="BodyText"/>
      </w:pPr>
      <w:r>
        <w:t xml:space="preserve">We then performed a more fine-scale analysis of changes at the gene level, by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As not all bacterial taxa share identical metabolic capabilities, we hypothesized that expression in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w:t>
      </w:r>
      <w:r>
        <w:t xml:space="preserve"> </w:t>
      </w:r>
      <w:r>
        <w:rPr>
          <w:i/>
        </w:rPr>
        <w:t xml:space="preserve">C. difficile</w:t>
      </w:r>
      <w:r>
        <w:t xml:space="preserve">.</w:t>
      </w:r>
    </w:p>
    <w:p>
      <w:pPr>
        <w:pStyle w:val="BodyText"/>
      </w:pPr>
      <w: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In cefoperazone-pretreated mice 2290 genes belonging to</w:t>
      </w:r>
      <w:r>
        <w:t xml:space="preserve"> </w:t>
      </w:r>
      <w:r>
        <w:rPr>
          <w:i/>
        </w:rPr>
        <w:t xml:space="preserve">Bacteroides</w:t>
      </w:r>
      <w:r>
        <w:t xml:space="preserve"> </w:t>
      </w:r>
      <w:r>
        <w:t xml:space="preserve">were upregulated in mock infected mice (Fig. 6B). A consistent trend in streptomycin and cefoperazone pretreatments was an overrepresentation of highly expressed genes from genera belonging to</w:t>
      </w:r>
      <w:r>
        <w:t xml:space="preserve"> </w:t>
      </w:r>
      <w:r>
        <w:rPr>
          <w:i/>
        </w:rPr>
        <w:t xml:space="preserve">Bacteroidetes</w:t>
      </w:r>
      <w:r>
        <w:t xml:space="preserve"> </w:t>
      </w:r>
      <w:r>
        <w:t xml:space="preserve">during mock infection. The metatransciptomes within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 &amp;</w:t>
      </w:r>
      <w:r>
        <w:t xml:space="preserve"> </w:t>
      </w:r>
      <w:r>
        <w:rPr>
          <w:i/>
        </w:rPr>
        <w:t xml:space="preserve">r</w:t>
      </w:r>
      <w:r>
        <w:t xml:space="preserve"> </w:t>
      </w:r>
      <w:r>
        <w:t xml:space="preserve">= 0.03). In clindamycin-pretreated mice the largest difference in transcription was for 510</w:t>
      </w:r>
      <w:r>
        <w:t xml:space="preserve"> </w:t>
      </w:r>
      <w:r>
        <w:rPr>
          <w:i/>
        </w:rPr>
        <w:t xml:space="preserve">Lactobacillus</w:t>
      </w:r>
      <w:r>
        <w:t xml:space="preserve"> </w:t>
      </w:r>
      <w:r>
        <w:t xml:space="preserve">genes that were upregulated during CDI (Fig. 6C). Infected and uninfected metatranscriptomes associated with this antibiotic more strongly correlated than either other pretreatment (</w:t>
      </w:r>
      <w:r>
        <w:rPr>
          <w:i/>
        </w:rPr>
        <w:t xml:space="preserve">r</w:t>
      </w:r>
      <w:r>
        <w:t xml:space="preserve"> </w:t>
      </w:r>
      <w:r>
        <w:t xml:space="preserve">= 0.86), further supporting that</w:t>
      </w:r>
      <w:r>
        <w:t xml:space="preserve"> </w:t>
      </w:r>
      <w:r>
        <w:rPr>
          <w:i/>
        </w:rPr>
        <w:t xml:space="preserve">C. difficile</w:t>
      </w:r>
      <w:r>
        <w:t xml:space="preserve"> </w:t>
      </w:r>
      <w:r>
        <w:t xml:space="preserve">colonization had a low impact on transcription of the cecal microbiota. These data indicate that</w:t>
      </w:r>
      <w:r>
        <w:t xml:space="preserve"> </w:t>
      </w:r>
      <w:r>
        <w:rPr>
          <w:i/>
        </w:rPr>
        <w:t xml:space="preserve">C. difficile</w:t>
      </w:r>
      <w:r>
        <w:t xml:space="preserve"> </w:t>
      </w:r>
      <w:r>
        <w:t xml:space="preserve">may differentially modify the transcriptional activity of separate microbial populations based on the context of the community in which it colonizes.</w:t>
      </w:r>
    </w:p>
    <w:p>
      <w:pPr>
        <w:pStyle w:val="Heading3"/>
      </w:pPr>
      <w:bookmarkStart w:id="24" w:name="discussion"/>
      <w:bookmarkEnd w:id="24"/>
      <w:r>
        <w:t xml:space="preserve">Discussion</w:t>
      </w:r>
    </w:p>
    <w:p>
      <w:pPr>
        <w:pStyle w:val="FirstParagraph"/>
      </w:pPr>
      <w:r>
        <w:t xml:space="preserve">Our results demonstrate that distinct intestinal ecosystems are differently impacted by</w:t>
      </w:r>
      <w:r>
        <w:t xml:space="preserve"> </w:t>
      </w:r>
      <w:r>
        <w:rPr>
          <w:i/>
        </w:rPr>
        <w:t xml:space="preserve">C. difficile</w:t>
      </w:r>
      <w:r>
        <w:t xml:space="preserve"> </w:t>
      </w:r>
      <w:r>
        <w:t xml:space="preserve">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w:t>
      </w:r>
      <w:r>
        <w:t xml:space="preserve"> </w:t>
      </w:r>
      <w:r>
        <w:rPr>
          <w:i/>
        </w:rPr>
        <w:t xml:space="preserve">C. difficile</w:t>
      </w:r>
      <w:r>
        <w:t xml:space="preserve">.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and metabolic output was explained by their similarity in gene expression (Fig. 4D &amp; 5C). Collectively, these results advance the idea that for</w:t>
      </w:r>
      <w:r>
        <w:t xml:space="preserve"> </w:t>
      </w:r>
      <w:r>
        <w:rPr>
          <w:i/>
        </w:rPr>
        <w:t xml:space="preserve">C. difficile</w:t>
      </w:r>
      <w:r>
        <w:t xml:space="preserve"> </w:t>
      </w:r>
      <w:r>
        <w:t xml:space="preserve">to maintain colonization it must exploit and restructure the available niche space.</w:t>
      </w:r>
    </w:p>
    <w:p>
      <w:pPr>
        <w:pStyle w:val="BodyText"/>
      </w:pPr>
      <w:r>
        <w:t xml:space="preserve">Instances of active nutrient niche restructuring in the gut have been documented previously for prominent symbiotic bacterial species in gnotobiotic mice</w:t>
      </w:r>
      <w:r>
        <w:t xml:space="preserve"> </w:t>
      </w:r>
      <w:r>
        <w:t xml:space="preserve">[33]</w:t>
      </w:r>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pretreatment.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Others have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w:t>
      </w:r>
      <w:r>
        <w:t xml:space="preserve"> </w:t>
      </w:r>
      <w:r>
        <w:t xml:space="preserve">[37]</w:t>
      </w:r>
      <w:r>
        <w:t xml:space="preserve">. Furthermore, it was recently found that bacterial metabolic generalists may be more likely to actively antagonize the growth of other species in an environment which they are colonizing</w:t>
      </w:r>
      <w:r>
        <w:t xml:space="preserve"> </w:t>
      </w:r>
      <w:r>
        <w:t xml:space="preserve">[38]</w:t>
      </w:r>
      <w:r>
        <w:t xml:space="preserve">. In previous work from our group, we found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is most likely utilizes its role as a metabolic generalist to colonize diverse gut microbiomes</w:t>
      </w:r>
      <w:r>
        <w:t xml:space="preserve"> </w:t>
      </w:r>
      <w:r>
        <w:t xml:space="preserve">[19]</w:t>
      </w:r>
      <w:r>
        <w:t xml:space="preserve">.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[19,39–41]</w:t>
      </w:r>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w:t>
      </w:r>
      <w:r>
        <w:t xml:space="preserve"> </w:t>
      </w:r>
      <w:r>
        <w:t xml:space="preserve">[30,42–44]</w:t>
      </w:r>
      <w:r>
        <w:t xml:space="preserve">. The effect of</w:t>
      </w:r>
      <w:r>
        <w:t xml:space="preserve"> </w:t>
      </w:r>
      <w:r>
        <w:rPr>
          <w:i/>
        </w:rPr>
        <w:t xml:space="preserve">C. difficile</w:t>
      </w:r>
      <w:r>
        <w:t xml:space="preserve"> </w:t>
      </w:r>
      <w:r>
        <w:t xml:space="preserve">colonization on community metabolic activity could also be linked to pathogen strain and may offer an explanation to the propensity of some strains to persist over others</w:t>
      </w:r>
      <w:r>
        <w:t xml:space="preserve"> </w:t>
      </w:r>
      <w:r>
        <w:t xml:space="preserve">[45]</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animal model, refer to Jenior et al.</w:t>
      </w:r>
      <w:r>
        <w:t xml:space="preserve"> </w:t>
      </w:r>
      <w:r>
        <w:t xml:space="preserve">[19]</w:t>
      </w:r>
      <w:r>
        <w:t xml:space="preserve">. Briefly, approximately equal numbers of male and female conventionally-reared six-to-eight week-old C57BL/6 mice were randomly assigned to each experimental group. They were administered one of three antibiotics; cefoperazone, streptomycin, or clindamycin before oral</w:t>
      </w:r>
      <w:r>
        <w:t xml:space="preserve"> </w:t>
      </w:r>
      <w:r>
        <w:rPr>
          <w:i/>
        </w:rPr>
        <w:t xml:space="preserve">C. difficile</w:t>
      </w:r>
      <w:r>
        <w:t xml:space="preserve"> </w:t>
      </w:r>
      <w:r>
        <w:t xml:space="preserve">infection (Table S1).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[46]</w:t>
      </w:r>
      <w:r>
        <w:t xml:space="preserve">. In parallel, undiluted samples were heated at 60°C for 30 minutes to eliminate vegetative cells and enrich for spores</w:t>
      </w:r>
      <w:r>
        <w:t xml:space="preserve"> </w:t>
      </w:r>
      <w:r>
        <w:t xml:space="preserve">[29]</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[19,47]</w:t>
      </w:r>
      <w:r>
        <w:t xml:space="preserve">. Briefly, filtered-sterilized cecal content was serially diluted in PBS and added to Vero cells in a 96-well plate where it was then incubated at 37°C for 24 hours. Plates were then inspected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[48]</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[49]</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[48]</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[40]</w:t>
      </w:r>
      <w:r>
        <w:t xml:space="preserve">.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w:t>
      </w:r>
      <w:r>
        <w:t xml:space="preserve"> </w:t>
      </w:r>
      <w:r>
        <w:t xml:space="preserve">[50]</w:t>
      </w:r>
      <w:r>
        <w:t xml:space="preserve"> </w:t>
      </w:r>
      <w:r>
        <w:t xml:space="preserve">on a per library basis. Reads were quality trimmed using Sickle</w:t>
      </w:r>
      <w:r>
        <w:t xml:space="preserve"> </w:t>
      </w:r>
      <w:r>
        <w:t xml:space="preserve">[51]</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[52]</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[53]</w:t>
      </w:r>
      <w:r>
        <w:t xml:space="preserve"> </w:t>
      </w:r>
      <w:r>
        <w:t xml:space="preserve">using Diamond implementation of BLASTp</w:t>
      </w:r>
      <w:r>
        <w:t xml:space="preserve"> </w:t>
      </w:r>
      <w:r>
        <w:t xml:space="preserve">[54]</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[55]</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[55]</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was performed by Metabolon (Durham, NC), 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[57]</w:t>
      </w:r>
      <w:r>
        <w:t xml:space="preserve">, with the informative threshold of MDAs greater than the absolute value of the lowest MDA defined by</w:t>
      </w:r>
      <w:r>
        <w:t xml:space="preserve"> </w:t>
      </w:r>
      <w:r>
        <w:t xml:space="preserve">[58]</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w:t>
      </w:r>
      <w:r>
        <w:t xml:space="preserve"> </w:t>
      </w:r>
      <w:hyperlink r:id="rId29">
        <w:r>
          <w:rPr>
            <w:rStyle w:val="Hyperlink"/>
          </w:rPr>
          <w:t xml:space="preserve">https://github.com/mjenior/Jenior_Metatranscriptomics_eLife_2017</w:t>
        </w:r>
      </w:hyperlink>
      <w:r>
        <w:t xml:space="preserve">.</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BodyText"/>
      </w:pPr>
      <w:r>
        <w:rPr>
          <w:b/>
        </w:rPr>
        <w:t xml:space="preserve">Competing Interests</w:t>
      </w:r>
      <w:r>
        <w:t xml:space="preserve"> </w:t>
      </w:r>
      <w:r>
        <w:t xml:space="preserve">The authors declare no conflicts of interest.</w:t>
      </w:r>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regimen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pretreatment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bacterial community structure</w:t>
      </w:r>
      <w:r>
        <w:t xml:space="preserve"> </w:t>
      </w:r>
      <w:r>
        <w:rPr>
          <w:b/>
        </w:rPr>
        <w:t xml:space="preserve">(A)</w:t>
      </w:r>
      <w:r>
        <w:t xml:space="preserve"> </w:t>
      </w:r>
      <w:r>
        <w:t xml:space="preserve">Inverse-Simpson diversity of cecal communities from all pretreatment groups. Gray stars indicate significant difference from no antibiotic controls (all</w:t>
      </w:r>
      <w:r>
        <w:t xml:space="preserve"> </w:t>
      </w:r>
      <w:r>
        <w:rPr>
          <w:i/>
        </w:rPr>
        <w:t xml:space="preserve">p</w:t>
      </w:r>
      <w:r>
        <w:t xml:space="preserve"> </w:t>
      </w:r>
      <w:r>
        <w:t xml:space="preserve">&lt; 0.001). Black stars denote within pretreatment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Heading3"/>
      </w:pPr>
      <w:bookmarkStart w:id="31" w:name="references"/>
      <w:bookmarkEnd w:id="31"/>
      <w:r>
        <w:t xml:space="preserve">References</w:t>
      </w:r>
    </w:p>
    <w:p>
      <w:pPr>
        <w:pStyle w:val="Bibliography"/>
      </w:pPr>
      <w:r>
        <w:t xml:space="preserve">1. Vollaard EJ, Clasener HAL. Colonization resistance. 1994. pp. 409–414. doi:</w:t>
      </w:r>
      <w:hyperlink r:id="rId32">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3">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4">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5">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6">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7">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8">
        <w:r>
          <w:rPr>
            <w:rStyle w:val="Hyperlink"/>
          </w:rPr>
          <w:t xml:space="preserve">10.1128/IAI.05496-11</w:t>
        </w:r>
      </w:hyperlink>
    </w:p>
    <w:p>
      <w:pPr>
        <w:pStyle w:val="Bibliography"/>
      </w:pPr>
      <w:r>
        <w:t xml:space="preserve">8. Thomas C, Stevenson M, Riley TV. Antibiotics and hospital-acquired Clostridium difficile-associated diarrhoea: A systematic review. 2003;51: 1339–1350. doi:</w:t>
      </w:r>
      <w:hyperlink r:id="rId39">
        <w:r>
          <w:rPr>
            <w:rStyle w:val="Hyperlink"/>
          </w:rPr>
          <w:t xml:space="preserve">10.1093/jac/dkg254</w:t>
        </w:r>
      </w:hyperlink>
    </w:p>
    <w:p>
      <w:pPr>
        <w:pStyle w:val="Bibliography"/>
      </w:pPr>
      <w:r>
        <w:t xml:space="preserve">9. Brown KA, Khanafer N, Daneman N, Fisman DN. Meta-analysis of antibiotics and the risk of community-associated Clostridium difficile infection. Antimicrobial Agents and Chemotherapy. 2013;57: 2326–2332. doi:</w:t>
      </w:r>
      <w:hyperlink r:id="rId40">
        <w:r>
          <w:rPr>
            <w:rStyle w:val="Hyperlink"/>
          </w:rPr>
          <w:t xml:space="preserve">10.1128/AAC.02176-12</w:t>
        </w:r>
      </w:hyperlink>
    </w:p>
    <w:p>
      <w:pPr>
        <w:pStyle w:val="Bibliography"/>
      </w:pPr>
      <w:r>
        <w:t xml:space="preserve">10. Bignardi G. Risk factors for Clostridium difficile infection. Journal of Hospital Infection. 1998;40: 1–15. doi:</w:t>
      </w:r>
      <w:hyperlink r:id="rId41">
        <w:r>
          <w:rPr>
            <w:rStyle w:val="Hyperlink"/>
          </w:rPr>
          <w:t xml:space="preserve">10.1016/S0195-6701(98)90019-6</w:t>
        </w:r>
      </w:hyperlink>
    </w:p>
    <w:p>
      <w:pPr>
        <w:pStyle w:val="Bibliography"/>
      </w:pPr>
      <w:r>
        <w:t xml:space="preserve">11. Antunes LCM, Han J, Ferreira RBR, Loli P, Borchers CH, Finlay BB. Effect of antibiotic treatment on the intestinal metabolome. Antimicrobial Agents and Chemotherapy. 2011;55: 1494–1503. doi:</w:t>
      </w:r>
      <w:hyperlink r:id="rId42">
        <w:r>
          <w:rPr>
            <w:rStyle w:val="Hyperlink"/>
          </w:rPr>
          <w:t xml:space="preserve">10.1128/AAC.01664-10</w:t>
        </w:r>
      </w:hyperlink>
    </w:p>
    <w:p>
      <w:pPr>
        <w:pStyle w:val="Bibliography"/>
      </w:pPr>
      <w:r>
        <w:t xml:space="preserve">12. Jump RLP, Polinkovsky A, Hurless K, Sitzlar B, Eckart K, Tomas M, et al. Metabolomics analysis identifies intestinal microbiota-derived biomarkers of colonization resistance in clindamycin-treated mice. PLoS ONE. 2014;9. doi:</w:t>
      </w:r>
      <w:hyperlink r:id="rId43">
        <w:r>
          <w:rPr>
            <w:rStyle w:val="Hyperlink"/>
          </w:rPr>
          <w:t xml:space="preserve">10.1371/journal.pone.0101267</w:t>
        </w:r>
      </w:hyperlink>
    </w:p>
    <w:p>
      <w:pPr>
        <w:pStyle w:val="Bibliography"/>
      </w:pPr>
      <w:r>
        <w:t xml:space="preserve">13. Theriot CM, Koenigsknecht MJ, Carlson PE, Hatton GE, Nelson AM, Li B, et al. Antibiotic-induced shifts in the mouse gut microbiome and metabolome increase susceptibility to Clostridium difficile infection. Nature communications. 2014;5: 3114. doi:</w:t>
      </w:r>
      <w:hyperlink r:id="rId44">
        <w:r>
          <w:rPr>
            <w:rStyle w:val="Hyperlink"/>
          </w:rPr>
          <w:t xml:space="preserve">10.1038/ncomms4114</w:t>
        </w:r>
      </w:hyperlink>
    </w:p>
    <w:p>
      <w:pPr>
        <w:pStyle w:val="Bibliography"/>
      </w:pPr>
      <w:r>
        <w:t xml:space="preserve">14. Wilson KH, Perini F. Role of competition for nutrients in suppression of Clostridium difficile by the colonic microflora. Infection and Immunity. 1988;56: 2610–2614.</w:t>
      </w:r>
      <w:r>
        <w:t xml:space="preserve"> </w:t>
      </w:r>
    </w:p>
    <w:p>
      <w:pPr>
        <w:pStyle w:val="Bibliography"/>
      </w:pPr>
      <w:r>
        <w:t xml:space="preserve">15. Sambol SP, Merrigan MM, Tang JK, Johnson S, Gerding DN. Colonization for the Prevention of Clostridium difficile Disease in Hamsters. The Journal of infectious diseases. 2002;186: 14–16. doi:</w:t>
      </w:r>
      <w:hyperlink r:id="rId45">
        <w:r>
          <w:rPr>
            <w:rStyle w:val="Hyperlink"/>
          </w:rPr>
          <w:t xml:space="preserve">10.1086/345676</w:t>
        </w:r>
      </w:hyperlink>
    </w:p>
    <w:p>
      <w:pPr>
        <w:pStyle w:val="Bibliography"/>
      </w:pPr>
      <w:r>
        <w:t xml:space="preserve">16. P??rez-Cobas AE, Artacho A, Ott SJ, Moya A, Gosalbes MJ, Latorre A. Structural and functional changes in the gut microbiota associated to Clostridium difficile infection. Frontiers in Microbiology. 2014;5. doi:</w:t>
      </w:r>
      <w:hyperlink r:id="rId46">
        <w:r>
          <w:rPr>
            <w:rStyle w:val="Hyperlink"/>
          </w:rPr>
          <w:t xml:space="preserve">10.3389/fmicb.2014.00335</w:t>
        </w:r>
      </w:hyperlink>
    </w:p>
    <w:p>
      <w:pPr>
        <w:pStyle w:val="Bibliography"/>
      </w:pPr>
      <w:r>
        <w:t xml:space="preserve">17. Zaura E, Brandt BW, Mattos MJT de, Buijs MJ, Caspers MPM, Rashid MU, et al. Same Exposure but two radically different responses to antibiotics: Resilience of the salivary microbiome versus long-term microbial shifts in feces. mBio. 2015;6. doi:</w:t>
      </w:r>
      <w:hyperlink r:id="rId47">
        <w:r>
          <w:rPr>
            <w:rStyle w:val="Hyperlink"/>
          </w:rPr>
          <w:t xml:space="preserve">10.1128/mBio.01693-15</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8">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49">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0">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1">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2">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3">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4">
        <w:r>
          <w:rPr>
            <w:rStyle w:val="Hyperlink"/>
          </w:rPr>
          <w:t xml:space="preserve">10.1186/gb-2011-12-6-r60</w:t>
        </w:r>
      </w:hyperlink>
    </w:p>
    <w:p>
      <w:pPr>
        <w:pStyle w:val="Bibliography"/>
      </w:pPr>
      <w:r>
        <w:t xml:space="preserve">25. Liaw a, Wiener M. Classification and Regression by randomForest. R news. 2002;2: 18–22. doi:</w:t>
      </w:r>
      <w:hyperlink r:id="rId55">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6">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7">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8">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59">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0">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1">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2">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3">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4">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5">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6">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7">
        <w:r>
          <w:rPr>
            <w:rStyle w:val="Hyperlink"/>
          </w:rPr>
          <w:t xml:space="preserve">10.1073/pnas.1613422114</w:t>
        </w:r>
      </w:hyperlink>
    </w:p>
    <w:p>
      <w:pPr>
        <w:pStyle w:val="Bibliography"/>
      </w:pPr>
      <w:r>
        <w:t xml:space="preserve">38. Russel J, Roder H, Madsen J, Burmell M, Soresen S. Antagonism correlates with metabolic similarity in diverse bacteria. PNAS. 2017;</w:t>
      </w:r>
      <w:r>
        <w:t xml:space="preserve"> </w:t>
      </w:r>
    </w:p>
    <w:p>
      <w:pPr>
        <w:pStyle w:val="Bibliography"/>
      </w:pPr>
      <w:r>
        <w:t xml:space="preserve">39. Sheik CS, Jain S, Dick GJ. Metabolic flexibility of enigmatic SAR324 revealed through metagenomics and metatranscriptomics. Environmental Microbiology. 2014;16: 304–317. doi:</w:t>
      </w:r>
      <w:hyperlink r:id="rId68">
        <w:r>
          <w:rPr>
            <w:rStyle w:val="Hyperlink"/>
          </w:rPr>
          <w:t xml:space="preserve">10.1111/1462-2920.12165</w:t>
        </w:r>
      </w:hyperlink>
    </w:p>
    <w:p>
      <w:pPr>
        <w:pStyle w:val="Bibliography"/>
      </w:pPr>
      <w:r>
        <w:t xml:space="preserve">40. Franzosa EA, Morgan XC, Segata N, Waldron L, Reyes J, Earl AM, et al. Relating the metatranscriptome and metagenome of the human gut. Proceedings of the National Academy of Sciences. 2014;111: E2329–E2338. doi:</w:t>
      </w:r>
      <w:hyperlink r:id="rId69">
        <w:r>
          <w:rPr>
            <w:rStyle w:val="Hyperlink"/>
          </w:rPr>
          <w:t xml:space="preserve">10.1073/pnas.1319284111</w:t>
        </w:r>
      </w:hyperlink>
    </w:p>
    <w:p>
      <w:pPr>
        <w:pStyle w:val="Bibliography"/>
      </w:pPr>
      <w:r>
        <w:t xml:space="preserve">41. Jorth P, Turner KH, Gumus P, Nizam N, Buduneli N, Whiteley M. Metatranscriptomics of the human oral microbiome during health and disease. mBio. 2014;5. doi:</w:t>
      </w:r>
      <w:hyperlink r:id="rId70">
        <w:r>
          <w:rPr>
            <w:rStyle w:val="Hyperlink"/>
          </w:rPr>
          <w:t xml:space="preserve">10.1128/mBio.01012-14</w:t>
        </w:r>
      </w:hyperlink>
    </w:p>
    <w:p>
      <w:pPr>
        <w:pStyle w:val="Bibliography"/>
      </w:pPr>
      <w:r>
        <w:t xml:space="preserve">42. Reeves AE, Koenigsknecht MJ, Bergin IL, Young VB. Suppression of Clostridium difficile in the gastrointestinal tracts of germfree mice inoculated with a murine isolate from the family Lachnospiraceae. Infection and Immunity. 2012;80: 3786–3794. doi:</w:t>
      </w:r>
      <w:hyperlink r:id="rId71">
        <w:r>
          <w:rPr>
            <w:rStyle w:val="Hyperlink"/>
          </w:rPr>
          <w:t xml:space="preserve">10.1128/IAI.00647-12</w:t>
        </w:r>
      </w:hyperlink>
    </w:p>
    <w:p>
      <w:pPr>
        <w:pStyle w:val="Bibliography"/>
      </w:pPr>
      <w:r>
        <w:t xml:space="preserve">43. Lawley TD, Clare S, Walker AW, Stares MD, Connor TR, Raisen C, et al. Targeted Restoration of the Intestinal Microbiota with a Simple, Defined Bacteriotherapy Resolves Relapsing Clostridium difficile Disease in Mice. PLoS Pathogens. 2012;8. doi:</w:t>
      </w:r>
      <w:hyperlink r:id="rId72">
        <w:r>
          <w:rPr>
            <w:rStyle w:val="Hyperlink"/>
          </w:rPr>
          <w:t xml:space="preserve">10.1371/journal.ppat.1002995</w:t>
        </w:r>
      </w:hyperlink>
    </w:p>
    <w:p>
      <w:pPr>
        <w:pStyle w:val="Bibliography"/>
      </w:pPr>
      <w:r>
        <w:t xml:space="preserve">44. Petrof EO, Gloor GB, Vanner SJ, Weese SJ, Carter D, Daigneault MC, et al. Stool substitute transplant therapy for the eradication of Clostridium difficile infection: ‘RePOOPulating’ the gut. Microbiome. 2013;1: 3. doi:</w:t>
      </w:r>
      <w:hyperlink r:id="rId73">
        <w:r>
          <w:rPr>
            <w:rStyle w:val="Hyperlink"/>
          </w:rPr>
          <w:t xml:space="preserve">10.1186/2049-2618-1-3</w:t>
        </w:r>
      </w:hyperlink>
    </w:p>
    <w:p>
      <w:pPr>
        <w:pStyle w:val="Bibliography"/>
      </w:pPr>
      <w:r>
        <w:t xml:space="preserve">45. Adlerberth I, Huang H, Lindberg E, Åberg N, Hesselmar B, Saalman R, et al. Toxin-Producing clostridium difficile strains as long-term gut colonizers in healthy infants. Journal of Clinical Microbiology. 2014;52: 173–179. doi:</w:t>
      </w:r>
      <w:hyperlink r:id="rId74">
        <w:r>
          <w:rPr>
            <w:rStyle w:val="Hyperlink"/>
          </w:rPr>
          <w:t xml:space="preserve">10.1128/JCM.01701-13</w:t>
        </w:r>
      </w:hyperlink>
    </w:p>
    <w:p>
      <w:pPr>
        <w:pStyle w:val="Bibliography"/>
      </w:pPr>
      <w:r>
        <w:t xml:space="preserve">46. Wilson KH, Kennedy MJ, Fekety FR. Use of sodium taurocholate to enhance spore recovery on a medium selective for Clostridium difficile. Journal of Clinical Microbiology. 1982;15: 443–446.</w:t>
      </w:r>
      <w:r>
        <w:t xml:space="preserve"> </w:t>
      </w:r>
    </w:p>
    <w:p>
      <w:pPr>
        <w:pStyle w:val="Bibliography"/>
      </w:pPr>
      <w:r>
        <w:t xml:space="preserve">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5">
        <w:r>
          <w:rPr>
            <w:rStyle w:val="Hyperlink"/>
          </w:rPr>
          <w:t xml:space="preserve">10.1128/IAI.02561-14</w:t>
        </w:r>
      </w:hyperlink>
    </w:p>
    <w:p>
      <w:pPr>
        <w:pStyle w:val="Bibliography"/>
      </w:pPr>
      <w:r>
        <w:t xml:space="preserve">48. Kozich J, Westcott S, Baxter N, Highlander S, Schloss P. 16S Sequencing with the Illumina MiSeq Personal Sequencer. University of Michigan Health System SOP. 2013;3.1: 1–16.</w:t>
      </w:r>
      <w:r>
        <w:t xml:space="preserve"> </w:t>
      </w:r>
    </w:p>
    <w:p>
      <w:pPr>
        <w:pStyle w:val="Bibliography"/>
      </w:pPr>
      <w:r>
        <w:t xml:space="preserve">49. Lopez-Medina E, Neubauer MM, Pier GB, Koh AY. RNA isolation of Pseudomonas aeruginosa colonizing the murine gastrointestinal tract. Journal of visualized experiments : JoVE. 2011; 6–9. doi:</w:t>
      </w:r>
      <w:hyperlink r:id="rId76">
        <w:r>
          <w:rPr>
            <w:rStyle w:val="Hyperlink"/>
          </w:rPr>
          <w:t xml:space="preserve">10.3791/3293</w:t>
        </w:r>
      </w:hyperlink>
    </w:p>
    <w:p>
      <w:pPr>
        <w:pStyle w:val="Bibliography"/>
      </w:pPr>
      <w:r>
        <w:t xml:space="preserve">50. Martin M. Cutadapt removes adapter sequences from high-throughput sequencing reads. EMBnet. 2011;17: 10. doi:</w:t>
      </w:r>
      <w:hyperlink r:id="rId77">
        <w:r>
          <w:rPr>
            <w:rStyle w:val="Hyperlink"/>
          </w:rPr>
          <w:t xml:space="preserve">10.14806/ej.17.1.200</w:t>
        </w:r>
      </w:hyperlink>
    </w:p>
    <w:p>
      <w:pPr>
        <w:pStyle w:val="Bibliography"/>
      </w:pPr>
      <w:r>
        <w:t xml:space="preserve">51. Joshi N, Fass J. Sickle: A sliding-window, adaptive, quality-based trimming tool for FastQ files (Version 1.33) [Software]. Available at https://githubcom/najoshi/sickle. 2011; 2011.</w:t>
      </w:r>
      <w:r>
        <w:t xml:space="preserve"> </w:t>
      </w:r>
    </w:p>
    <w:p>
      <w:pPr>
        <w:pStyle w:val="Bibliography"/>
      </w:pPr>
      <w:r>
        <w:t xml:space="preserve">52. Li D, Liu CM, Luo R, Sadakane K, Lam TW. MEGAHIT: An ultra-fast single-node solution for large and complex metagenomics assembly via succinct de Bruijn graph. Bioinformatics. 2014;31: 1674–1676. doi:</w:t>
      </w:r>
      <w:hyperlink r:id="rId78">
        <w:r>
          <w:rPr>
            <w:rStyle w:val="Hyperlink"/>
          </w:rPr>
          <w:t xml:space="preserve">10.1093/bioinformatics/btv033</w:t>
        </w:r>
      </w:hyperlink>
    </w:p>
    <w:p>
      <w:pPr>
        <w:pStyle w:val="Bibliography"/>
      </w:pPr>
      <w:r>
        <w:t xml:space="preserve">53. Ogata H, Goto S, Sato K, Fujibuchi W, Bono H, Kanehisa M. KEGG: Kyoto encyclopedia of genes and genomes. 1999. pp. 29–34. doi:</w:t>
      </w:r>
      <w:hyperlink r:id="rId79">
        <w:r>
          <w:rPr>
            <w:rStyle w:val="Hyperlink"/>
          </w:rPr>
          <w:t xml:space="preserve">10.1093/nar/27.1.29</w:t>
        </w:r>
      </w:hyperlink>
    </w:p>
    <w:p>
      <w:pPr>
        <w:pStyle w:val="Bibliography"/>
      </w:pPr>
      <w:r>
        <w:t xml:space="preserve">54. Buchfink B, Xie C, Huson DH. Fast and sensitive protein alignment using DIAMOND. Nature methods. 2015;12: 59–60. doi:</w:t>
      </w:r>
      <w:hyperlink r:id="rId80">
        <w:r>
          <w:rPr>
            <w:rStyle w:val="Hyperlink"/>
          </w:rPr>
          <w:t xml:space="preserve">10.1038/nmeth.3176</w:t>
        </w:r>
      </w:hyperlink>
    </w:p>
    <w:p>
      <w:pPr>
        <w:pStyle w:val="Bibliography"/>
      </w:pPr>
      <w:r>
        <w:t xml:space="preserve">55. Langmead B, Salzberg SL. Fast gapped-read alignment with Bowtie 2. Nature methods. 2012;9: 357–9. doi:</w:t>
      </w:r>
      <w:hyperlink r:id="rId81">
        <w:r>
          <w:rPr>
            <w:rStyle w:val="Hyperlink"/>
          </w:rPr>
          <w:t xml:space="preserve">10.1038/nmeth.1923</w:t>
        </w:r>
      </w:hyperlink>
    </w:p>
    <w:p>
      <w:pPr>
        <w:pStyle w:val="Bibliography"/>
      </w:pPr>
      <w:r>
        <w:t xml:space="preserve">56. Li H, Handsaker B, Wysoker A, Fennell T, Ruan J, Homer N, et al. The Sequence Alignment/Map format and SAMtools. Bioinformatics. 2009;25: 2078–2079. doi:</w:t>
      </w:r>
      <w:hyperlink r:id="rId82">
        <w:r>
          <w:rPr>
            <w:rStyle w:val="Hyperlink"/>
          </w:rPr>
          <w:t xml:space="preserve">10.1093/bioinformatics/btp352</w:t>
        </w:r>
      </w:hyperlink>
    </w:p>
    <w:p>
      <w:pPr>
        <w:pStyle w:val="Bibliography"/>
      </w:pPr>
      <w:r>
        <w:t xml:space="preserve">57. Breiman L. Random forests. Machine Learning. 2001;45: 5–32. doi:</w:t>
      </w:r>
      <w:hyperlink r:id="rId83">
        <w:r>
          <w:rPr>
            <w:rStyle w:val="Hyperlink"/>
          </w:rPr>
          <w:t xml:space="preserve">10.1023/A:1010933404324</w:t>
        </w:r>
      </w:hyperlink>
    </w:p>
    <w:p>
      <w:pPr>
        <w:pStyle w:val="Bibliography"/>
      </w:pPr>
      <w:r>
        <w:t xml:space="preserve">58. Segal MR. Machine Learning Benchmarks and Random Forest Regression. Biostatistics. 2004; 1–14. Available:</w:t>
      </w:r>
      <w:r>
        <w:t xml:space="preserve"> </w:t>
      </w:r>
      <w:hyperlink r:id="rId84">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40e32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1"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4"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5"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39"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42" Target="https://doi.org/10.1128/AAC.01664-10" TargetMode="External" /><Relationship Type="http://schemas.openxmlformats.org/officeDocument/2006/relationships/hyperlink" Id="rId40"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7"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3"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6"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1"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4"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5"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39"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42" Target="https://doi.org/10.1128/AAC.01664-10" TargetMode="External" /><Relationship Type="http://schemas.openxmlformats.org/officeDocument/2006/relationships/hyperlink" Id="rId40"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7"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3"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6"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differentially alters the structure and metabolism of distinct cecal microbiomes to promote persistent colonization during infection</dc:title>
  <dc:creator/>
  <dcterms:created xsi:type="dcterms:W3CDTF">2017-10-29T19:38:36Z</dcterms:created>
  <dcterms:modified xsi:type="dcterms:W3CDTF">2017-10-29T19:38:36Z</dcterms:modified>
</cp:coreProperties>
</file>