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w:t>
      </w:r>
      <w:r>
        <w:rPr>
          <w:b w:val="false"/>
          <w:bCs w:val="false"/>
          <w:sz w:val="24"/>
          <w:szCs w:val="24"/>
        </w:rPr>
        <w:t xml:space="preserve">the </w:t>
      </w:r>
      <w:r>
        <w:rPr>
          <w:b w:val="false"/>
          <w:bCs w:val="false"/>
          <w:sz w:val="24"/>
          <w:szCs w:val="24"/>
        </w:rPr>
        <w:t>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rFonts w:ascii="Arial" w:hAnsi="Arial"/>
          <w:i w:val="false"/>
          <w:i w:val="false"/>
          <w:iCs w:val="false"/>
          <w:vertAlign w:val="superscript"/>
        </w:rPr>
      </w:pPr>
      <w:r>
        <w:rPr>
          <w:i w:val="false"/>
          <w:iCs w:val="false"/>
          <w:vertAlign w:val="superscript"/>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sz w:val="24"/>
          <w:szCs w:val="24"/>
        </w:rPr>
      </w:pPr>
      <w:r>
        <w:rPr>
          <w:i w:val="false"/>
          <w:iCs w:val="false"/>
          <w:sz w:val="24"/>
          <w:szCs w:val="24"/>
        </w:rPr>
        <w:t>Jhansi L. Leslie – jlleslie@umich.edu</w:t>
      </w:r>
    </w:p>
    <w:p>
      <w:pPr>
        <w:pStyle w:val="Normal"/>
        <w:spacing w:lineRule="auto" w:line="480"/>
        <w:rPr>
          <w:sz w:val="24"/>
          <w:szCs w:val="24"/>
        </w:rPr>
      </w:pPr>
      <w:r>
        <w:rPr>
          <w:i w:val="false"/>
          <w:iCs w:val="false"/>
          <w:sz w:val="24"/>
          <w:szCs w:val="24"/>
        </w:rPr>
        <w:t>Vincent B. Young – youngvi@med.umich.edu</w:t>
      </w:r>
    </w:p>
    <w:p>
      <w:pPr>
        <w:pStyle w:val="Normal"/>
        <w:spacing w:lineRule="auto" w:line="480"/>
        <w:rPr>
          <w:position w:val="0"/>
          <w:sz w:val="24"/>
          <w:sz w:val="24"/>
          <w:szCs w:val="24"/>
          <w:vertAlign w:val="baseline"/>
        </w:rPr>
      </w:pPr>
      <w:bookmarkStart w:id="1" w:name="__DdeLink__1433_2080638894"/>
      <w:bookmarkStart w:id="2" w:name="__DdeLink__2844_965882799"/>
      <w:bookmarkEnd w:id="1"/>
      <w:bookmarkEnd w:id="2"/>
      <w:r>
        <w:rPr>
          <w:i w:val="false"/>
          <w:iCs w:val="false"/>
          <w:position w:val="0"/>
          <w:sz w:val="24"/>
          <w:sz w:val="24"/>
          <w:szCs w:val="24"/>
          <w:vertAlign w:val="baseline"/>
        </w:rPr>
        <w:t>Patrick D. Schloss – pschloss@umich.edu</w:t>
      </w:r>
    </w:p>
    <w:p>
      <w:pPr>
        <w:pStyle w:val="Heading3"/>
        <w:rPr/>
      </w:pPr>
      <w:bookmarkStart w:id="3" w:name="abstract"/>
      <w:bookmarkEnd w:id="3"/>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streptomycin-treated mice, which become persistently colonized. Using metagenome-enabled metatranscriptomics, we observed that the infected communities were enriched in pathways associated with amino acid metabolism and particularly in non-dominant species relative to mock-infected controls. Conversely, in clindamycin pretreatment where </w:t>
      </w:r>
      <w:r>
        <w:rPr>
          <w:i/>
        </w:rPr>
        <w:t>C. difficile</w:t>
      </w:r>
      <w:r>
        <w:rPr/>
        <w:t xml:space="preserve"> is cleared within 8 days,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prevent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is the etiological agent of </w:t>
      </w:r>
      <w:r>
        <w:rPr>
          <w:i/>
        </w:rPr>
        <w:t>Clostridium difficile</w:t>
      </w:r>
      <w:r>
        <w:rPr/>
        <w:t xml:space="preserve"> infection (CDI), a toxin-mediated diarrheal disease that has dramatically increased in prevalence over the last 10 years and results in an estimated 453,000 infections with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means for these environments during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nutrients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and in spite of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treatments are associated with different patterns of clearance following primary infection.</w:t>
      </w:r>
      <w:r>
        <w:rPr/>
        <w:t xml:space="preserve"> Conventionally-reared SPF mice were 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classes of antibiotics,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this toxigenic </w:t>
      </w:r>
      <w:r>
        <w:rPr>
          <w:i/>
        </w:rPr>
        <w:t>C. difficile</w:t>
      </w:r>
      <w:r>
        <w:rPr/>
        <w:t xml:space="preserve"> strain was based on its moderate clinical severity in mouse models [20], previous studies of </w:t>
      </w:r>
      <w:r>
        <w:rPr>
          <w:i/>
        </w:rPr>
        <w:t>in vitro</w:t>
      </w:r>
      <w:r>
        <w:rPr/>
        <w:t xml:space="preserve"> metabolism [21], and well-annotated genome [22]. Briefly, mice were treated with the respective antibiotic and were subsequently orally gavaged ~1x10</w:t>
      </w:r>
      <w:r>
        <w:rPr>
          <w:vertAlign w:val="superscript"/>
        </w:rPr>
        <w:t>3</w:t>
      </w:r>
      <w:r>
        <w:rPr/>
        <w:t xml:space="preserve"> </w:t>
      </w:r>
      <w:r>
        <w:rPr>
          <w:i/>
        </w:rPr>
        <w:t>C. difficile</w:t>
      </w:r>
      <w:r>
        <w:rPr/>
        <w:t xml:space="preserve"> str. 630 spores (Fig. 1A). We then monitored for disease over the following 10 days and quantified the density of </w:t>
      </w:r>
      <w:r>
        <w:rPr>
          <w:i/>
        </w:rPr>
        <w:t>C. difficile</w:t>
      </w:r>
      <w:r>
        <w:rPr/>
        <w:t xml:space="preserve"> in feces over time. In each antibiotic treatment model, we observed equally high levels of </w:t>
      </w:r>
      <w:r>
        <w:rPr>
          <w:i/>
        </w:rPr>
        <w:t>C. difficile</w:t>
      </w:r>
      <w:r>
        <w:rPr/>
        <w:t xml:space="preserve"> colonization on the day after infection; however over the following 8 days, only clindamycin treated mice cleared the infection (Fig. 1B).</w:t>
      </w:r>
    </w:p>
    <w:p>
      <w:pPr>
        <w:pStyle w:val="TextBody"/>
        <w:rPr/>
      </w:pPr>
      <w:r>
        <w:rPr>
          <w:b/>
          <w:i/>
        </w:rPr>
        <w:t>C. difficile</w:t>
      </w:r>
      <w:r>
        <w:rPr>
          <w:b/>
        </w:rPr>
        <w:t xml:space="preserve"> differentially expresses virulence factors across separate antibiotic treatments.</w:t>
      </w:r>
      <w:r>
        <w:rPr/>
        <w:t xml:space="preserve"> We hypothesized that the clindamycin-treated mice were able to clear the infection while the other groups were not because the affected microbiota occupied niche space that was more similar to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sporulation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This end point corresponded with a previous study where </w:t>
      </w:r>
      <w:r>
        <w:rPr>
          <w:i/>
        </w:rPr>
        <w:t>C. difficile</w:t>
      </w:r>
      <w:r>
        <w:rPr/>
        <w:t xml:space="preserve"> reached maximum cecal vegetative cell density with few detectable spores [23]. We also elected to take all further measurements from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antibiotic-treatment group. All susceptible mice were colonized to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sporulation and toxin activity as activation of both processes has been linked to environmental concentrations of specific growth nutrients [21]. Despite having similar density of vegetative </w:t>
      </w:r>
      <w:r>
        <w:rPr>
          <w:i/>
        </w:rPr>
        <w:t>C. difficile</w:t>
      </w:r>
      <w:r>
        <w:rPr/>
        <w:t xml:space="preserve"> cells, varying levels of both spore cfu density and toxin titer were observed across each of the antibiotic treatments. These results showed that </w:t>
      </w:r>
      <w:r>
        <w:rPr>
          <w:i/>
        </w:rPr>
        <w:t>C. difficile</w:t>
      </w:r>
      <w:r>
        <w:rPr/>
        <w:t xml:space="preserve"> colonized different antibiotic-treated mice to consistently high levels, and the distinct 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treatment significantly impacted both cecal community structure (Bray-Curtis distances) and diversity (inverse-Simpson) compared to untreated control mice (all </w:t>
      </w:r>
      <w:r>
        <w:rPr>
          <w:i/>
        </w:rPr>
        <w:t>p</w:t>
      </w:r>
      <w:r>
        <w:rPr/>
        <w:t xml:space="preserve"> &lt; 0.001, Fig. S1A &amp; S2B). We then confirmed that each antibiotic treatment induced distinct shifts in the community structure which were significantly different (all </w:t>
      </w:r>
      <w:r>
        <w:rPr>
          <w:i/>
        </w:rPr>
        <w:t>p</w:t>
      </w:r>
      <w:r>
        <w:rPr/>
        <w:t xml:space="preserve"> &lt; 0.001, Fig. S1C). The composition of streptomycin-treated communities was more variable between cages, but was generally enriched for members of phylum </w:t>
      </w:r>
      <w:r>
        <w:rPr>
          <w:i/>
        </w:rPr>
        <w:t>Bacteroidetes</w:t>
      </w:r>
      <w:r>
        <w:rPr/>
        <w:t xml:space="preserve"> (Fig. 2A). Cefoperazone and clindamycin-treated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treatment, those communities were colonized to the same density of </w:t>
      </w:r>
      <w:r>
        <w:rPr>
          <w:i/>
        </w:rPr>
        <w:t>C. difficile</w:t>
      </w:r>
      <w:r>
        <w:rPr/>
        <w:t xml:space="preserve">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treatment group. Utilizing LEfSe differential abundant feature detection [24],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 </w:t>
      </w:r>
      <w:r>
        <w:rPr>
          <w:i/>
        </w:rPr>
        <w:t>C. difficile</w:t>
      </w:r>
      <w:r>
        <w:rPr/>
        <w:t xml:space="preserve">-infected conditions.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treatment that generated </w:t>
      </w:r>
      <w:r>
        <w:rPr>
          <w:i/>
        </w:rPr>
        <w:t>C. difficile</w:t>
      </w:r>
      <w:r>
        <w:rPr/>
        <w:t xml:space="preserve">-susceptible conditions (Fig. 3). All of the antibiotic treatments significantly altered the cecal metabolome compared to untreated, </w:t>
      </w:r>
      <w:r>
        <w:rPr>
          <w:i/>
        </w:rPr>
        <w:t>C. difficile</w:t>
      </w:r>
      <w:r>
        <w:rPr/>
        <w:t>-resistant mice as quantified by Bray-Curtis dissimilarity (</w:t>
      </w:r>
      <w:r>
        <w:rPr>
          <w:i/>
        </w:rPr>
        <w:t>p</w:t>
      </w:r>
      <w:r>
        <w:rPr/>
        <w:t xml:space="preserve"> &lt;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to distinct susceptible metabolomic structures.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treatment. This molecule is a by-product of amino acid catabolism and is typically oxidized under normal conditions back into glycine [26]. These data support the hypothesis that amino acid catabolism is disrupted at a community-level following antibiotic treatment and may suggest open nutrient niches for </w:t>
      </w:r>
      <w:r>
        <w:rPr>
          <w:i/>
        </w:rPr>
        <w:t>C. difficile</w:t>
      </w:r>
      <w:r>
        <w:rPr/>
        <w:t xml:space="preserve">, a known fermenter of peptides [27],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treatment that are now accessible to </w:t>
      </w:r>
      <w:r>
        <w:rPr>
          <w:i/>
        </w:rPr>
        <w:t>C. difficile</w:t>
      </w:r>
      <w:r>
        <w:rPr/>
        <w:t xml:space="preserve"> (Fig. 2D). These data suggested that the populations responsible for chains of carbohydrate fermentation that result in short-chain fatty acid (SCFA) production may be differentially affected by different classes of antibiotics. The distinct antibiotics allowed for different forms of nutrient catabolism to survive the 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treatment group individually. We compared the cecal metabolomes from all mice across 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treated metabolomes deviated significantly from that of mock infection (Fig. 4A-4B). However, clindamycin treated cecal metabolomes were not significantly altered by the presence of the pathogen (</w:t>
      </w:r>
      <w:r>
        <w:rPr>
          <w:i/>
        </w:rPr>
        <w:t>p</w:t>
      </w:r>
      <w:r>
        <w:rPr/>
        <w:t xml:space="preserve"> = 0.127; Fig. 4C). These results diverged from what was seen in the paired OTU relative abundance results where instead the community structure of cefoperazone was unchanged and clindamycin was significantly different (</w:t>
      </w:r>
      <w:r>
        <w:rPr>
          <w:i/>
        </w:rPr>
        <w:t>p</w:t>
      </w:r>
      <w:r>
        <w:rPr/>
        <w:t xml:space="preserve"> = 0.003; Fig. S4E, S5F, &amp; 5C). Interestingly, streptomycin-treated microbiomes were significantly altered by </w:t>
      </w:r>
      <w:r>
        <w:rPr>
          <w:i/>
        </w:rPr>
        <w:t>C. difficile</w:t>
      </w:r>
      <w:r>
        <w:rPr/>
        <w:t xml:space="preserve"> 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applied the Random Forest machine-learning algorithm again that was used earlier to differentiate infected and uninfected metabolomes overall and within each treatment group separately.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clindamycin-treated mice (Fig. 4C, Out-of-bag error = 44.44%). None of the top 5 MDA metabolites in each antibiotic pretreatment were shared across all groups during individual analysis. These data supported our hypothesis that not only does each antibiotic 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treatments resulted in distinct bacterial communities that led to altered metabolite profiles. It is also possible that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treatment resulted in a significantly more diverse community (Fig. S1A) than other groups, so a more diverse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TextBody"/>
        <w:rPr/>
      </w:pPr>
      <w:r>
        <w:rPr/>
        <w:t xml:space="preserve">Utilizing the fully normalized metatranscriptomes, we first focused on differences in gene expression in broadly defined pathways and gene categories for each antibiotic 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treatment (Fig. 5A). In streptomycin and clindamycin-treated mice, greater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treated mice while starch/sucrose metabolism and PTS systems were more abundant associated with clindamycin treated mice. Together these shifts suggested that communities differentially adapt carbon metabolism pathways in response to colonization of </w:t>
      </w:r>
      <w:r>
        <w:rPr>
          <w:i/>
        </w:rPr>
        <w:t>C. difficile</w:t>
      </w:r>
      <w:r>
        <w:rPr/>
        <w:t xml:space="preserve">. Conversely, the largest differences seen in cefoperazone treated mice were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treatment groups when compared to mock infection of untreated, resistant communities (Fig. S5).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Because not all bacterial taxa share identical metabolic capabilities, we hypothesized that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 </w:t>
      </w:r>
      <w:r>
        <w:rPr>
          <w:i/>
        </w:rPr>
        <w:t>C. difficile</w:t>
      </w:r>
      <w:r>
        <w:rPr/>
        <w:t xml:space="preserve"> infection for the x and y axes, respectively. This causes genes with equal transcription in both conditions being compared to be strongly correlated and positioned proximal to the central diagonal line.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 This indicated that the community gene expression was not meaningfully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genes-level taxonomic information for each transcript revealed that outlier genes were contributed by underrepresented genera. In streptomycin-treated mice, the most prominent differences were in 937 genes belonging to </w:t>
      </w:r>
      <w:r>
        <w:rPr>
          <w:i/>
        </w:rPr>
        <w:t>Lactobacillus</w:t>
      </w:r>
      <w:r>
        <w:rPr/>
        <w:t xml:space="preserve"> that were upregulated with </w:t>
      </w:r>
      <w:r>
        <w:rPr>
          <w:i/>
        </w:rPr>
        <w:t>C. difficile</w:t>
      </w:r>
      <w:r>
        <w:rPr/>
        <w:t xml:space="preserve"> infection (Fig. 6A). In cefoperazone-treated mice 2290 genes belonging to </w:t>
      </w:r>
      <w:r>
        <w:rPr>
          <w:i/>
        </w:rPr>
        <w:t>Bacteroides</w:t>
      </w:r>
      <w:r>
        <w:rPr/>
        <w:t xml:space="preserve"> were upregulated in mock infected mice (Fig. 6B). A consistent trend in streptomycin and cefoperazone treatments was an overrepresentation of highly expressed genes from genera belonging to </w:t>
      </w:r>
      <w:r>
        <w:rPr>
          <w:i/>
        </w:rPr>
        <w:t>Bacteroidetes</w:t>
      </w:r>
      <w:r>
        <w:rPr/>
        <w:t xml:space="preserve"> during mock infection. The metatransciptomes within both of these 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clindamycin-treated mice the largest difference in transcription was for 510 </w:t>
      </w:r>
      <w:r>
        <w:rPr>
          <w:i/>
        </w:rPr>
        <w:t>Lactobacillus</w:t>
      </w:r>
      <w:r>
        <w:rPr/>
        <w:t xml:space="preserve"> genes that were upregulated during CDI (Fig. 6C). Infected and uninfected metatranscriptomes associated with this antibiotic correlated more strongly than either other 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differentially modifies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treatment models. Only in the clindamyin treatment model were animals able to go on to clear </w:t>
      </w:r>
      <w:r>
        <w:rPr>
          <w:i/>
        </w:rPr>
        <w:t>C. difficile</w:t>
      </w:r>
      <w:r>
        <w:rPr/>
        <w:t xml:space="preserve">. Unlike the other conditions, clindamycin-treated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model of infection with a conventional community of microbes. Interestingly, the taxonomic groups that were represented as outliers in the normalized metatranscriptomes of each antibiotic 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of a medically relevant bacterial pathogen altering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In both cases the pathogen modified aspects of the microbiota it was colonizing. In the case of </w:t>
      </w:r>
      <w:r>
        <w:rPr>
          <w:i/>
        </w:rPr>
        <w:t>C. difficile</w:t>
      </w:r>
      <w:r>
        <w:rPr/>
        <w:t xml:space="preserve"> the interaction involves access to nutrients.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generalizeability of our results, this approach has been successfully utilized by numerous groups in the past to accurately characterize transcriptionaly sctivity across communities of bacteria [19,38–40]. In terms of metabolomics, alternative possible interpretations of the data also exist. For example, we considered metabolites that did not change in concentration between uninfected and infected conditions as unimpacted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colonization densities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[19,46].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[39].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[55]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ments"/>
      <w:bookmarkEnd w:id="9"/>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0" w:name="figure-legends"/>
      <w:bookmarkEnd w:id="10"/>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treatment and infection mouse models. </w:t>
      </w:r>
      <w:r>
        <w:rPr>
          <w:b/>
        </w:rPr>
        <w:t>(B)</w:t>
      </w:r>
      <w:r>
        <w:rPr/>
        <w:t xml:space="preserve"> </w:t>
      </w:r>
      <w:r>
        <w:rPr>
          <w:i/>
        </w:rPr>
        <w:t>C. difficile</w:t>
      </w:r>
      <w:r>
        <w:rPr/>
        <w:t xml:space="preserve"> 630 CFU in stool of infected mice following each antibiotic treatment regime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treatment group. </w:t>
      </w:r>
      <w:r>
        <w:rPr>
          <w:b/>
        </w:rPr>
        <w:t>(B-D)</w:t>
      </w:r>
      <w:r>
        <w:rPr/>
        <w:t xml:space="preserve"> Discriminating OTUs with LEfSe analysis between Mock and </w:t>
      </w:r>
      <w:r>
        <w:rPr>
          <w:i/>
        </w:rPr>
        <w:t>C. difficile</w:t>
      </w:r>
      <w:r>
        <w:rPr/>
        <w:t xml:space="preserve">-infected communities within each 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p</w:t>
      </w:r>
      <w:r>
        <w:rPr/>
        <w:t xml:space="preserve"> &lt; 0.001). (B) Antibiotic 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 </w:t>
      </w:r>
      <w:r>
        <w:rPr>
          <w:b/>
        </w:rPr>
        <w:t>(A)</w:t>
      </w:r>
      <w:r>
        <w:rPr/>
        <w:t xml:space="preserve"> Streptomycin-treated, </w:t>
      </w:r>
      <w:r>
        <w:rPr>
          <w:b/>
        </w:rPr>
        <w:t>(B)</w:t>
      </w:r>
      <w:r>
        <w:rPr/>
        <w:t xml:space="preserve"> Cefoperazone-treated, and </w:t>
      </w:r>
      <w:r>
        <w:rPr>
          <w:b/>
        </w:rPr>
        <w:t>(C)</w:t>
      </w:r>
      <w:r>
        <w:rPr/>
        <w:t xml:space="preserve"> Clindamycin-treated.</w:t>
      </w:r>
    </w:p>
    <w:p>
      <w:pPr>
        <w:pStyle w:val="TextBody"/>
        <w:rPr/>
      </w:pPr>
      <w:r>
        <w:rPr>
          <w:b/>
        </w:rPr>
        <w:t xml:space="preserve">Supplementary Figure 1 | Impact of antibiotic treatment and </w:t>
      </w:r>
      <w:r>
        <w:rPr>
          <w:b/>
          <w:i/>
        </w:rPr>
        <w:t>C. difficile</w:t>
      </w:r>
      <w:r>
        <w:rPr>
          <w:b/>
        </w:rPr>
        <w:t xml:space="preserve"> infection on cecal community structure</w:t>
      </w:r>
      <w:r>
        <w:rPr/>
        <w:t xml:space="preserve"> </w:t>
      </w:r>
      <w:r>
        <w:rPr>
          <w:b/>
        </w:rPr>
        <w:t>(A)</w:t>
      </w:r>
      <w:r>
        <w:rPr/>
        <w:t xml:space="preserve"> Inverse-Simpson diversity of cecal communities from all treatment groups. Gray stars indicate significant difference from no antibiotic controls (all </w:t>
      </w:r>
      <w:r>
        <w:rPr>
          <w:i/>
        </w:rPr>
        <w:t>p</w:t>
      </w:r>
      <w:r>
        <w:rPr/>
        <w:t xml:space="preserve"> &lt; 0.001). Black stars denote within 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Antibiotic-treated compared to Untreated controls and </w:t>
      </w:r>
      <w:r>
        <w:rPr>
          <w:b/>
        </w:rPr>
        <w:t>(C)</w:t>
      </w:r>
      <w:r>
        <w:rPr/>
        <w:t xml:space="preserve"> comparison between only antibiotic treatment groups. </w:t>
      </w:r>
      <w:r>
        <w:rPr>
          <w:b/>
        </w:rPr>
        <w:t>(D-F)</w:t>
      </w:r>
      <w:r>
        <w:rPr/>
        <w:t xml:space="preserve"> Within antibiotic 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treatment groups</w:t>
      </w:r>
      <w:r>
        <w:rPr/>
        <w:t xml:space="preserve"> Pooled analysis of antibiotic 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Supplementary Figure 5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treatment: </w:t>
      </w:r>
      <w:r>
        <w:rPr>
          <w:b/>
        </w:rPr>
        <w:t>(A)</w:t>
      </w:r>
      <w:r>
        <w:rPr/>
        <w:t xml:space="preserve"> mock infection, </w:t>
      </w:r>
      <w:r>
        <w:rPr>
          <w:b/>
        </w:rPr>
        <w:t>(B)</w:t>
      </w:r>
      <w:r>
        <w:rPr/>
        <w:t xml:space="preserve"> </w:t>
      </w:r>
      <w:r>
        <w:rPr>
          <w:i/>
        </w:rPr>
        <w:t>C. difficile</w:t>
      </w:r>
      <w:r>
        <w:rPr/>
        <w:t xml:space="preserve"> infection. Cefoperazone treatment: </w:t>
      </w:r>
      <w:r>
        <w:rPr>
          <w:b/>
        </w:rPr>
        <w:t>(C)</w:t>
      </w:r>
      <w:r>
        <w:rPr/>
        <w:t xml:space="preserve"> mock infection, </w:t>
      </w:r>
      <w:r>
        <w:rPr>
          <w:b/>
        </w:rPr>
        <w:t>(D)</w:t>
      </w:r>
      <w:r>
        <w:rPr/>
        <w:t xml:space="preserve"> </w:t>
      </w:r>
      <w:r>
        <w:rPr>
          <w:i/>
        </w:rPr>
        <w:t>C. difficile</w:t>
      </w:r>
      <w:r>
        <w:rPr/>
        <w:t xml:space="preserve"> infection. Clindamycin 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treatment regimes</w:t>
      </w:r>
      <w:r>
        <w:rPr/>
        <w:t xml:space="preserve"> Antibiotic classes, mechanisms, and dosage information for each 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treatment and infection group</w:t>
      </w:r>
    </w:p>
    <w:p>
      <w:pPr>
        <w:pStyle w:val="Heading3"/>
        <w:rPr/>
      </w:pPr>
      <w:bookmarkStart w:id="11" w:name="references"/>
      <w:bookmarkEnd w:id="11"/>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38.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39.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40.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41.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42.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43.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44.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45. Wilson KH, Kennedy MJ, Fekety FR. Use of sodium taurocholate to enhance spore recovery on a medium selective for Clostridium difficile. Journal of Clinical Microbiology. 1982;15: 443–446. </w:t>
      </w:r>
    </w:p>
    <w:p>
      <w:pPr>
        <w:pStyle w:val="Bibliography"/>
        <w:rPr/>
      </w:pPr>
      <w:r>
        <w:rPr/>
        <w:t>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47. Kozich J( of M, Schloss P. 16S Sequencing with the Illumina MiSeq Personal Sequencer. University of Michigan Health System SOP. 2013;3.1: 1–16. </w:t>
      </w:r>
    </w:p>
    <w:p>
      <w:pPr>
        <w:pStyle w:val="Bibliography"/>
        <w:rPr/>
      </w:pPr>
      <w:r>
        <w:rPr/>
        <w:t>48.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49. Martin M. Cutadapt removes adapter sequences from high-throughput sequencing reads. EMBnet. 2011;17: 10. doi:</w:t>
      </w:r>
      <w:hyperlink r:id="rId49">
        <w:r>
          <w:rPr>
            <w:rStyle w:val="InternetLink"/>
          </w:rPr>
          <w:t>10.14806/ej.17.1.200</w:t>
        </w:r>
      </w:hyperlink>
    </w:p>
    <w:p>
      <w:pPr>
        <w:pStyle w:val="Bibliography"/>
        <w:rPr/>
      </w:pPr>
      <w:r>
        <w:rPr/>
        <w:t xml:space="preserve">50. Joshi N, Fass J. Sickle: A sliding-window, adaptive, quality-based trimming tool for FastQ files (Version 1.33) [Software]. Available at https://githubcom/najoshi/sickle. 2011; 2011. </w:t>
      </w:r>
    </w:p>
    <w:p>
      <w:pPr>
        <w:pStyle w:val="Bibliography"/>
        <w:rPr/>
      </w:pPr>
      <w:r>
        <w:rPr/>
        <w:t>51.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52. Ogata H, Goto S, Sato K, Fujibuchi W, Bono H, Kanehisa M. KEGG: Kyoto encyclopedia of genes and genomes. 1999. pp. 29–34. doi:</w:t>
      </w:r>
      <w:hyperlink r:id="rId51">
        <w:r>
          <w:rPr>
            <w:rStyle w:val="InternetLink"/>
          </w:rPr>
          <w:t>10.1093/nar/27.1.29</w:t>
        </w:r>
      </w:hyperlink>
    </w:p>
    <w:p>
      <w:pPr>
        <w:pStyle w:val="Bibliography"/>
        <w:rPr/>
      </w:pPr>
      <w:r>
        <w:rPr/>
        <w:t>53. Buchfink B, Xie C, Huson DH. Fast and sensitive protein alignment using DIAMOND. Nature methods. 2015;12: 59–60. doi:</w:t>
      </w:r>
      <w:hyperlink r:id="rId52">
        <w:r>
          <w:rPr>
            <w:rStyle w:val="InternetLink"/>
          </w:rPr>
          <w:t>10.1038/nmeth.3176</w:t>
        </w:r>
      </w:hyperlink>
    </w:p>
    <w:p>
      <w:pPr>
        <w:pStyle w:val="Bibliography"/>
        <w:rPr/>
      </w:pPr>
      <w:r>
        <w:rPr/>
        <w:t>54. Langmead B, Salzberg SL. Fast gapped-read alignment with Bowtie 2. Nature methods. 2012;9: 357–9. doi:</w:t>
      </w:r>
      <w:hyperlink r:id="rId53">
        <w:r>
          <w:rPr>
            <w:rStyle w:val="InternetLink"/>
          </w:rPr>
          <w:t>10.1038/nmeth.1923</w:t>
        </w:r>
      </w:hyperlink>
    </w:p>
    <w:p>
      <w:pPr>
        <w:pStyle w:val="Bibliography"/>
        <w:rPr/>
      </w:pPr>
      <w:r>
        <w:rPr/>
        <w:t>55.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56. Breiman L. Random forests. Machine Learning. 2001;45: 5–32. doi:</w:t>
      </w:r>
      <w:hyperlink r:id="rId55">
        <w:r>
          <w:rPr>
            <w:rStyle w:val="InternetLink"/>
          </w:rPr>
          <w:t>10.1023/A:1010933404324</w:t>
        </w:r>
      </w:hyperlink>
    </w:p>
    <w:p>
      <w:pPr>
        <w:pStyle w:val="Bibliography"/>
        <w:pBdr/>
        <w:spacing w:before="180" w:after="180"/>
        <w:rPr/>
      </w:pPr>
      <w:r>
        <w:rPr/>
        <w:t xml:space="preserve">57.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43</Pages>
  <Words>10548</Words>
  <Characters>64400</Characters>
  <CharactersWithSpaces>74782</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2017-09-28T00:26:12Z</dcterms:created>
  <dc:creator/>
  <dc:description/>
  <dc:language>en-US</dc:language>
  <cp:lastModifiedBy/>
  <dcterms:modified xsi:type="dcterms:W3CDTF">2017-09-27T20:27:33Z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