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This is the first time that whole-microbiota transcriptomic analysis has been implemented to study an infection </w:t>
      </w:r>
      <w:r>
        <w:rPr>
          <w:i/>
        </w:rPr>
        <w:t>in vivo</w:t>
      </w:r>
      <w:r>
        <w:rPr/>
        <w:t xml:space="preserve">, and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collective effect was significantly more pronounced in communities where </w:t>
      </w:r>
      <w:r>
        <w:rPr>
          <w:i/>
        </w:rPr>
        <w:t>C. difficile</w:t>
      </w:r>
      <w:r>
        <w:rPr/>
        <w:t xml:space="preserve"> was able to maintain colonization over the observation period in two separate pretreatment groups. Conversely in mice that dropped below the limit of detection, and despite shifts in species abundance, the metatrascriptome and metabolome changed very little. Our data further indicated that each antibiotic yielded distinct nutrient niches as well as reinforced the importance of Stickland fermentation as a primary metabolic strategy of </w:t>
      </w:r>
      <w:r>
        <w:rPr>
          <w:i/>
        </w:rPr>
        <w:t>C. difficile</w:t>
      </w:r>
      <w:r>
        <w:rPr/>
        <w:t xml:space="preserve"> for success </w:t>
      </w:r>
      <w:r>
        <w:rPr>
          <w:i/>
        </w:rPr>
        <w:t>in vivo</w:t>
      </w:r>
      <w:r>
        <w:rPr/>
        <w:t xml:space="preserve">.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Infection corresponded with metatranscriptomic shifts in numerous catabolic pathways and nutrient acquisition systems across susceptible communities.</w:t>
      </w:r>
      <w:r>
        <w:rPr>
          <w:i/>
        </w:rPr>
        <w:t xml:space="preserve"> Combined, 16S rRNA gene sequencing and metabolomics results demonstrated that antibiotic pretreatments resulted in distinct bacterial communities that led to altered metabolite profiles. It is also possible that metabolism of the host or </w:t>
      </w:r>
      <w:r>
        <w:rPr/>
        <w:t xml:space="preserve">C. difficile*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Streptomycin pretreatment resulted in a significantly more diverse community (Fig. S1A) than other groups, so a more diverse metagenome was expected. This was the case as ~2500 unique functionally annotated genes were detected in the metagenome of this pretreatment, &gt;1000 more annotated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was greatest enrichment for change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top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other pretreatment (Fig. 5B). Within in this group were multiple genes for processing genetic information as well as at least one gene associated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overly abundant taxa appearing as though transcription of their genes were disproportionately active. We then directly compared the normalized cDNA abundances for each gene between infected and uninfected states for each antibiotic pretreatment and applied Spearman linear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suggesting that the degree to which the metatranscriptome is shifted by infection somehow corresponds to prolonged colonization. We further characterized this by tabulating the absolute difference between mock-infection and CDI in all transcriptomic abundances per genus in each antibiotic pretreatment, then normalized to the number of genes detected in each genera to again correct for disproportionate coverage of abundant groups. Taxa were then separated into groups based on their relative abundance in each community based on 16S rRNA gene sequencing (Fig. 6D). This revealed the largest amounts of changes occurring within relatively rare bacterial groups. As the number and diversity of low abundance taxa are much larger than that of highly abundant groups, the majority of unique genes and metabolic potential is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metatranscriptomic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2">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pBdr/>
        <w:rPr/>
      </w:pPr>
      <w:r>
        <w:rPr/>
        <w:t xml:space="preserve">56. </w:t>
      </w:r>
      <w:r>
        <w:rPr>
          <w:b/>
        </w:rPr>
        <w:t>Segal, M. R.</w:t>
      </w:r>
      <w:r>
        <w:rPr/>
        <w:t xml:space="preserve"> 2004. Machine Learning Benchmarks and Random Forest Regression. Biostatistics 1–14.</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Figure 6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pBdr/>
        <w:spacing w:before="180" w:after="120"/>
        <w:rPr/>
      </w:pPr>
      <w:r>
        <w:rPr>
          <w:b/>
        </w:rPr>
        <w:t>Supplementary Table 4 | Median scaled intensity of metabolites for each antibiotic pretreatment and infection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46</Pages>
  <Words>11369</Words>
  <Characters>67622</Characters>
  <CharactersWithSpaces>78822</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2018-02-05T21:23:21Z</dcterms:created>
  <dc:creator/>
  <dc:description/>
  <dc:language>en-US</dc:language>
  <cp:lastModifiedBy/>
  <dcterms:modified xsi:type="dcterms:W3CDTF">2018-02-05T16:24:14Z</dcterms:modified>
  <cp:revision>1</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