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27_258085862"/>
      <w:bookmarkStart w:id="1" w:name="__DdeLink__7619_529621234"/>
      <w:bookmarkEnd w:id="0"/>
      <w:bookmarkEnd w:id="1"/>
      <w:r>
        <w:rPr>
          <w:b w:val="false"/>
          <w:b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This is the first time that whole-microbiota transcriptomic analysis has been implemented to study an infection </w:t>
      </w:r>
      <w:r>
        <w:rPr>
          <w:i/>
        </w:rPr>
        <w:t>in vivo</w:t>
      </w:r>
      <w:r>
        <w:rPr/>
        <w:t xml:space="preserve">, and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collective effect was significantly more pronounced in communities where </w:t>
      </w:r>
      <w:r>
        <w:rPr>
          <w:i/>
        </w:rPr>
        <w:t>C. difficile</w:t>
      </w:r>
      <w:r>
        <w:rPr/>
        <w:t xml:space="preserve"> was able to maintain colonization over the observation period in two separate pretreatment groups. Conversely in mice that dropped below the limit of detection, and despite shifts in species abundance, the metatrascriptome and metabolome changed very little. Our data further indicated that each antibiotic yielded distinct nutrient niches as well as reinforced the importance of Stickland fermentation as a primary metabolic strategy of </w:t>
      </w:r>
      <w:r>
        <w:rPr>
          <w:i/>
        </w:rPr>
        <w:t>C. difficile</w:t>
      </w:r>
      <w:r>
        <w:rPr/>
        <w:t xml:space="preserve"> for success </w:t>
      </w:r>
      <w:r>
        <w:rPr>
          <w:i/>
        </w:rPr>
        <w:t>in vivo</w:t>
      </w:r>
      <w:r>
        <w:rPr/>
        <w:t xml:space="preserve">.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w:t>
      </w:r>
      <w:r>
        <w:rPr/>
        <w:t>&gt;</w:t>
      </w:r>
      <w:r>
        <w:rPr/>
        <w:t xml:space="preserve"> </w:t>
      </w:r>
      <w:r>
        <w:rPr/>
        <w:t>1</w:t>
      </w:r>
      <w:r>
        <w:rPr/>
        <w:t xml:space="preserve">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val="false"/>
          <w:iCs w:val="false"/>
        </w:rPr>
        <w:t>Infection corresponded with metatranscriptomic shifts in numerous catabolic pathways and nutrient acquisition systems across susceptible communities.</w:t>
      </w:r>
      <w:r>
        <w:rPr>
          <w:i w:val="false"/>
          <w:iCs w:val="false"/>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likely open reading frames in each metagenome. Of these putative genes, ~30% were able to be annotated with a known function in KEGG, and many of these annotations were homologs between species within the dataset. Streptomycin pretreatment resulted in a significantly more diverse community (Fig. S1A) than other groups, so a more diverse metagenome was expected. This was the case as ~2500 unique functionally annotated genes were detected in the metagenome of this pretreatment, &gt;1000 more annotated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was greatest enrichment for change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top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other pretreatment (Fig. 5B). Within in this group were multiple genes for processing genetic information as well as at least one gene associated the breakdown of complex carbohydrates. Included in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overly abundant taxa appearing as though transcription of their genes were disproportionately active. We then directly compared the normalized cDNA abundances for each gene between infected and uninfected states for each antibiotic pretreatment and applied Spearman linear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suggesting that the degree to which the metatranscriptome is shifted by infection somehow corresponds to prolonged colonization. We further characterized this by tabulating the absolute difference between mock-infection and CDI in all transcriptomic abundances per genus in each antibiotic pretreatment, then normalized to the number of genes detected in each genera to again correct for disproportionate coverage of abundant groups. Taxa were then separated into groups based on their relative abundance in each community based on 16S rRNA gene sequencing (Fig. 6D). This revealed the largest amounts of changes occurring within relatively rare bacterial groups. As the number and diversity of low abundance taxa are much larger than that of highly abundant groups, the majority of unique genes and metabolic potential is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metatranscriptomic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2">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w:t>
      </w:r>
      <w:r>
        <w:rPr>
          <w:i/>
          <w:iCs/>
        </w:rPr>
        <w:t>C</w:t>
      </w:r>
      <w:r>
        <w:rPr>
          <w:i/>
          <w:iCs/>
        </w:rPr>
        <w:t xml:space="preserve">lostridium difficile </w:t>
      </w:r>
      <w:r>
        <w:rPr/>
        <w:t xml:space="preserve">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w:t>
      </w:r>
      <w:r>
        <w:rPr>
          <w:i/>
          <w:iCs/>
        </w:rPr>
        <w:t>Clostridium difficile</w:t>
      </w:r>
      <w:r>
        <w:rPr/>
        <w:t xml:space="preserv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iCs/>
        </w:rPr>
        <w:t xml:space="preserve">Clostridium difficile </w:t>
      </w:r>
      <w:r>
        <w:rPr/>
        <w:t xml:space="preserve">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w:t>
      </w:r>
      <w:r>
        <w:rPr>
          <w:i/>
          <w:iCs/>
        </w:rPr>
        <w:t>Clostridium difficile</w:t>
      </w:r>
      <w:r>
        <w:rPr/>
        <w:t xml:space="preserv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w:t>
      </w:r>
      <w:r>
        <w:rPr>
          <w:i/>
          <w:iCs/>
        </w:rPr>
        <w:t>Clostridium difficile</w:t>
      </w:r>
      <w:r>
        <w:rPr/>
        <w:t xml:space="preserve"> infection. Antimicrobial Agents and Chemotherapy </w:t>
      </w:r>
      <w:r>
        <w:rPr>
          <w:b/>
        </w:rPr>
        <w:t>57</w:t>
      </w:r>
      <w:r>
        <w:rPr/>
        <w:t>:2326–2332.</w:t>
      </w:r>
    </w:p>
    <w:p>
      <w:pPr>
        <w:pStyle w:val="Bibliography"/>
        <w:rPr/>
      </w:pPr>
      <w:r>
        <w:rPr/>
        <w:t xml:space="preserve">10. </w:t>
      </w:r>
      <w:r>
        <w:rPr>
          <w:b/>
        </w:rPr>
        <w:t>Bignardi, G.</w:t>
      </w:r>
      <w:r>
        <w:rPr/>
        <w:t xml:space="preserve"> 1998. Risk factors for </w:t>
      </w:r>
      <w:r>
        <w:rPr>
          <w:i/>
          <w:iCs/>
        </w:rPr>
        <w:t>Clostridium difficile</w:t>
      </w:r>
      <w:r>
        <w:rPr/>
        <w:t xml:space="preserv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w:t>
      </w:r>
      <w:r>
        <w:rPr>
          <w:i/>
          <w:iCs/>
        </w:rPr>
        <w:t>Clostridium difficile</w:t>
      </w:r>
      <w:r>
        <w:rPr/>
        <w:t xml:space="preserv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w:t>
      </w:r>
      <w:r>
        <w:rPr>
          <w:i/>
          <w:iCs/>
        </w:rPr>
        <w:t>Clostridium difficile</w:t>
      </w:r>
      <w:r>
        <w:rPr/>
        <w:t xml:space="preserv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w:t>
      </w:r>
      <w:r>
        <w:rPr>
          <w:i/>
          <w:iCs/>
        </w:rPr>
        <w:t>Clostridium difficile</w:t>
      </w:r>
      <w:r>
        <w:rPr/>
        <w:t xml:space="preserve"> Disease in Hamsters. The Journal of infectious diseases </w:t>
      </w:r>
      <w:r>
        <w:rPr>
          <w:b/>
        </w:rPr>
        <w:t>186</w:t>
      </w:r>
      <w:r>
        <w:rPr/>
        <w:t>:14–16.</w:t>
      </w:r>
    </w:p>
    <w:p>
      <w:pPr>
        <w:pStyle w:val="Bibliograph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w:t>
      </w:r>
      <w:r>
        <w:rPr>
          <w:i/>
          <w:iCs/>
        </w:rPr>
        <w:t>Clostridium difficile</w:t>
      </w:r>
      <w:r>
        <w:rPr/>
        <w:t xml:space="preserv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iCs/>
        </w:rPr>
        <w:t>Clostridium difficile</w:t>
      </w:r>
      <w:r>
        <w:rPr/>
        <w:t xml:space="preserv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w:t>
      </w:r>
      <w:r>
        <w:rPr>
          <w:i/>
          <w:iCs/>
        </w:rPr>
        <w:t>Clostridium difficile</w:t>
      </w:r>
      <w:r>
        <w:rPr/>
        <w:t xml:space="preserv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w:t>
      </w:r>
      <w:r>
        <w:rPr>
          <w:i/>
          <w:iCs/>
        </w:rPr>
        <w:t>Clostridium difficile</w:t>
      </w:r>
      <w:r>
        <w:rPr/>
        <w:t xml:space="preserv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iCs/>
        </w:rPr>
        <w:t>Clostridium difficile</w:t>
      </w:r>
      <w:r>
        <w:rPr/>
        <w:t xml:space="preserv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w:t>
      </w:r>
      <w:r>
        <w:rPr>
          <w:i/>
          <w:iCs/>
        </w:rPr>
        <w:t>Clostridium sticklandii</w:t>
      </w:r>
      <w:r>
        <w:rPr/>
        <w:t xml:space="preserve">,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w:t>
      </w:r>
      <w:r>
        <w:rPr>
          <w:i/>
          <w:iCs/>
        </w:rPr>
        <w:t>Clostridium difficile</w:t>
      </w:r>
      <w:r>
        <w:rPr/>
        <w:t xml:space="preserv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w:t>
      </w:r>
      <w:r>
        <w:rPr>
          <w:i/>
          <w:iCs/>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w:t>
      </w:r>
      <w:r>
        <w:rPr>
          <w:i/>
          <w:iCs/>
        </w:rPr>
        <w:t>Clostridium difficile</w:t>
      </w:r>
      <w:r>
        <w:rPr/>
        <w:t xml:space="preserv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w:t>
      </w:r>
      <w:r>
        <w:rPr>
          <w:i/>
          <w:iCs/>
        </w:rPr>
        <w:t>Clostridium difficile</w:t>
      </w:r>
      <w:r>
        <w:rPr/>
        <w:t xml:space="preserv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w:t>
      </w:r>
      <w:r>
        <w:rPr>
          <w:i/>
          <w:iCs/>
        </w:rPr>
        <w:t>Clostridium difficile</w:t>
      </w:r>
      <w:r>
        <w:rPr/>
        <w:t xml:space="preserv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w:t>
      </w:r>
      <w:r>
        <w:rPr>
          <w:i/>
          <w:iCs/>
        </w:rPr>
        <w:t>Clostridium difficile</w:t>
      </w:r>
      <w:r>
        <w:rPr/>
        <w:t xml:space="preserv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w:t>
      </w:r>
      <w:r>
        <w:rPr>
          <w:i/>
          <w:iCs/>
        </w:rPr>
        <w:t>Clostridium difficile</w:t>
      </w:r>
      <w:r>
        <w:rPr/>
        <w:t xml:space="preserv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w:t>
      </w:r>
      <w:r>
        <w:rPr>
          <w:i/>
          <w:iCs/>
        </w:rPr>
        <w:t>C</w:t>
      </w:r>
      <w:r>
        <w:rPr>
          <w:i/>
          <w:iCs/>
        </w:rPr>
        <w:t>lostridium difficile</w:t>
      </w:r>
      <w:r>
        <w:rPr/>
        <w:t xml:space="preserv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iCs/>
        </w:rPr>
        <w:t>Clostridium difficile</w:t>
      </w:r>
      <w:r>
        <w:rPr/>
        <w:t xml:space="preserv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iCs/>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rPr/>
      </w:pPr>
      <w:r>
        <w:rPr/>
        <w:t xml:space="preserve">56. </w:t>
      </w:r>
      <w:r>
        <w:rPr>
          <w:b/>
        </w:rPr>
        <w:t>Segal, M. R.</w:t>
      </w:r>
      <w:r>
        <w:rPr/>
        <w:t xml:space="preserve"> 2004. Machine Learning Benchmarks and Random Forest Regression. Biostatistics 1–14.</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w:t>
      </w:r>
      <w:r>
        <w:rPr/>
        <w:t>diagonal center</w:t>
      </w:r>
      <w:r>
        <w:rPr/>
        <w:t xml:space="preserve">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Figure 6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spacing w:before="180" w:after="120"/>
        <w:rPr/>
      </w:pPr>
      <w:r>
        <w:rPr>
          <w:b/>
        </w:rPr>
        <w:t>Supplementary Table 4 | Median scaled intensity of metabolites for each antibiotic pretreatment and infection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2085" cy="174625"/>
              <wp:effectExtent l="0" t="0" r="0" b="0"/>
              <wp:wrapSquare wrapText="largest"/>
              <wp:docPr id="1" name="Frame1"/>
              <a:graphic xmlns:a="http://schemas.openxmlformats.org/drawingml/2006/main">
                <a:graphicData uri="http://schemas.microsoft.com/office/word/2010/wordprocessingShape">
                  <wps:wsp>
                    <wps:cNvSpPr/>
                    <wps:spPr>
                      <a:xfrm>
                        <a:off x="0" y="0"/>
                        <a:ext cx="1713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LibreOffice/5.1.6.2$Linux_X86_64 LibreOffice_project/10m0$Build-2</Application>
  <Pages>46</Pages>
  <Words>11369</Words>
  <Characters>67613</Characters>
  <CharactersWithSpaces>78813</CharactersWithSpaces>
  <Paragraphs>132</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2018-02-05T21:23:21Z</dcterms:created>
  <dc:creator/>
  <dc:description/>
  <dc:language>en-US</dc:language>
  <cp:lastModifiedBy/>
  <dcterms:modified xsi:type="dcterms:W3CDTF">2018-02-07T09:17:28Z</dcterms:modified>
  <cp:revision>4</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