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rPr>
        <w:t xml:space="preserve">Clostridium difficile </w:t>
      </w:r>
      <w:r>
        <w:rPr/>
        <w:t>alters the structure and metabolism of distinct cecal microbiomes during initial infection to promote sustained colonization</w:t>
      </w:r>
    </w:p>
    <w:p>
      <w:pPr>
        <w:pStyle w:val="Normal"/>
        <w:rPr/>
      </w:pPr>
      <w:r>
        <w:rPr/>
      </w:r>
    </w:p>
    <w:p>
      <w:pPr>
        <w:pStyle w:val="Normal"/>
        <w:rPr/>
      </w:pPr>
      <w:r>
        <w:rPr>
          <w:b/>
          <w:bCs/>
        </w:rPr>
        <w:t>Authors:</w:t>
      </w:r>
      <w:r>
        <w:rPr/>
        <w:t xml:space="preserve"> 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Normal"/>
        <w:rPr/>
      </w:pPr>
      <w:r>
        <w:rPr/>
      </w:r>
    </w:p>
    <w:p>
      <w:pPr>
        <w:pStyle w:val="Normal"/>
        <w:rPr/>
      </w:pPr>
      <w:r>
        <w:rPr>
          <w:b/>
          <w:bCs/>
        </w:rPr>
        <w:t xml:space="preserve">Affiliations: </w:t>
      </w:r>
    </w:p>
    <w:p>
      <w:pPr>
        <w:pStyle w:val="Normal"/>
        <w:rPr/>
      </w:pPr>
      <w:r>
        <w:rPr/>
        <w:t>1.) Department of Microbiology &amp; Immunology; University of Michigan, Ann Arbor MI,</w:t>
      </w:r>
    </w:p>
    <w:p>
      <w:pPr>
        <w:pStyle w:val="Normal"/>
        <w:rPr/>
      </w:pPr>
      <w:r>
        <w:rPr/>
        <w:t>2.) Department of Internal Medicine, Division of Infectious Diseases; University of Michigan, Ann Arbor MI</w:t>
      </w:r>
    </w:p>
    <w:p>
      <w:pPr>
        <w:pStyle w:val="Normal"/>
        <w:rPr/>
      </w:pPr>
      <w:r>
        <w:rPr/>
      </w:r>
    </w:p>
    <w:p>
      <w:pPr>
        <w:pStyle w:val="Normal"/>
        <w:rPr/>
      </w:pPr>
      <w:r>
        <w:rPr>
          <w:b/>
          <w:bCs/>
        </w:rPr>
        <w:t xml:space="preserve">Contact Information: </w:t>
      </w:r>
    </w:p>
    <w:p>
      <w:pPr>
        <w:pStyle w:val="Normal"/>
        <w:rPr/>
      </w:pPr>
      <w:r>
        <w:rPr/>
        <w:t>Matthew L. Jenior – mljenior@umich.edu</w:t>
      </w:r>
    </w:p>
    <w:p>
      <w:pPr>
        <w:pStyle w:val="Normal"/>
        <w:rPr/>
      </w:pPr>
      <w:r>
        <w:rPr/>
        <w:t>Jhansi L. Leslie – jlleslie@umich.edu</w:t>
      </w:r>
    </w:p>
    <w:p>
      <w:pPr>
        <w:pStyle w:val="Normal"/>
        <w:rPr/>
      </w:pPr>
      <w:r>
        <w:rPr/>
        <w:t>Vincent B. Young – youngvi@umich.edu</w:t>
      </w:r>
    </w:p>
    <w:p>
      <w:pPr>
        <w:pStyle w:val="Normal"/>
        <w:rPr/>
      </w:pPr>
      <w:bookmarkStart w:id="0" w:name="__DdeLink__7619_529621234"/>
      <w:bookmarkStart w:id="1" w:name="__DdeLink__27_258085862"/>
      <w:bookmarkEnd w:id="0"/>
      <w:bookmarkEnd w:id="1"/>
      <w:r>
        <w:rPr/>
        <w:t xml:space="preserve">Patrick D. Schloss – </w:t>
      </w:r>
      <w:hyperlink r:id="rId2">
        <w:r>
          <w:rPr>
            <w:rStyle w:val="InternetLink"/>
          </w:rPr>
          <w:t>pschloss@umich.edu</w:t>
        </w:r>
      </w:hyperlink>
    </w:p>
    <w:p>
      <w:pPr>
        <w:pStyle w:val="Normal"/>
        <w:rPr/>
      </w:pPr>
      <w:r>
        <w:rPr/>
      </w:r>
    </w:p>
    <w:p>
      <w:pPr>
        <w:pStyle w:val="Normal"/>
        <w:rPr/>
      </w:pPr>
      <w:r>
        <w:rPr/>
      </w:r>
    </w:p>
    <w:p>
      <w:pPr>
        <w:pStyle w:val="TextBody"/>
        <w:rPr>
          <w:b/>
          <w:b/>
        </w:rPr>
      </w:pPr>
      <w:r>
        <w:rPr>
          <w:b/>
        </w:rPr>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b/>
          <w:b/>
        </w:rPr>
      </w:pPr>
      <w:r>
        <w:rPr>
          <w:b/>
        </w:rPr>
      </w:r>
    </w:p>
    <w:p>
      <w:pPr>
        <w:pStyle w:val="TextBody"/>
        <w:rPr>
          <w:b/>
          <w:b/>
        </w:rPr>
      </w:pPr>
      <w:r>
        <w:rPr>
          <w:b/>
        </w:rPr>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b/>
          <w:b/>
        </w:rPr>
      </w:pPr>
      <w:r>
        <w:rPr>
          <w:b/>
        </w:rPr>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metatranscriptomic shifts in numerous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in KEGG, and many of these annotations were homologs between species within the dataset. Streptomycin pretreatment resulted in a significantly more diverse community (Fig. S1A) than other groups, so a more diverse metagenome was expected. This was the case as 2408 unique functionally annotated genes were detected in the metagenome resulting from strptomycin pretreatment, at least 1163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those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iCs/>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iCs/>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genus.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b/>
          <w:b/>
        </w:rPr>
      </w:pPr>
      <w:r>
        <w:rPr>
          <w:b/>
        </w:rPr>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b/>
          <w:b/>
        </w:rPr>
      </w:pPr>
      <w:r>
        <w:rPr>
          <w:b/>
        </w:rPr>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animals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Data Availability</w:t>
      </w:r>
      <w:r>
        <w:rPr/>
        <w:t xml:space="preserve">.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pStyle w:val="TextBody"/>
        <w:rPr/>
      </w:pPr>
      <w:r>
        <w:rPr>
          <w:b/>
        </w:rPr>
        <w:t>Corresponding author</w:t>
      </w:r>
      <w:r>
        <w:rPr/>
        <w:t xml:space="preserve"> Correspondence to </w:t>
      </w:r>
      <w:hyperlink r:id="rId5">
        <w:r>
          <w:rPr>
            <w:rStyle w:val="InternetLink"/>
          </w:rPr>
          <w:t>Patrick D. Schloss</w:t>
        </w:r>
      </w:hyperlink>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sectPr>
          <w:footerReference w:type="default" r:id="rId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pStyle w:val="Bibliography"/>
        <w:rPr/>
      </w:pPr>
      <w:r>
        <w:rPr/>
        <w:t xml:space="preserve">56. </w:t>
      </w:r>
      <w:r>
        <w:rPr>
          <w:b/>
        </w:rPr>
        <w:t>Segal, M. R.</w:t>
      </w:r>
      <w:r>
        <w:rPr/>
        <w:t xml:space="preserve"> 2004. Machine Learning Benchmarks and Random Forest Regression. Biostatistics 1–14.</w:t>
      </w:r>
    </w:p>
    <w:p>
      <w:pPr>
        <w:pStyle w:val="TextBody"/>
        <w:spacing w:before="180" w:after="180"/>
        <w:rPr/>
      </w:pPr>
      <w:bookmarkStart w:id="2" w:name="_GoBack"/>
      <w:bookmarkEnd w:id="2"/>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w:t>
      </w:r>
      <w:r>
        <w:rPr>
          <w:b/>
        </w:rPr>
        <w:t>metatranscriptomic</w:t>
      </w:r>
      <w:r>
        <w:rPr>
          <w:b/>
        </w:rPr>
        <w:t xml:space="preserv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w:t>
      </w:r>
      <w:r>
        <w:rPr/>
        <w:t xml:space="preserve">in metatranscriptome </w:t>
      </w:r>
      <w:r>
        <w:rPr/>
        <w:t xml:space="preserve">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spacing w:before="180" w:after="180"/>
        <w:rPr/>
      </w:pPr>
      <w:r>
        <w:rPr>
          <w:b/>
        </w:rPr>
        <w:t>Supplementary Table 4 | Median scaled intensity of metabolites for each antibiotic pretreatment and infection group</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2">
              <wp:simplePos x="0" y="0"/>
              <wp:positionH relativeFrom="margin">
                <wp:align>center</wp:align>
              </wp:positionH>
              <wp:positionV relativeFrom="paragraph">
                <wp:posOffset>635</wp:posOffset>
              </wp:positionV>
              <wp:extent cx="173990" cy="174625"/>
              <wp:effectExtent l="0" t="0" r="0" b="0"/>
              <wp:wrapSquare wrapText="largest"/>
              <wp:docPr id="1" name="Frame1"/>
              <a:graphic xmlns:a="http://schemas.openxmlformats.org/drawingml/2006/main">
                <a:graphicData uri="http://schemas.microsoft.com/office/word/2010/wordprocessingShape">
                  <wps:wsp>
                    <wps:cNvSpPr/>
                    <wps:spPr>
                      <a:xfrm>
                        <a:off x="0" y="0"/>
                        <a:ext cx="17352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31</w:t>
                          </w:r>
                          <w:r>
                            <w:fldChar w:fldCharType="end"/>
                          </w:r>
                        </w:p>
                      </w:txbxContent>
                    </wps:txbx>
                    <wps:bodyPr lIns="0" rIns="0" tIns="0" bIns="0">
                      <a:spAutoFit/>
                    </wps:bodyPr>
                  </wps:wsp>
                </a:graphicData>
              </a:graphic>
            </wp:anchor>
          </w:drawing>
        </mc:Choice>
        <mc:Fallback>
          <w:pict>
            <v:rect id="shape_0" ID="Frame1" stroked="f" style="position:absolute;margin-left:227.15pt;margin-top:0.05pt;width:13.6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31</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5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82b73"/>
    <w:pPr>
      <w:widowControl/>
      <w:bidi w:val="0"/>
      <w:spacing w:lineRule="auto" w:line="480" w:before="180" w:after="180"/>
      <w:jc w:val="left"/>
    </w:pPr>
    <w:rPr>
      <w:rFonts w:ascii="Arial" w:hAnsi="Arial" w:eastAsia="Cambria" w:cs=""/>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sz w:val="22"/>
    </w:rPr>
  </w:style>
  <w:style w:type="character" w:styleId="DataTypeTok" w:customStyle="1">
    <w:name w:val="DataTypeTok"/>
    <w:basedOn w:val="VerbatimChar"/>
    <w:qFormat/>
    <w:rPr>
      <w:rFonts w:ascii="Consolas" w:hAnsi="Consolas"/>
      <w:sz w:val="22"/>
    </w:rPr>
  </w:style>
  <w:style w:type="character" w:styleId="DecValTok" w:customStyle="1">
    <w:name w:val="DecValTok"/>
    <w:basedOn w:val="VerbatimChar"/>
    <w:qFormat/>
    <w:rPr>
      <w:rFonts w:ascii="Consolas" w:hAnsi="Consolas"/>
      <w:sz w:val="22"/>
    </w:rPr>
  </w:style>
  <w:style w:type="character" w:styleId="BaseNTok" w:customStyle="1">
    <w:name w:val="BaseNTok"/>
    <w:basedOn w:val="VerbatimChar"/>
    <w:qFormat/>
    <w:rPr>
      <w:rFonts w:ascii="Consolas" w:hAnsi="Consolas"/>
      <w:sz w:val="22"/>
    </w:rPr>
  </w:style>
  <w:style w:type="character" w:styleId="FloatTok" w:customStyle="1">
    <w:name w:val="FloatTok"/>
    <w:basedOn w:val="VerbatimChar"/>
    <w:qFormat/>
    <w:rPr>
      <w:rFonts w:ascii="Consolas" w:hAnsi="Consolas"/>
      <w:sz w:val="22"/>
    </w:rPr>
  </w:style>
  <w:style w:type="character" w:styleId="CharTok" w:customStyle="1">
    <w:name w:val="CharTok"/>
    <w:basedOn w:val="VerbatimChar"/>
    <w:qFormat/>
    <w:rPr>
      <w:rFonts w:ascii="Consolas" w:hAnsi="Consolas"/>
      <w:sz w:val="22"/>
    </w:rPr>
  </w:style>
  <w:style w:type="character" w:styleId="StringTok" w:customStyle="1">
    <w:name w:val="StringTok"/>
    <w:basedOn w:val="VerbatimChar"/>
    <w:qFormat/>
    <w:rPr>
      <w:rFonts w:ascii="Consolas" w:hAnsi="Consolas"/>
      <w:sz w:val="22"/>
    </w:rPr>
  </w:style>
  <w:style w:type="character" w:styleId="CommentTok" w:customStyle="1">
    <w:name w:val="CommentTok"/>
    <w:basedOn w:val="VerbatimChar"/>
    <w:qFormat/>
    <w:rPr>
      <w:rFonts w:ascii="Consolas" w:hAnsi="Consolas"/>
      <w:sz w:val="22"/>
    </w:rPr>
  </w:style>
  <w:style w:type="character" w:styleId="OtherTok" w:customStyle="1">
    <w:name w:val="OtherTok"/>
    <w:basedOn w:val="VerbatimChar"/>
    <w:qFormat/>
    <w:rPr>
      <w:rFonts w:ascii="Consolas" w:hAnsi="Consolas"/>
      <w:sz w:val="22"/>
    </w:rPr>
  </w:style>
  <w:style w:type="character" w:styleId="AlertTok" w:customStyle="1">
    <w:name w:val="AlertTok"/>
    <w:basedOn w:val="VerbatimChar"/>
    <w:qFormat/>
    <w:rPr>
      <w:rFonts w:ascii="Consolas" w:hAnsi="Consolas"/>
      <w:sz w:val="22"/>
    </w:rPr>
  </w:style>
  <w:style w:type="character" w:styleId="FunctionTok" w:customStyle="1">
    <w:name w:val="FunctionTok"/>
    <w:basedOn w:val="VerbatimChar"/>
    <w:qFormat/>
    <w:rPr>
      <w:rFonts w:ascii="Consolas" w:hAnsi="Consolas"/>
      <w:sz w:val="22"/>
    </w:rPr>
  </w:style>
  <w:style w:type="character" w:styleId="RegionMarkerTok" w:customStyle="1">
    <w:name w:val="RegionMarkerTok"/>
    <w:basedOn w:val="VerbatimChar"/>
    <w:qFormat/>
    <w:rPr>
      <w:rFonts w:ascii="Consolas" w:hAnsi="Consolas"/>
      <w:sz w:val="22"/>
    </w:rPr>
  </w:style>
  <w:style w:type="character" w:styleId="ErrorTok" w:customStyle="1">
    <w:name w:val="ErrorTok"/>
    <w:basedOn w:val="VerbatimChar"/>
    <w:qFormat/>
    <w:rPr>
      <w:rFonts w:ascii="Consolas" w:hAnsi="Consolas"/>
      <w:sz w:val="22"/>
    </w:rPr>
  </w:style>
  <w:style w:type="character" w:styleId="NormalTok" w:customStyle="1">
    <w:name w:val="NormalTok"/>
    <w:basedOn w:val="VerbatimChar"/>
    <w:qFormat/>
    <w:rPr>
      <w:rFonts w:ascii="Consolas" w:hAnsi="Consolas"/>
      <w:sz w:val="22"/>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rFonts w:ascii="Consolas" w:hAnsi="Consolas"/>
      <w:color w:val="000000"/>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InternetLink" w:customStyle="1">
    <w:name w:val="Internet Link"/>
    <w:rPr>
      <w:color w:val="000080"/>
      <w:u w:val="single"/>
    </w:rPr>
  </w:style>
  <w:style w:type="character" w:styleId="LineNumbering" w:customStyle="1">
    <w:name w:val="Line Numbering"/>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hyperlink" Target="mailto:pschloss@umich.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LibreOffice/5.1.6.2$Linux_X86_64 LibreOffice_project/10m0$Build-2</Application>
  <Pages>47</Pages>
  <Words>11358</Words>
  <Characters>67604</Characters>
  <CharactersWithSpaces>78793</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2018-02-10T20:03:00Z</dcterms:created>
  <dc:creator/>
  <dc:description/>
  <dc:language>en-US</dc:language>
  <cp:lastModifiedBy/>
  <dcterms:modified xsi:type="dcterms:W3CDTF">2018-02-16T14:27:27Z</dcterms:modified>
  <cp:revision>20</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