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712" w:rsidRDefault="008D288B">
      <w:r>
        <w:rPr>
          <w:i/>
          <w:iCs/>
        </w:rPr>
        <w:t xml:space="preserve">Clostridium difficile </w:t>
      </w:r>
      <w:r>
        <w:t>alters the structure and metabolism of distinct cecal microbiomes during initial infection to promote sustained colonization</w:t>
      </w:r>
    </w:p>
    <w:p w:rsidR="00E56712" w:rsidRDefault="00E56712"/>
    <w:p w:rsidR="00E56712" w:rsidRDefault="008D288B">
      <w:r>
        <w:rPr>
          <w:b/>
          <w:bCs/>
        </w:rPr>
        <w:t>Authors:</w:t>
      </w:r>
      <w:r>
        <w:t xml:space="preserve"> Matthew L. Jenior</w:t>
      </w:r>
      <w:r>
        <w:rPr>
          <w:vertAlign w:val="superscript"/>
        </w:rPr>
        <w:t>1</w:t>
      </w:r>
      <w:r>
        <w:t>, Jhansi L. Leslie</w:t>
      </w:r>
      <w:r>
        <w:rPr>
          <w:vertAlign w:val="superscript"/>
        </w:rPr>
        <w:t>1</w:t>
      </w:r>
      <w:r>
        <w:t>, Vincent B. Young</w:t>
      </w:r>
      <w:r>
        <w:rPr>
          <w:vertAlign w:val="superscript"/>
        </w:rPr>
        <w:t>1,2</w:t>
      </w:r>
      <w:r>
        <w:t>, and Patrick D. Schloss</w:t>
      </w:r>
      <w:r>
        <w:rPr>
          <w:vertAlign w:val="superscript"/>
        </w:rPr>
        <w:t>1</w:t>
      </w:r>
    </w:p>
    <w:p w:rsidR="00E56712" w:rsidRDefault="00E56712"/>
    <w:p w:rsidR="00E56712" w:rsidRDefault="008D288B">
      <w:r>
        <w:rPr>
          <w:b/>
          <w:bCs/>
        </w:rPr>
        <w:t xml:space="preserve">Affiliations: </w:t>
      </w:r>
    </w:p>
    <w:p w:rsidR="00E56712" w:rsidRDefault="008D288B">
      <w:r>
        <w:t>1.) Department of Microbiology &amp; Immunology; University of Michigan, Ann Arbor MI,</w:t>
      </w:r>
    </w:p>
    <w:p w:rsidR="00E56712" w:rsidRDefault="008D288B">
      <w:r>
        <w:t>2.) Department of Internal Medicine, Division of Infectious Diseases; University of Michigan, Ann Arbor MI</w:t>
      </w:r>
    </w:p>
    <w:p w:rsidR="00E56712" w:rsidRDefault="00E56712"/>
    <w:p w:rsidR="00E56712" w:rsidRDefault="008D288B">
      <w:r>
        <w:rPr>
          <w:b/>
          <w:bCs/>
        </w:rPr>
        <w:t xml:space="preserve">Contact Information: </w:t>
      </w:r>
    </w:p>
    <w:p w:rsidR="00E56712" w:rsidRDefault="008D288B">
      <w:r>
        <w:t>Matthew L. Jenior – mljenior@umich.edu</w:t>
      </w:r>
    </w:p>
    <w:p w:rsidR="00E56712" w:rsidRDefault="008D288B">
      <w:r>
        <w:t>Jhansi L. Leslie – jlleslie@umich.edu</w:t>
      </w:r>
    </w:p>
    <w:p w:rsidR="00E56712" w:rsidRDefault="008D288B">
      <w:r>
        <w:t>Vincent B. Young – youngvi@umich.edu</w:t>
      </w:r>
    </w:p>
    <w:p w:rsidR="00E56712" w:rsidRDefault="008D288B">
      <w:bookmarkStart w:id="0" w:name="__DdeLink__27_258085862"/>
      <w:bookmarkStart w:id="1" w:name="__DdeLink__7619_529621234"/>
      <w:bookmarkEnd w:id="0"/>
      <w:bookmarkEnd w:id="1"/>
      <w:r>
        <w:t xml:space="preserve">Patrick D. Schloss – </w:t>
      </w:r>
      <w:hyperlink r:id="rId6">
        <w:r>
          <w:rPr>
            <w:rStyle w:val="InternetLink"/>
          </w:rPr>
          <w:t>pschloss@umich.edu</w:t>
        </w:r>
      </w:hyperlink>
    </w:p>
    <w:p w:rsidR="00E56712" w:rsidRDefault="00E56712"/>
    <w:p w:rsidR="00E56712" w:rsidRDefault="00E56712"/>
    <w:p w:rsidR="00E56712" w:rsidRDefault="00E56712">
      <w:pPr>
        <w:pStyle w:val="BodyText"/>
        <w:rPr>
          <w:b/>
        </w:rPr>
      </w:pPr>
    </w:p>
    <w:p w:rsidR="00E56712" w:rsidRDefault="00E56712">
      <w:pPr>
        <w:pStyle w:val="BodyText"/>
        <w:rPr>
          <w:b/>
        </w:rPr>
      </w:pPr>
    </w:p>
    <w:p w:rsidR="00E56712" w:rsidRDefault="00E56712">
      <w:pPr>
        <w:pStyle w:val="BodyText"/>
        <w:rPr>
          <w:b/>
        </w:rPr>
      </w:pPr>
    </w:p>
    <w:p w:rsidR="00E56712" w:rsidRDefault="008D288B">
      <w:pPr>
        <w:pStyle w:val="BodyText"/>
      </w:pPr>
      <w:r>
        <w:rPr>
          <w:b/>
        </w:rPr>
        <w:t>Abstract</w:t>
      </w:r>
    </w:p>
    <w:p w:rsidR="00E56712" w:rsidRDefault="008D288B">
      <w:pPr>
        <w:pStyle w:val="BodyText"/>
      </w:pPr>
      <w:r>
        <w:t xml:space="preserve">Susceptibility to </w:t>
      </w:r>
      <w:r>
        <w:rPr>
          <w:i/>
        </w:rPr>
        <w:t>Clostridium difficile</w:t>
      </w:r>
      <w: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t xml:space="preserve">. Untargeted metabolomic analysis revealed that </w:t>
      </w:r>
      <w:r>
        <w:rPr>
          <w:i/>
        </w:rPr>
        <w:t>C. difficile</w:t>
      </w:r>
      <w:r>
        <w:t xml:space="preserve"> infection has larger impacts on the metabolic activity of the microbiota across cefoperazone and streptomycin-pretreated mice, which become persistently colonized compared to clindamycin-pretreated mice in which </w:t>
      </w:r>
      <w:r>
        <w:rPr>
          <w:i/>
        </w:rPr>
        <w:t>C. difficile</w:t>
      </w:r>
      <w: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t xml:space="preserve">. Furthermore, the largest degree of change in transcription in those pathways was seen in the lowest overall abundance species in the respective groups indicating that </w:t>
      </w:r>
      <w:r>
        <w:rPr>
          <w:i/>
        </w:rPr>
        <w:t>C. difficile</w:t>
      </w:r>
      <w:r>
        <w:t xml:space="preserve"> may “attack the loser” in gut environments where sustained infection occurs more frequently. </w:t>
      </w:r>
      <w:r>
        <w:lastRenderedPageBreak/>
        <w:t xml:space="preserve">Overall, our results suggest that </w:t>
      </w:r>
      <w:r>
        <w:rPr>
          <w:i/>
        </w:rPr>
        <w:t>C. difficile</w:t>
      </w:r>
      <w:r>
        <w:t xml:space="preserve"> is able to restructure the nutrient-niche landscape in the gut in order to promote persistent infection.</w:t>
      </w:r>
    </w:p>
    <w:p w:rsidR="00E56712" w:rsidRDefault="008D288B">
      <w:pPr>
        <w:pStyle w:val="BodyText"/>
      </w:pPr>
      <w:r>
        <w:rPr>
          <w:b/>
        </w:rPr>
        <w:t>Importance</w:t>
      </w:r>
    </w:p>
    <w:p w:rsidR="00E56712" w:rsidRDefault="008D288B">
      <w:pPr>
        <w:pStyle w:val="BodyText"/>
      </w:pPr>
      <w:r>
        <w:rPr>
          <w:i/>
        </w:rPr>
        <w:t>Clostridium difficile</w:t>
      </w:r>
      <w: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t xml:space="preserve"> infection and provides groundwork for identification of context-specific probiotic therapies.</w:t>
      </w:r>
    </w:p>
    <w:p w:rsidR="00E56712" w:rsidRDefault="00E56712">
      <w:pPr>
        <w:pStyle w:val="BodyText"/>
        <w:rPr>
          <w:b/>
        </w:rPr>
      </w:pPr>
    </w:p>
    <w:p w:rsidR="00E56712" w:rsidRDefault="00E56712">
      <w:pPr>
        <w:pStyle w:val="BodyText"/>
        <w:rPr>
          <w:b/>
        </w:rPr>
      </w:pPr>
    </w:p>
    <w:p w:rsidR="00E56712" w:rsidRDefault="008D288B">
      <w:pPr>
        <w:pStyle w:val="BodyText"/>
      </w:pPr>
      <w:r>
        <w:rPr>
          <w:b/>
        </w:rPr>
        <w:lastRenderedPageBreak/>
        <w:t>Introduction</w:t>
      </w:r>
    </w:p>
    <w:p w:rsidR="00E56712" w:rsidRDefault="008D288B">
      <w:pPr>
        <w:pStyle w:val="BodyText"/>
      </w:pPr>
      <w: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t xml:space="preserve"> (2–4). </w:t>
      </w:r>
      <w:r>
        <w:rPr>
          <w:i/>
        </w:rPr>
        <w:t>C. difficile</w:t>
      </w:r>
      <w: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rsidR="00E56712" w:rsidRDefault="008D288B">
      <w:pPr>
        <w:pStyle w:val="BodyText"/>
      </w:pPr>
      <w: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t xml:space="preserve"> metabolism (11–13). One hypothesis is that </w:t>
      </w:r>
      <w:r>
        <w:rPr>
          <w:i/>
        </w:rPr>
        <w:t>C. difficile</w:t>
      </w:r>
      <w: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w:t>
      </w:r>
      <w:r>
        <w:lastRenderedPageBreak/>
        <w:t xml:space="preserve">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t xml:space="preserve"> for resources and clear the infection (13, 17).</w:t>
      </w:r>
    </w:p>
    <w:p w:rsidR="00E56712" w:rsidRDefault="008D288B">
      <w:pPr>
        <w:pStyle w:val="BodyText"/>
      </w:pPr>
      <w:r>
        <w:t xml:space="preserve">Leveraging distinct antibiotic treatment regimens in a murine model of CDI (18), we and others have shown that </w:t>
      </w:r>
      <w:r>
        <w:rPr>
          <w:i/>
        </w:rPr>
        <w:t>C. difficile</w:t>
      </w:r>
      <w:r>
        <w:t xml:space="preserve"> adapts its physiology to the distinct cecal microbiomes that resulted from exposure to antibiotics (18, 19). We went on to show that </w:t>
      </w:r>
      <w:r>
        <w:rPr>
          <w:i/>
        </w:rPr>
        <w:t>C. difficile</w:t>
      </w:r>
      <w: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t xml:space="preserve"> colonizes these communities effectively, it is unknown whether the differences in the metabolic activity of communities following antibiotic treatment are impacted by </w:t>
      </w:r>
      <w:r>
        <w:rPr>
          <w:i/>
        </w:rPr>
        <w:t>C. difficile</w:t>
      </w:r>
      <w: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w:t>
      </w:r>
      <w:r>
        <w:lastRenderedPageBreak/>
        <w:t xml:space="preserve">communities where </w:t>
      </w:r>
      <w:r>
        <w:rPr>
          <w:i/>
        </w:rPr>
        <w:t>C. difficile</w:t>
      </w:r>
      <w: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t xml:space="preserve"> colonization.</w:t>
      </w:r>
    </w:p>
    <w:p w:rsidR="00E56712" w:rsidRDefault="00E56712">
      <w:pPr>
        <w:pStyle w:val="BodyText"/>
        <w:rPr>
          <w:b/>
        </w:rPr>
      </w:pPr>
    </w:p>
    <w:p w:rsidR="00E56712" w:rsidRDefault="008D288B">
      <w:pPr>
        <w:pStyle w:val="BodyText"/>
      </w:pPr>
      <w:r>
        <w:rPr>
          <w:b/>
        </w:rPr>
        <w:t>Results</w:t>
      </w:r>
    </w:p>
    <w:p w:rsidR="00E56712" w:rsidRDefault="008D288B">
      <w:pPr>
        <w:pStyle w:val="BodyText"/>
      </w:pPr>
      <w:r>
        <w:rPr>
          <w:b/>
        </w:rPr>
        <w:t>Distinct antibiotic pretreatments are associated with different patterns of clearance and virulence factor expression.</w:t>
      </w:r>
      <w: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t xml:space="preserve"> colonization, each pretreatment was associated with altered patterns of </w:t>
      </w:r>
      <w:r>
        <w:rPr>
          <w:i/>
        </w:rPr>
        <w:t>C. difficile</w:t>
      </w:r>
      <w:r>
        <w:t xml:space="preserve"> virulence factor expression (Fig. 1A) (19). Briefly, these drugs were chosen for not only the ability to to reduce </w:t>
      </w:r>
      <w:r>
        <w:rPr>
          <w:i/>
        </w:rPr>
        <w:t>C. difficile</w:t>
      </w:r>
      <w:r>
        <w:t xml:space="preserve"> colonization resistance in a mouse model (18), but also for distinct and significant impacts on the structure and diversity of the cecal microbiota (all </w:t>
      </w:r>
      <w:r>
        <w:rPr>
          <w:i/>
        </w:rPr>
        <w:t>p</w:t>
      </w:r>
      <w:r>
        <w:t xml:space="preserve"> &lt; 0.001; Fig. S1A) as well as differential patterns of </w:t>
      </w:r>
      <w:r>
        <w:rPr>
          <w:i/>
        </w:rPr>
        <w:t>C. difficile</w:t>
      </w:r>
      <w:r>
        <w:t xml:space="preserve"> str. 630 clearance following initial infection (Fig. 1B). In each antibiotic pretreatment model, we observed equally high levels of </w:t>
      </w:r>
      <w:r>
        <w:rPr>
          <w:i/>
        </w:rPr>
        <w:t>C. difficile</w:t>
      </w:r>
      <w:r>
        <w:t xml:space="preserve"> colonization on the day after infection. Out of the three pretreatments regimes however, </w:t>
      </w:r>
      <w:r>
        <w:rPr>
          <w:i/>
        </w:rPr>
        <w:t>C. difficile</w:t>
      </w:r>
      <w: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t>.</w:t>
      </w:r>
    </w:p>
    <w:p w:rsidR="00E56712" w:rsidRDefault="008D288B">
      <w:pPr>
        <w:pStyle w:val="BodyText"/>
      </w:pPr>
      <w:r>
        <w:lastRenderedPageBreak/>
        <w:t xml:space="preserve">Previous work has demonstrated that </w:t>
      </w:r>
      <w:r>
        <w:rPr>
          <w:i/>
        </w:rPr>
        <w:t>C. difficile</w:t>
      </w:r>
      <w: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t xml:space="preserve"> directly prior to the reduction in detectable </w:t>
      </w:r>
      <w:r>
        <w:rPr>
          <w:i/>
        </w:rPr>
        <w:t>C. difficile</w:t>
      </w:r>
      <w:r>
        <w:t xml:space="preserve">. This end point corresponded with a previous study where </w:t>
      </w:r>
      <w:r>
        <w:rPr>
          <w:i/>
        </w:rPr>
        <w:t>C. difficile</w:t>
      </w:r>
      <w: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t xml:space="preserve"> vegetative colony forming units (cfu) per gram of cecal content and untreated mice maintained </w:t>
      </w:r>
      <w:r>
        <w:rPr>
          <w:i/>
        </w:rPr>
        <w:t>C. difficile</w:t>
      </w:r>
      <w: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t xml:space="preserve"> load, varying levels of both cfu due to spores and toxin titer were observed across each of the antibiotic pretreatments. These results suggested that despite high initial </w:t>
      </w:r>
      <w:r>
        <w:rPr>
          <w:i/>
        </w:rPr>
        <w:t>C. difficile</w:t>
      </w:r>
      <w: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rsidR="00E56712" w:rsidRDefault="008D288B">
      <w:pPr>
        <w:pStyle w:val="BodyText"/>
      </w:pPr>
      <w:r>
        <w:rPr>
          <w:b/>
          <w:i/>
        </w:rPr>
        <w:t>C. difficile</w:t>
      </w:r>
      <w:r>
        <w:rPr>
          <w:b/>
        </w:rPr>
        <w:t xml:space="preserve"> colonization corresponded with significantly altered cecal community structures.</w:t>
      </w:r>
      <w:r>
        <w:t xml:space="preserve"> It has not yet been established whether </w:t>
      </w:r>
      <w:r>
        <w:rPr>
          <w:i/>
        </w:rPr>
        <w:t>C. difficile</w:t>
      </w:r>
      <w:r>
        <w:t xml:space="preserve"> colonization impacts the </w:t>
      </w:r>
      <w:r>
        <w:lastRenderedPageBreak/>
        <w:t xml:space="preserve">structure of the gut microbiota during infection in susceptible mice. To evaluate changes in bacterial population abundances in response to antibiotic perturbation and </w:t>
      </w:r>
      <w:r>
        <w:rPr>
          <w:i/>
        </w:rPr>
        <w:t>C. difficile</w:t>
      </w:r>
      <w:r>
        <w:t xml:space="preserve"> colonization, we sequenced the V4 region of the 16S rRNA gene from the cecal content of both mock and </w:t>
      </w:r>
      <w:r>
        <w:rPr>
          <w:i/>
        </w:rPr>
        <w:t>C. difficile</w:t>
      </w:r>
      <w:r>
        <w:t xml:space="preserve">-infected mice across antibiotic pretreatment models. To focus our analysis specifically on the surrounding bacterial communities we removed all </w:t>
      </w:r>
      <w:r>
        <w:rPr>
          <w:i/>
        </w:rPr>
        <w:t>C. difficile</w:t>
      </w:r>
      <w: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t xml:space="preserve"> &lt; 0.001, Fig. S1A &amp; S1B). We then confirmed that each antibiotic pretreatment induced distinct and significant shifts in the community structure (all </w:t>
      </w:r>
      <w:r>
        <w:rPr>
          <w:i/>
        </w:rPr>
        <w:t>p</w:t>
      </w:r>
      <w:r>
        <w:t xml:space="preserve"> &lt; 0.001, Fig. S1C). The composition of streptomycin-pretreated communities was more variable between cages, but was generally enriched for members of phylum </w:t>
      </w:r>
      <w:r>
        <w:rPr>
          <w:i/>
        </w:rPr>
        <w:t>Bacteroidetes</w:t>
      </w:r>
      <w:r>
        <w:t xml:space="preserve"> (Fig. 2A). Cefoperazone and clindamycin-pretreated cecal communities were consistently dominated by members of the </w:t>
      </w:r>
      <w:r>
        <w:rPr>
          <w:i/>
        </w:rPr>
        <w:t>Lactobacillaceae</w:t>
      </w:r>
      <w:r>
        <w:t xml:space="preserve"> and </w:t>
      </w:r>
      <w:r>
        <w:rPr>
          <w:i/>
        </w:rPr>
        <w:t>Enterobacteriaceae</w:t>
      </w:r>
      <w:r>
        <w:t xml:space="preserve"> families, respectively (Fig. 2A). Despite variation in the community structures generated by streptomycin pretreatment, those communities were colonized by </w:t>
      </w:r>
      <w:r>
        <w:rPr>
          <w:i/>
        </w:rPr>
        <w:t>C. difficile</w:t>
      </w:r>
      <w:r>
        <w:t xml:space="preserve"> to the same level (Fig. 1B, 1C, &amp; S1).</w:t>
      </w:r>
    </w:p>
    <w:p w:rsidR="00E56712" w:rsidRDefault="008D288B">
      <w:pPr>
        <w:pStyle w:val="BodyText"/>
      </w:pPr>
      <w:r>
        <w:t xml:space="preserve">Next, we measured the effect that </w:t>
      </w:r>
      <w:r>
        <w:rPr>
          <w:i/>
        </w:rPr>
        <w:t>C. difficile</w:t>
      </w:r>
      <w: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t xml:space="preserve"> = 0.014, Fig. S1D; clindamycin </w:t>
      </w:r>
      <w:r>
        <w:rPr>
          <w:i/>
        </w:rPr>
        <w:t>p</w:t>
      </w:r>
      <w:r>
        <w:t xml:space="preserve"> = 0.003, Fig. S1F). Cefoperazone-pretreated communities did not significantly differ from their control group (Fig. S1E). We then </w:t>
      </w:r>
      <w:r>
        <w:lastRenderedPageBreak/>
        <w:t xml:space="preserve">sought to identify specific OTUs that significantly differed in abundance between mock and </w:t>
      </w:r>
      <w:r>
        <w:rPr>
          <w:i/>
        </w:rPr>
        <w:t>C. difficile</w:t>
      </w:r>
      <w: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t>.</w:t>
      </w:r>
    </w:p>
    <w:p w:rsidR="00E56712" w:rsidRDefault="008D288B">
      <w:pPr>
        <w:pStyle w:val="BodyText"/>
      </w:pPr>
      <w:r>
        <w:rPr>
          <w:b/>
        </w:rPr>
        <w:t xml:space="preserve">Distinct antibiotic classes lead to enrichment of alternative possible </w:t>
      </w:r>
      <w:r>
        <w:rPr>
          <w:b/>
          <w:i/>
        </w:rPr>
        <w:t>C. difficile</w:t>
      </w:r>
      <w:r>
        <w:rPr>
          <w:b/>
        </w:rPr>
        <w:t xml:space="preserve"> nutrient niches.</w:t>
      </w:r>
      <w: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t xml:space="preserve">-susceptible conditions (Fig. 3). All of the antibiotic pretreatments significantly altered the cecal metabolome compared to untreated, </w:t>
      </w:r>
      <w:r>
        <w:rPr>
          <w:i/>
        </w:rPr>
        <w:t>C. difficile</w:t>
      </w:r>
      <w:r>
        <w:t>-resistant mice as quantified by Bray-Curtis dissimilarity (</w:t>
      </w:r>
      <w:r>
        <w:rPr>
          <w:i/>
        </w:rPr>
        <w:t>p</w:t>
      </w:r>
      <w: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rsidR="00E56712" w:rsidRDefault="008D288B">
      <w:pPr>
        <w:pStyle w:val="BodyText"/>
      </w:pPr>
      <w:r>
        <w:t xml:space="preserve">We were interested in identifying those metabolites with the highest degree of change between resistant and susceptible groups. Due to the large number of individual </w:t>
      </w:r>
      <w:r>
        <w:lastRenderedPageBreak/>
        <w:t xml:space="preserve">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t xml:space="preserve"> growth substrate (26) which further promoted the hypothesis of differentially vacated nutrient niches due to </w:t>
      </w:r>
      <w:r>
        <w:lastRenderedPageBreak/>
        <w:t xml:space="preserve">antibiotic pretreatment that are now accessible to </w:t>
      </w:r>
      <w:r>
        <w:rPr>
          <w:i/>
        </w:rPr>
        <w:t>C. difficile</w:t>
      </w:r>
      <w: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t xml:space="preserve"> along different axes.</w:t>
      </w:r>
    </w:p>
    <w:p w:rsidR="00E56712" w:rsidRDefault="008D288B">
      <w:pPr>
        <w:pStyle w:val="BodyText"/>
      </w:pPr>
      <w:r>
        <w:t xml:space="preserve">Following this unsupervised approach for identification of susceptibility markers, we also measured the differences in relative concentration of metabolites previously connected to potential </w:t>
      </w:r>
      <w:r>
        <w:rPr>
          <w:i/>
        </w:rPr>
        <w:t>C. difficile</w:t>
      </w:r>
      <w:r>
        <w:t xml:space="preserve"> colonization susceptibility (13). We assessed differences in bile acids, which are deeply connected to the life cycle of </w:t>
      </w:r>
      <w:r>
        <w:rPr>
          <w:i/>
        </w:rPr>
        <w:t>C. difficile</w:t>
      </w:r>
      <w: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rsidR="00E56712" w:rsidRDefault="008D288B">
      <w:pPr>
        <w:pStyle w:val="BodyText"/>
      </w:pPr>
      <w:r>
        <w:rPr>
          <w:b/>
          <w:i/>
        </w:rPr>
        <w:lastRenderedPageBreak/>
        <w:t>C. difficile</w:t>
      </w:r>
      <w:r>
        <w:rPr>
          <w:b/>
        </w:rPr>
        <w:t xml:space="preserve"> colonization induced distinct metabolomic changes of each pretreatment group.</w:t>
      </w:r>
      <w:r>
        <w:t xml:space="preserve"> Following the changes to the cecal metabolome in response to antibiotic pretreatment, we assessed the degree to which </w:t>
      </w:r>
      <w:r>
        <w:rPr>
          <w:i/>
        </w:rPr>
        <w:t>C. difficile</w:t>
      </w:r>
      <w:r>
        <w:t xml:space="preserve"> colonization altered the cecal metabolome of susceptible animals. We hypothesized that the introduction of a new competitor, </w:t>
      </w:r>
      <w:r>
        <w:rPr>
          <w:i/>
        </w:rPr>
        <w:t>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t>-infected metabolomes within each antibiotic pretreatment group individually. We compared the cecal metabolomes from all mice across pretreatment groups, and were unable to detect a consistent difference between groups (</w:t>
      </w:r>
      <w:r>
        <w:rPr>
          <w:i/>
        </w:rPr>
        <w:t>p</w:t>
      </w:r>
      <w:r>
        <w:t xml:space="preserve"> = 0.075; Fig. S3A). We moved on to individual antibiotic groups and found that both streptomycin (</w:t>
      </w:r>
      <w:r>
        <w:rPr>
          <w:i/>
        </w:rPr>
        <w:t>p</w:t>
      </w:r>
      <w:r>
        <w:t xml:space="preserve"> = 0.039) and cefoperazone (</w:t>
      </w:r>
      <w:r>
        <w:rPr>
          <w:i/>
        </w:rPr>
        <w:t>p</w:t>
      </w:r>
      <w:r>
        <w:t xml:space="preserve"> = 0.016) pretreated metabolomes deviated significantly from that of mock infection (Fig. 4A-4B). However, clindamycin-pretreated cecal metabolomes were not significantly altered by the presence of the pathogen (</w:t>
      </w:r>
      <w:r>
        <w:rPr>
          <w:i/>
        </w:rPr>
        <w:t>p</w:t>
      </w:r>
      <w: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t xml:space="preserve"> = 0.003; Fig. 4B, 4C). Interestingly, streptomycin-pretreated microbiomes were significantly altered by </w:t>
      </w:r>
      <w:r>
        <w:rPr>
          <w:i/>
        </w:rPr>
        <w:t>C. difficile</w:t>
      </w:r>
      <w: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w:t>
      </w:r>
      <w:r>
        <w:lastRenderedPageBreak/>
        <w:t>can ultimately share a convergent metabolic output despite changes to community structure and membership.</w:t>
      </w:r>
    </w:p>
    <w:p w:rsidR="00E56712" w:rsidRDefault="008D288B">
      <w:pPr>
        <w:pStyle w:val="BodyText"/>
      </w:pPr>
      <w:r>
        <w:t xml:space="preserve">We then sought to identify changes in those metabolites that were potential markers of </w:t>
      </w:r>
      <w:r>
        <w:rPr>
          <w:i/>
        </w:rPr>
        <w:t>C. difficile</w:t>
      </w:r>
      <w:r>
        <w:t xml:space="preserve"> infection through a unified analysis across all models tested. To accomplish this, we again applied the Random Forest machine-learning approach. We were able to distinguish those microbiomes infected with </w:t>
      </w:r>
      <w:r>
        <w:rPr>
          <w:i/>
        </w:rPr>
        <w:t>C. difficile</w:t>
      </w:r>
      <w: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t xml:space="preserve"> colonization over 10 days, did the concentration of 5-aminovalerate remain near undetectable in a subset of samples. This amino acid analog is a known byproduct of D-proline fermentation in </w:t>
      </w:r>
      <w:r>
        <w:rPr>
          <w:i/>
        </w:rPr>
        <w:t>C. difficile</w:t>
      </w:r>
      <w:r>
        <w:t xml:space="preserve"> (29). </w:t>
      </w:r>
      <w:r>
        <w:rPr>
          <w:i/>
        </w:rPr>
        <w:t>C. difficile</w:t>
      </w:r>
      <w: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t xml:space="preserve"> &lt; 0.001). These combined results demonstrated that while distinct metabolic challenges may exist in each susceptible metabolome, Stickland fermentation could be a preferred energy acquisition pathway for </w:t>
      </w:r>
      <w:r>
        <w:rPr>
          <w:i/>
        </w:rPr>
        <w:t>C. difficile</w:t>
      </w:r>
      <w:r>
        <w:t xml:space="preserve"> </w:t>
      </w:r>
      <w:r>
        <w:rPr>
          <w:i/>
        </w:rPr>
        <w:t>in vivo</w:t>
      </w:r>
      <w:r>
        <w:t xml:space="preserve">. </w:t>
      </w:r>
      <w:r>
        <w:lastRenderedPageBreak/>
        <w:t xml:space="preserve">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t xml:space="preserve"> colonization in a unique manner. However, it was not possible to isolate where changes to the metabolome were a result of altered community metabolism, altered host metabolism, or from </w:t>
      </w:r>
      <w:r>
        <w:rPr>
          <w:i/>
        </w:rPr>
        <w:t>C. difficile</w:t>
      </w:r>
      <w:r>
        <w:t>.</w:t>
      </w:r>
    </w:p>
    <w:p w:rsidR="00E56712" w:rsidRDefault="008D288B">
      <w:pPr>
        <w:pStyle w:val="BodyText"/>
      </w:pPr>
      <w:r>
        <w:rPr>
          <w:b/>
        </w:rPr>
        <w:t>Infection corresponded with metatranscriptomic shifts in numerous catabolic pathways and nutrient acquisition systems across susceptible communities.</w:t>
      </w:r>
      <w: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t xml:space="preserve"> contributed to the differences in the metabolomes during infection. To gain a more specific understanding of how the microbiota or </w:t>
      </w:r>
      <w:r>
        <w:rPr>
          <w:i/>
        </w:rPr>
        <w:t>C. difficile</w:t>
      </w:r>
      <w: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w:t>
      </w:r>
      <w:r>
        <w:lastRenderedPageBreak/>
        <w:t>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p>
    <w:p w:rsidR="00E56712" w:rsidRDefault="008D288B">
      <w:pPr>
        <w:pStyle w:val="BodyText"/>
      </w:pPr>
      <w:r>
        <w:t xml:space="preserve">Following sequencing, metagenomic reads from mock-infected cecal communities were assembled </w:t>
      </w:r>
      <w:r>
        <w:rPr>
          <w:i/>
        </w:rPr>
        <w:t>de novo</w:t>
      </w:r>
      <w:r>
        <w:t xml:space="preserve"> into contigs and putative genes were identified resulting in 234,868 (streptomycin), 83,534 (cefoperazone), and 35,681 (clindamycin) likely open reading frames in each metagenome. Of these putative genes, 28.5% were able to be annotated with known function in KEGG, and many of these annotations were homologs between species within the dataset. Streptomycin pretreatment resulted in a significantly more diverse community (Fig. S1A) than other groups, so a more diverse metagenome was expected. This was the case as 2408 unique functionally annotated genes were detected in the metagenome resulting from strptomycin pretreatment, at least 1163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t xml:space="preserve">-infected groups. Based on </w:t>
      </w:r>
      <w:r>
        <w:lastRenderedPageBreak/>
        <w:t>the metabolomic results, we hypothesized that pathways with the greatest differences would include those involved in the metabolism of carbohydrates and amino acids.</w:t>
      </w:r>
    </w:p>
    <w:p w:rsidR="00E56712" w:rsidRDefault="008D288B">
      <w:pPr>
        <w:pStyle w:val="BodyText"/>
      </w:pPr>
      <w: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those genes with increased community-level transcription in the presence of </w:t>
      </w:r>
      <w:r>
        <w:rPr>
          <w:i/>
        </w:rPr>
        <w:t>C. difficile</w:t>
      </w:r>
      <w: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w:t>
      </w:r>
      <w:r>
        <w:lastRenderedPageBreak/>
        <w:t xml:space="preserve">(resistant) communities (Fig. S4). Together these shifts suggested that the microbiota associated separate antibiotic pretreatments differentially adapt carbon metabolism pathways in response to colonization of </w:t>
      </w:r>
      <w:r>
        <w:rPr>
          <w:i/>
        </w:rPr>
        <w:t>C. difficile</w:t>
      </w:r>
      <w:r>
        <w:t>.</w:t>
      </w:r>
    </w:p>
    <w:p w:rsidR="00E56712" w:rsidRDefault="008D288B">
      <w:pPr>
        <w:pStyle w:val="BodyText"/>
      </w:pPr>
      <w:r>
        <w:rPr>
          <w:b/>
        </w:rPr>
        <w:t>Large-scale changes in gene transcription of low-abundance bacterial taxa occurred during CDI.</w:t>
      </w:r>
      <w:r>
        <w:t xml:space="preserve"> As not all bacterial taxa share identical metabolic capabilities, we hypothesized that expression in specific subsets of bacteria were differentially affected by the presence or metabolic activity of </w:t>
      </w:r>
      <w:r>
        <w:rPr>
          <w:i/>
        </w:rPr>
        <w:t>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w:t>
      </w:r>
      <w:r>
        <w:lastRenderedPageBreak/>
        <w:t xml:space="preserve">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t>.</w:t>
      </w:r>
    </w:p>
    <w:p w:rsidR="00E56712" w:rsidRDefault="008D288B">
      <w:pPr>
        <w:pStyle w:val="BodyText"/>
      </w:pPr>
      <w: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t xml:space="preserve"> with increased expression during </w:t>
      </w:r>
      <w:r>
        <w:rPr>
          <w:i/>
        </w:rPr>
        <w:t>C. difficile</w:t>
      </w:r>
      <w:r>
        <w:t xml:space="preserve"> infection (Fig. 6A). In cefoperazone-pretreated mice 2290 genes belonging to </w:t>
      </w:r>
      <w:r>
        <w:rPr>
          <w:i/>
        </w:rPr>
        <w:t>Bacteroides</w:t>
      </w:r>
      <w:r>
        <w:t xml:space="preserve"> had higher transcription in mock infected mice (Fig. 6B). A consistent trend in streptomycin and cefoperazone pretreatments was an overrepresentation of highly expressed genes from genera belonging to </w:t>
      </w:r>
      <w:r>
        <w:rPr>
          <w:i/>
        </w:rPr>
        <w:t>Bacteroidetes</w:t>
      </w:r>
      <w:r>
        <w:t xml:space="preserve"> during mock infection. The metatransciptomes within both of these pretreatment conditions poorly correlated between mock and infected conditions, indicating a high degree of change induced by </w:t>
      </w:r>
      <w:r>
        <w:rPr>
          <w:i/>
        </w:rPr>
        <w:t>C. difficile</w:t>
      </w:r>
      <w:r>
        <w:t xml:space="preserve"> colonization (</w:t>
      </w:r>
      <w:r>
        <w:rPr>
          <w:i/>
        </w:rPr>
        <w:t>ρ</w:t>
      </w:r>
      <w:r>
        <w:t xml:space="preserve"> = 0.03 &amp; </w:t>
      </w:r>
      <w:r>
        <w:rPr>
          <w:i/>
          <w:iCs/>
        </w:rPr>
        <w:t>ρ</w:t>
      </w:r>
      <w:r>
        <w:t xml:space="preserve"> = 0.03). In clindamycin-pretreated mice the largest difference in transcription was for 510 </w:t>
      </w:r>
      <w:r>
        <w:rPr>
          <w:i/>
        </w:rPr>
        <w:t>Lactobacillus</w:t>
      </w:r>
      <w:r>
        <w:t xml:space="preserve"> genes with increased transcription during CDI (Fig. 6C). Infected and uninfected metatranscriptomes associated with this antibiotic more strongly correlated than either other pretreatment (</w:t>
      </w:r>
      <w:r>
        <w:rPr>
          <w:i/>
          <w:iCs/>
        </w:rPr>
        <w:t>ρ</w:t>
      </w:r>
      <w:r>
        <w:t xml:space="preserve"> = 0.86). This suggested that the degree to which the metatranscriptome was shifted by infection corresponded to prolonged colonization. We further characterized this by tabulating the absolute difference between mock-infection </w:t>
      </w:r>
      <w:r>
        <w:lastRenderedPageBreak/>
        <w:t xml:space="preserve">and CDI in all transcriptomic abundances per genus in each antibiotic pretreatment, normalizing for the number of genes detected in each </w:t>
      </w:r>
      <w:r w:rsidR="00334E17">
        <w:t>genus</w:t>
      </w:r>
      <w:r>
        <w:t>.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rsidR="00E56712" w:rsidRDefault="00E56712">
      <w:pPr>
        <w:pStyle w:val="BodyText"/>
        <w:rPr>
          <w:b/>
        </w:rPr>
      </w:pPr>
    </w:p>
    <w:p w:rsidR="00E56712" w:rsidRDefault="008D288B">
      <w:pPr>
        <w:pStyle w:val="BodyText"/>
      </w:pPr>
      <w:r>
        <w:rPr>
          <w:b/>
        </w:rPr>
        <w:t>Discussion</w:t>
      </w:r>
    </w:p>
    <w:p w:rsidR="00E56712" w:rsidRDefault="008D288B">
      <w:pPr>
        <w:pStyle w:val="BodyText"/>
      </w:pPr>
      <w:r>
        <w:t xml:space="preserve">Our results demonstrate that distinct intestinal ecosystems are differently impacted by </w:t>
      </w:r>
      <w:r>
        <w:rPr>
          <w:i/>
        </w:rPr>
        <w:t>C. difficile</w:t>
      </w:r>
      <w: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t xml:space="preserve">. Unlike the other conditions, clindamycin-pretreated communities were significantly altered in community structure following </w:t>
      </w:r>
      <w:r>
        <w:rPr>
          <w:i/>
        </w:rPr>
        <w:t>C. difficile</w:t>
      </w:r>
      <w:r>
        <w:t xml:space="preserve"> colonization, but not at </w:t>
      </w:r>
      <w:r>
        <w:lastRenderedPageBreak/>
        <w:t xml:space="preserve">the metabolomic level (Fig. S1F &amp; 4A). This disconnect between community structure and metabolic output was explained by their similarity in gene expression (Fig. 4D &amp; 5C). Collectively, these results advance the idea that for </w:t>
      </w:r>
      <w:r>
        <w:rPr>
          <w:i/>
        </w:rPr>
        <w:t>C. difficile</w:t>
      </w:r>
      <w:r>
        <w:t xml:space="preserve"> to maintain colonization it must exploit and restructure the available niche space.</w:t>
      </w:r>
    </w:p>
    <w:p w:rsidR="00E56712" w:rsidRDefault="008D288B">
      <w:pPr>
        <w:pStyle w:val="BodyText"/>
      </w:pPr>
      <w: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t xml:space="preserve"> and members of susceptible communities.</w:t>
      </w:r>
    </w:p>
    <w:p w:rsidR="00E56712" w:rsidRDefault="008D288B">
      <w:pPr>
        <w:pStyle w:val="BodyText"/>
      </w:pPr>
      <w:r>
        <w:t xml:space="preserve">This study is one of the first </w:t>
      </w:r>
      <w:r>
        <w:rPr>
          <w:i/>
        </w:rPr>
        <w:t>in vivo</w:t>
      </w:r>
      <w:r>
        <w:t xml:space="preserve"> observations that a medically relevant bacterial pathogen may alter the metabolic activity of a host-associated community to promote its </w:t>
      </w:r>
      <w:r>
        <w:lastRenderedPageBreak/>
        <w:t xml:space="preserve">own colonization. This is also the first application of metatranscriptomic analysis of the gut microbiota </w:t>
      </w:r>
      <w:r>
        <w:rPr>
          <w:i/>
        </w:rPr>
        <w:t>in vivo</w:t>
      </w:r>
      <w:r>
        <w:t xml:space="preserve"> and in response to infection. Other groups have identified potential metabolite markers of </w:t>
      </w:r>
      <w:r>
        <w:rPr>
          <w:i/>
        </w:rPr>
        <w:t>C. difficile</w:t>
      </w:r>
      <w: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t xml:space="preserve"> has a wide nutrient niche-space </w:t>
      </w:r>
      <w:r>
        <w:rPr>
          <w:i/>
        </w:rPr>
        <w:t>in vivo</w:t>
      </w:r>
      <w: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t xml:space="preserve">-related microbial ecology in the gut emerge. This research lays the groundwork for a more rationale consideration of the metabolic functionalities of bacterial taxa to consider when attempting to rebuild </w:t>
      </w:r>
      <w:r>
        <w:rPr>
          <w:i/>
        </w:rPr>
        <w:t>C. difficile</w:t>
      </w:r>
      <w:r>
        <w:t xml:space="preserve"> colonization resistance across differentially perturbed gut environments.</w:t>
      </w:r>
    </w:p>
    <w:p w:rsidR="00E56712" w:rsidRDefault="008D288B">
      <w:pPr>
        <w:pStyle w:val="BodyText"/>
      </w:pPr>
      <w:r>
        <w:t xml:space="preserve">In spite of consistent signals across multiple levels of -omics datasets, possible shortcomings to our interpretation of the presented data do exist. First, as with all </w:t>
      </w:r>
      <w:r>
        <w:lastRenderedPageBreak/>
        <w:t xml:space="preserve">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t xml:space="preserve"> colonization. However, this may instead indicate that the metabolism of </w:t>
      </w:r>
      <w:r>
        <w:rPr>
          <w:i/>
        </w:rPr>
        <w:t>C. difficile</w:t>
      </w:r>
      <w: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rsidR="00E56712" w:rsidRDefault="008D288B">
      <w:pPr>
        <w:pStyle w:val="BodyText"/>
      </w:pPr>
      <w:r>
        <w:lastRenderedPageBreak/>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t xml:space="preserve"> in that specific context. Conversely, colonization resistance against </w:t>
      </w:r>
      <w:r>
        <w:rPr>
          <w:i/>
        </w:rPr>
        <w:t>C. difficile</w:t>
      </w:r>
      <w: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t xml:space="preserve"> colonization resistance and what factors are able to interfere with the ability of </w:t>
      </w:r>
      <w:r>
        <w:rPr>
          <w:i/>
        </w:rPr>
        <w:t>C. difficile</w:t>
      </w:r>
      <w:r>
        <w:t xml:space="preserve"> to modify gut ecology in order to promote clearance.</w:t>
      </w:r>
    </w:p>
    <w:p w:rsidR="00E56712" w:rsidRDefault="00E56712">
      <w:pPr>
        <w:pStyle w:val="BodyText"/>
        <w:rPr>
          <w:b/>
        </w:rPr>
      </w:pPr>
    </w:p>
    <w:p w:rsidR="00E56712" w:rsidRDefault="008D288B">
      <w:pPr>
        <w:pStyle w:val="BodyText"/>
      </w:pPr>
      <w:r>
        <w:rPr>
          <w:b/>
        </w:rPr>
        <w:t>Materials and Methods</w:t>
      </w:r>
    </w:p>
    <w:p w:rsidR="00E56712" w:rsidRDefault="008D288B">
      <w:pPr>
        <w:pStyle w:val="BodyText"/>
      </w:pPr>
      <w:r>
        <w:rPr>
          <w:b/>
        </w:rPr>
        <w:t>Animal care and antibiotic administration.</w:t>
      </w:r>
      <w:r>
        <w:t xml:space="preserve"> For a more detailed description of the animal model, refer to Jenior et al. (19). Briefly, approximately equal numbers of male and female conventionally-reared six-to-eight week-old C57BL/6 mice were randomly </w:t>
      </w:r>
      <w:r>
        <w:lastRenderedPageBreak/>
        <w:t xml:space="preserve">assigned to each experimental group (genders were housed separately). Nine animals were used in each experimental and control group. They were administered one of three antibiotics; cefoperazone, streptomycin, or clindamycin before oral </w:t>
      </w:r>
      <w:r>
        <w:rPr>
          <w:i/>
        </w:rPr>
        <w:t>C. difficile</w:t>
      </w:r>
      <w: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rsidR="00E56712" w:rsidRDefault="008D288B">
      <w:pPr>
        <w:pStyle w:val="BodyText"/>
      </w:pPr>
      <w:r>
        <w:rPr>
          <w:b/>
          <w:i/>
        </w:rPr>
        <w:t>C. difficile</w:t>
      </w:r>
      <w:r>
        <w:rPr>
          <w:b/>
        </w:rPr>
        <w:t xml:space="preserve"> infection and necropsy.</w:t>
      </w:r>
      <w:r>
        <w:t xml:space="preserve"> On the day of challenge, 1x10</w:t>
      </w:r>
      <w:r>
        <w:rPr>
          <w:vertAlign w:val="superscript"/>
        </w:rPr>
        <w:t>3</w:t>
      </w:r>
      <w:r>
        <w:t xml:space="preserve"> </w:t>
      </w:r>
      <w:r>
        <w:rPr>
          <w:i/>
        </w:rPr>
        <w:t>C. difficile</w:t>
      </w:r>
      <w:r>
        <w:t xml:space="preserve"> spores were administered to mice via oral gavage in phosphate-buffered saline (PBS) vehicle. Mock-infected animals were given an oral gavage of 100 ul PBS at the same time as those mice administered </w:t>
      </w:r>
      <w:r>
        <w:rPr>
          <w:i/>
        </w:rPr>
        <w:t>C. difficile</w:t>
      </w:r>
      <w:r>
        <w:t xml:space="preserve"> spores. 18 hours following infection, mice were euthanized by CO</w:t>
      </w:r>
      <w:r>
        <w:rPr>
          <w:vertAlign w:val="subscript"/>
        </w:rPr>
        <w:t>2</w:t>
      </w:r>
      <w: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w:t>
      </w:r>
      <w:r>
        <w:lastRenderedPageBreak/>
        <w:t>the day of infection. Mice were monitored for overt signs of disease and were euthanized after the final stool collection.</w:t>
      </w:r>
    </w:p>
    <w:p w:rsidR="00E56712" w:rsidRDefault="008D288B">
      <w:pPr>
        <w:pStyle w:val="BodyText"/>
      </w:pPr>
      <w:r>
        <w:rPr>
          <w:b/>
          <w:i/>
        </w:rPr>
        <w:t>C. difficile</w:t>
      </w:r>
      <w:r>
        <w:rPr>
          <w:b/>
        </w:rPr>
        <w:t xml:space="preserve"> cultivation and quantification.</w:t>
      </w:r>
      <w:r>
        <w:t xml:space="preserve"> Cecal samples were weighed and serially diluted under anaerobic conditions with anaerobic PBS. Differential plating was performed to quantify both </w:t>
      </w:r>
      <w:r>
        <w:rPr>
          <w:i/>
        </w:rPr>
        <w:t>C. difficile</w:t>
      </w:r>
      <w: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t xml:space="preserve"> cfu for the 10-day colonization experiments was performed from stool using TCCFAE to measure total </w:t>
      </w:r>
      <w:r>
        <w:rPr>
          <w:i/>
        </w:rPr>
        <w:t>C. difficile</w:t>
      </w:r>
      <w:r>
        <w:t xml:space="preserve"> load in these animals over time.</w:t>
      </w:r>
    </w:p>
    <w:p w:rsidR="00E56712" w:rsidRDefault="008D288B">
      <w:pPr>
        <w:pStyle w:val="BodyText"/>
      </w:pPr>
      <w:r>
        <w:rPr>
          <w:b/>
          <w:i/>
        </w:rPr>
        <w:t>C. difficile</w:t>
      </w:r>
      <w:r>
        <w:rPr>
          <w:b/>
        </w:rPr>
        <w:t xml:space="preserve"> toxin titer assay.</w:t>
      </w:r>
      <w: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rsidR="00E56712" w:rsidRDefault="008D288B">
      <w:pPr>
        <w:pStyle w:val="BodyText"/>
      </w:pPr>
      <w:r>
        <w:rPr>
          <w:b/>
        </w:rPr>
        <w:t>DNA/RNA extraction and sequencing library preparation.</w:t>
      </w:r>
      <w:r>
        <w:t xml:space="preserve"> DNA for shotgun metagenomic and 16S rRNA gene sequencing was extracted from approximately 50 mg of cecal content from each mouse using the PowerSoil-htp 96 Well Soil DNA isolation kit (MO BIO Laboratories) and an epMotion 5075 automated pipetting system </w:t>
      </w:r>
      <w:r>
        <w:lastRenderedPageBreak/>
        <w:t xml:space="preserve">(Eppendorf).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w:t>
      </w:r>
      <w:r>
        <w:lastRenderedPageBreak/>
        <w:t>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rsidR="00E56712" w:rsidRDefault="008D288B">
      <w:pPr>
        <w:pStyle w:val="BodyText"/>
      </w:pPr>
      <w:r>
        <w:rPr>
          <w:b/>
        </w:rPr>
        <w:t>High-throughput sequencing and raw read curation.</w:t>
      </w:r>
      <w: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t xml:space="preserve"> contig assembly, were sequenced using an Illumina HiSeq 2500 on 2x250 paired-end settings and was repeated across 2 lanes to normalize for inter-run variation. </w:t>
      </w:r>
      <w:r>
        <w:rPr>
          <w:i/>
        </w:rPr>
        <w:t>C. difficile</w:t>
      </w:r>
      <w:r>
        <w:t xml:space="preserve">-infected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w:t>
      </w:r>
      <w:r>
        <w:lastRenderedPageBreak/>
        <w:t>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rsidR="00E56712" w:rsidRDefault="008D288B">
      <w:pPr>
        <w:pStyle w:val="BodyText"/>
      </w:pPr>
      <w:r>
        <w:rPr>
          <w:b/>
        </w:rPr>
        <w:t>Metagenomic contig assembly and gene annotation.</w:t>
      </w:r>
      <w: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rsidR="00E56712" w:rsidRDefault="008D288B">
      <w:pPr>
        <w:pStyle w:val="BodyText"/>
      </w:pPr>
      <w:r>
        <w:rPr>
          <w:b/>
        </w:rPr>
        <w:t>DNA/cDNA read mapping and normalization.</w:t>
      </w:r>
      <w:r>
        <w:t xml:space="preserve"> Mapping was accomplished using Bowtie2 (53) and the default stringent settings. Optical and PCR duplicates were then removed using Picard MarkDuplicates (</w:t>
      </w:r>
      <w:hyperlink r:id="rId7">
        <w:r>
          <w:rPr>
            <w:rStyle w:val="InternetLink"/>
          </w:rPr>
          <w:t>http://roadinstitute.github.io/picard/</w:t>
        </w:r>
      </w:hyperlink>
      <w:r>
        <w:t xml:space="preserve">). The remaining mappings were converted to idxstats format using Samtools (54) and the read counts per gene were tabulated. Discordant pair mappings were discarded and </w:t>
      </w:r>
      <w:r>
        <w:lastRenderedPageBreak/>
        <w:t xml:space="preserve">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t xml:space="preserve"> were removed from analysis using Bowtie2 against the </w:t>
      </w:r>
      <w:r>
        <w:rPr>
          <w:i/>
        </w:rPr>
        <w:t>C. difficile</w:t>
      </w:r>
      <w:r>
        <w:t xml:space="preserve"> str. 630 genome.</w:t>
      </w:r>
    </w:p>
    <w:p w:rsidR="00E56712" w:rsidRDefault="008D288B">
      <w:pPr>
        <w:pStyle w:val="BodyText"/>
      </w:pPr>
      <w:r>
        <w:rPr>
          <w:b/>
        </w:rPr>
        <w:t xml:space="preserve">Quantification of </w:t>
      </w:r>
      <w:r>
        <w:rPr>
          <w:b/>
          <w:i/>
        </w:rPr>
        <w:t>in vivo</w:t>
      </w:r>
      <w:r>
        <w:rPr>
          <w:b/>
        </w:rPr>
        <w:t xml:space="preserve"> metabolite relative concentrations.</w:t>
      </w:r>
      <w: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t>
      </w:r>
      <w:r>
        <w:lastRenderedPageBreak/>
        <w:t>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rsidR="00E56712" w:rsidRDefault="008D288B">
      <w:pPr>
        <w:pStyle w:val="BodyText"/>
      </w:pPr>
      <w:r>
        <w:rPr>
          <w:b/>
        </w:rPr>
        <w:t>Statistical methods.</w:t>
      </w:r>
      <w: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were excluded from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rsidR="00960774" w:rsidRDefault="00960774" w:rsidP="00960774">
      <w:pPr>
        <w:pStyle w:val="BodyText"/>
      </w:pPr>
      <w:r>
        <w:rPr>
          <w:b/>
        </w:rPr>
        <w:t>Data Availability</w:t>
      </w:r>
      <w:r>
        <w:t xml:space="preserve">.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8">
        <w:r>
          <w:rPr>
            <w:rStyle w:val="InternetLink"/>
          </w:rPr>
          <w:t>https://github.com/mjenior/Jenior_Metatranscriptomics_mSphere_2018</w:t>
        </w:r>
      </w:hyperlink>
      <w:r>
        <w:t>.</w:t>
      </w:r>
    </w:p>
    <w:p w:rsidR="00960774" w:rsidRDefault="00960774">
      <w:pPr>
        <w:pStyle w:val="BodyText"/>
      </w:pPr>
    </w:p>
    <w:p w:rsidR="00E56712" w:rsidRDefault="008D288B">
      <w:pPr>
        <w:pStyle w:val="BodyText"/>
      </w:pPr>
      <w:r>
        <w:rPr>
          <w:b/>
        </w:rPr>
        <w:t>Acknowledgments</w:t>
      </w:r>
    </w:p>
    <w:p w:rsidR="00E56712" w:rsidRDefault="008D288B">
      <w:pPr>
        <w:pStyle w:val="BodyText"/>
      </w:pPr>
      <w: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rsidR="00E56712" w:rsidRDefault="008D288B">
      <w:pPr>
        <w:pStyle w:val="BodyText"/>
      </w:pPr>
      <w:r>
        <w:rPr>
          <w:b/>
        </w:rPr>
        <w:t>Author Affiliations</w:t>
      </w:r>
      <w:r>
        <w:t xml:space="preserve"> </w:t>
      </w:r>
      <w:r>
        <w:rPr>
          <w:b/>
        </w:rPr>
        <w:t>Department of Microbiology and Immunology, University of Michigan, Ann Arbor, Michigan.</w:t>
      </w:r>
      <w:r>
        <w:t xml:space="preserve"> Matthew L. Jenior, Jhansi L. Leslie, &amp; Patrick D. Schloss Ph.D.</w:t>
      </w:r>
    </w:p>
    <w:p w:rsidR="00E56712" w:rsidRDefault="008D288B">
      <w:pPr>
        <w:pStyle w:val="BodyText"/>
      </w:pPr>
      <w:r>
        <w:rPr>
          <w:b/>
        </w:rPr>
        <w:t>Department of Internal Medicine/Infectious Diseases Division, University of Michigan Medical Center, Ann Arbor, Michigan.</w:t>
      </w:r>
      <w:r>
        <w:t xml:space="preserve"> </w:t>
      </w:r>
      <w:r>
        <w:rPr>
          <w:b/>
        </w:rPr>
        <w:t>Department of Microbiology and Immunology, University of Michigan, Ann Arbor, Michigan.</w:t>
      </w:r>
      <w:r>
        <w:t xml:space="preserve"> Vincent B. Young M.D. Ph.D.</w:t>
      </w:r>
    </w:p>
    <w:p w:rsidR="00E56712" w:rsidRDefault="008D288B">
      <w:pPr>
        <w:pStyle w:val="BodyText"/>
      </w:pPr>
      <w:r>
        <w:rPr>
          <w:b/>
        </w:rPr>
        <w:t>Author Contributions</w:t>
      </w:r>
      <w: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rsidR="00E56712" w:rsidRDefault="008D288B">
      <w:pPr>
        <w:pStyle w:val="BodyText"/>
      </w:pPr>
      <w:r>
        <w:rPr>
          <w:b/>
        </w:rPr>
        <w:t>Corresponding author</w:t>
      </w:r>
      <w:r>
        <w:t xml:space="preserve"> Correspondence to </w:t>
      </w:r>
      <w:hyperlink r:id="rId9">
        <w:r>
          <w:rPr>
            <w:rStyle w:val="InternetLink"/>
          </w:rPr>
          <w:t>Patrick D. Schloss</w:t>
        </w:r>
      </w:hyperlink>
    </w:p>
    <w:p w:rsidR="00960774" w:rsidRDefault="00960774">
      <w:pPr>
        <w:pStyle w:val="BodyText"/>
        <w:rPr>
          <w:b/>
        </w:rPr>
        <w:sectPr w:rsidR="00960774">
          <w:footerReference w:type="default" r:id="rId10"/>
          <w:pgSz w:w="12240" w:h="15840"/>
          <w:pgMar w:top="1440" w:right="1440" w:bottom="1440" w:left="1440" w:header="0" w:footer="720" w:gutter="0"/>
          <w:lnNumType w:countBy="1" w:restart="continuous"/>
          <w:cols w:space="720"/>
          <w:formProt w:val="0"/>
          <w:docGrid w:linePitch="240" w:charSpace="-6145"/>
        </w:sectPr>
      </w:pPr>
    </w:p>
    <w:p w:rsidR="00E56712" w:rsidRDefault="008D288B">
      <w:pPr>
        <w:pStyle w:val="BodyText"/>
      </w:pPr>
      <w:r>
        <w:rPr>
          <w:b/>
        </w:rPr>
        <w:lastRenderedPageBreak/>
        <w:t>References</w:t>
      </w:r>
    </w:p>
    <w:p w:rsidR="00E56712" w:rsidRDefault="008D288B">
      <w:pPr>
        <w:pStyle w:val="Bibliography"/>
      </w:pPr>
      <w:r>
        <w:t xml:space="preserve">1. </w:t>
      </w:r>
      <w:r>
        <w:rPr>
          <w:b/>
        </w:rPr>
        <w:t>Vollaard, E. J.</w:t>
      </w:r>
      <w:r>
        <w:t xml:space="preserve">, and </w:t>
      </w:r>
      <w:r>
        <w:rPr>
          <w:b/>
        </w:rPr>
        <w:t>H. A. L. Clasener</w:t>
      </w:r>
      <w:r>
        <w:t>. 1994. Colonization resistance. U.S. Patent 3.</w:t>
      </w:r>
    </w:p>
    <w:p w:rsidR="00E56712" w:rsidRDefault="008D288B">
      <w:pPr>
        <w:pStyle w:val="Bibliography"/>
      </w:pPr>
      <w:r>
        <w:t xml:space="preserve">2. </w:t>
      </w:r>
      <w:r>
        <w:rPr>
          <w:b/>
        </w:rPr>
        <w:t>Freter, R.</w:t>
      </w:r>
      <w:r>
        <w:t xml:space="preserve"> 1955. The Fatal Enteric Cholera Infection in the Guinea Pig, Achieved by Inhibition of Normal Enteric Flora. The Journal of Infectious Diseases </w:t>
      </w:r>
      <w:r>
        <w:rPr>
          <w:b/>
        </w:rPr>
        <w:t>97</w:t>
      </w:r>
      <w:r>
        <w:t>:57–65.</w:t>
      </w:r>
    </w:p>
    <w:p w:rsidR="00E56712" w:rsidRDefault="008D288B">
      <w:pPr>
        <w:pStyle w:val="Bibliography"/>
      </w:pPr>
      <w:r>
        <w:t xml:space="preserve">3. </w:t>
      </w:r>
      <w:r>
        <w:rPr>
          <w:b/>
        </w:rPr>
        <w:t>Fekety, R.</w:t>
      </w:r>
      <w:r>
        <w:t xml:space="preserve">, </w:t>
      </w:r>
      <w:r>
        <w:rPr>
          <w:b/>
        </w:rPr>
        <w:t>J. Silva</w:t>
      </w:r>
      <w:r>
        <w:t xml:space="preserve">, </w:t>
      </w:r>
      <w:r>
        <w:rPr>
          <w:b/>
        </w:rPr>
        <w:t>R. Toshniwal</w:t>
      </w:r>
      <w:r>
        <w:t xml:space="preserve">, </w:t>
      </w:r>
      <w:r>
        <w:rPr>
          <w:b/>
        </w:rPr>
        <w:t>M. Allo</w:t>
      </w:r>
      <w:r>
        <w:t xml:space="preserve">, </w:t>
      </w:r>
      <w:r>
        <w:rPr>
          <w:b/>
        </w:rPr>
        <w:t>J. Armstrong</w:t>
      </w:r>
      <w:r>
        <w:t xml:space="preserve">, </w:t>
      </w:r>
      <w:r>
        <w:rPr>
          <w:b/>
        </w:rPr>
        <w:t>R. Browne</w:t>
      </w:r>
      <w:r>
        <w:t xml:space="preserve">, </w:t>
      </w:r>
      <w:r>
        <w:rPr>
          <w:b/>
        </w:rPr>
        <w:t>J. Ebright</w:t>
      </w:r>
      <w:r>
        <w:t xml:space="preserve">, and </w:t>
      </w:r>
      <w:r>
        <w:rPr>
          <w:b/>
        </w:rPr>
        <w:t>G. Rifkin</w:t>
      </w:r>
      <w:r>
        <w:t xml:space="preserve">. 1979. Antibiotic-associated colitis: Effects of antibiotics on clostridium difficile and the disease in hamsters. Reviews of Infectious Diseases </w:t>
      </w:r>
      <w:r>
        <w:rPr>
          <w:b/>
        </w:rPr>
        <w:t>1</w:t>
      </w:r>
      <w:r>
        <w:t>:386–397.</w:t>
      </w:r>
    </w:p>
    <w:p w:rsidR="00E56712" w:rsidRDefault="008D288B">
      <w:pPr>
        <w:pStyle w:val="Bibliography"/>
      </w:pPr>
      <w:r>
        <w:t xml:space="preserve">4. </w:t>
      </w:r>
      <w:r>
        <w:rPr>
          <w:b/>
        </w:rPr>
        <w:t>Britton, R. A.</w:t>
      </w:r>
      <w:r>
        <w:t xml:space="preserve">, and </w:t>
      </w:r>
      <w:r>
        <w:rPr>
          <w:b/>
        </w:rPr>
        <w:t>V. B. Young</w:t>
      </w:r>
      <w:r>
        <w:t xml:space="preserve">. 2012. Interaction between the intestinal microbiota and host in Clostridium difficile colonization resistance. Trends in microbiology </w:t>
      </w:r>
      <w:r>
        <w:rPr>
          <w:b/>
        </w:rPr>
        <w:t>20</w:t>
      </w:r>
      <w:r>
        <w:t>:313–9.</w:t>
      </w:r>
    </w:p>
    <w:p w:rsidR="00E56712" w:rsidRDefault="008D288B">
      <w:pPr>
        <w:pStyle w:val="Bibliography"/>
      </w:pPr>
      <w:r>
        <w:t xml:space="preserve">5. </w:t>
      </w:r>
      <w:r>
        <w:rPr>
          <w:b/>
        </w:rPr>
        <w:t>Lessa, F. C.</w:t>
      </w:r>
      <w:r>
        <w:t xml:space="preserve">, </w:t>
      </w:r>
      <w:r>
        <w:rPr>
          <w:b/>
        </w:rPr>
        <w:t>Y. Mu</w:t>
      </w:r>
      <w:r>
        <w:t xml:space="preserve">, </w:t>
      </w:r>
      <w:r>
        <w:rPr>
          <w:b/>
        </w:rPr>
        <w:t>W. M. Bamberg</w:t>
      </w:r>
      <w:r>
        <w:t xml:space="preserve">, </w:t>
      </w:r>
      <w:r>
        <w:rPr>
          <w:b/>
        </w:rPr>
        <w:t>Z. G. Beldavs</w:t>
      </w:r>
      <w:r>
        <w:t xml:space="preserve">, </w:t>
      </w:r>
      <w:r>
        <w:rPr>
          <w:b/>
        </w:rPr>
        <w:t>G. K. Dumyati</w:t>
      </w:r>
      <w:r>
        <w:t xml:space="preserve">, </w:t>
      </w:r>
      <w:r>
        <w:rPr>
          <w:b/>
        </w:rPr>
        <w:t>J. R. Dunn</w:t>
      </w:r>
      <w:r>
        <w:t xml:space="preserve">, </w:t>
      </w:r>
      <w:r>
        <w:rPr>
          <w:b/>
        </w:rPr>
        <w:t>M. M. Farley</w:t>
      </w:r>
      <w:r>
        <w:t xml:space="preserve">, </w:t>
      </w:r>
      <w:r>
        <w:rPr>
          <w:b/>
        </w:rPr>
        <w:t>S. M. Holzbauer</w:t>
      </w:r>
      <w:r>
        <w:t xml:space="preserve">, </w:t>
      </w:r>
      <w:r>
        <w:rPr>
          <w:b/>
        </w:rPr>
        <w:t>J. I. Meek</w:t>
      </w:r>
      <w:r>
        <w:t xml:space="preserve">, </w:t>
      </w:r>
      <w:r>
        <w:rPr>
          <w:b/>
        </w:rPr>
        <w:t>E. C. Phipps</w:t>
      </w:r>
      <w:r>
        <w:t xml:space="preserve">, </w:t>
      </w:r>
      <w:r>
        <w:rPr>
          <w:b/>
        </w:rPr>
        <w:t>L. E. Wilson</w:t>
      </w:r>
      <w:r>
        <w:t xml:space="preserve">, </w:t>
      </w:r>
      <w:r>
        <w:rPr>
          <w:b/>
        </w:rPr>
        <w:t>L. G. Winston</w:t>
      </w:r>
      <w:r>
        <w:t xml:space="preserve">, </w:t>
      </w:r>
      <w:r>
        <w:rPr>
          <w:b/>
        </w:rPr>
        <w:t>J. A. Cohen</w:t>
      </w:r>
      <w:r>
        <w:t xml:space="preserve">, </w:t>
      </w:r>
      <w:r>
        <w:rPr>
          <w:b/>
        </w:rPr>
        <w:t>B. M. Limbago</w:t>
      </w:r>
      <w:r>
        <w:t xml:space="preserve">, </w:t>
      </w:r>
      <w:r>
        <w:rPr>
          <w:b/>
        </w:rPr>
        <w:t>S. K. Fridkin</w:t>
      </w:r>
      <w:r>
        <w:t xml:space="preserve">, </w:t>
      </w:r>
      <w:r>
        <w:rPr>
          <w:b/>
        </w:rPr>
        <w:t>D. N. Gerding</w:t>
      </w:r>
      <w:r>
        <w:t xml:space="preserve">, and </w:t>
      </w:r>
      <w:r>
        <w:rPr>
          <w:b/>
        </w:rPr>
        <w:t>L. C. McDonald</w:t>
      </w:r>
      <w:r>
        <w:t xml:space="preserve">. 2015. Burden of Clostridium difficile Infection in the United States. New England Journal of Medicine </w:t>
      </w:r>
      <w:r>
        <w:rPr>
          <w:b/>
        </w:rPr>
        <w:t>372</w:t>
      </w:r>
      <w:r>
        <w:t>:825–834.</w:t>
      </w:r>
    </w:p>
    <w:p w:rsidR="00E56712" w:rsidRDefault="008D288B">
      <w:pPr>
        <w:pStyle w:val="Bibliography"/>
      </w:pPr>
      <w:r>
        <w:t xml:space="preserve">6. </w:t>
      </w:r>
      <w:r>
        <w:rPr>
          <w:b/>
        </w:rPr>
        <w:t>Antonopoulos, D. A.</w:t>
      </w:r>
      <w:r>
        <w:t xml:space="preserve">, </w:t>
      </w:r>
      <w:r>
        <w:rPr>
          <w:b/>
        </w:rPr>
        <w:t>S. M. Huse</w:t>
      </w:r>
      <w:r>
        <w:t xml:space="preserve">, </w:t>
      </w:r>
      <w:r>
        <w:rPr>
          <w:b/>
        </w:rPr>
        <w:t>H. G. Morrison</w:t>
      </w:r>
      <w:r>
        <w:t xml:space="preserve">, </w:t>
      </w:r>
      <w:r>
        <w:rPr>
          <w:b/>
        </w:rPr>
        <w:t>T. M. Schmidt</w:t>
      </w:r>
      <w:r>
        <w:t xml:space="preserve">, </w:t>
      </w:r>
      <w:r>
        <w:rPr>
          <w:b/>
        </w:rPr>
        <w:t>M. L. Sogin</w:t>
      </w:r>
      <w:r>
        <w:t xml:space="preserve">, and </w:t>
      </w:r>
      <w:r>
        <w:rPr>
          <w:b/>
        </w:rPr>
        <w:t>V. B. Young</w:t>
      </w:r>
      <w:r>
        <w:t xml:space="preserve">. 2009. Reproducible community dynamics of the gastrointestinal microbiota following antibiotic perturbation. Infection and Immunity </w:t>
      </w:r>
      <w:r>
        <w:rPr>
          <w:b/>
        </w:rPr>
        <w:t>77</w:t>
      </w:r>
      <w:r>
        <w:t>:2367–2375.</w:t>
      </w:r>
    </w:p>
    <w:p w:rsidR="00E56712" w:rsidRDefault="008D288B">
      <w:pPr>
        <w:pStyle w:val="Bibliography"/>
      </w:pPr>
      <w:r>
        <w:t xml:space="preserve">7. </w:t>
      </w:r>
      <w:r>
        <w:rPr>
          <w:b/>
        </w:rPr>
        <w:t>Buffie, C. G.</w:t>
      </w:r>
      <w:r>
        <w:t xml:space="preserve">, </w:t>
      </w:r>
      <w:r>
        <w:rPr>
          <w:b/>
        </w:rPr>
        <w:t>I. Jarchum</w:t>
      </w:r>
      <w:r>
        <w:t xml:space="preserve">, </w:t>
      </w:r>
      <w:r>
        <w:rPr>
          <w:b/>
        </w:rPr>
        <w:t>M. Equinda</w:t>
      </w:r>
      <w:r>
        <w:t xml:space="preserve">, </w:t>
      </w:r>
      <w:r>
        <w:rPr>
          <w:b/>
        </w:rPr>
        <w:t>L. Lipuma</w:t>
      </w:r>
      <w:r>
        <w:t xml:space="preserve">, </w:t>
      </w:r>
      <w:r>
        <w:rPr>
          <w:b/>
        </w:rPr>
        <w:t>A. Gobourne</w:t>
      </w:r>
      <w:r>
        <w:t xml:space="preserve">, </w:t>
      </w:r>
      <w:r>
        <w:rPr>
          <w:b/>
        </w:rPr>
        <w:t>A. Viale</w:t>
      </w:r>
      <w:r>
        <w:t xml:space="preserve">, </w:t>
      </w:r>
      <w:r>
        <w:rPr>
          <w:b/>
        </w:rPr>
        <w:t>C. Ubeda</w:t>
      </w:r>
      <w:r>
        <w:t xml:space="preserve">, </w:t>
      </w:r>
      <w:r>
        <w:rPr>
          <w:b/>
        </w:rPr>
        <w:t>J. Xavier</w:t>
      </w:r>
      <w:r>
        <w:t xml:space="preserve">, and </w:t>
      </w:r>
      <w:r>
        <w:rPr>
          <w:b/>
        </w:rPr>
        <w:t>E. G. Pamer</w:t>
      </w:r>
      <w:r>
        <w:t xml:space="preserve">. 2012. Profound alterations of intestinal microbiota </w:t>
      </w:r>
      <w:r>
        <w:lastRenderedPageBreak/>
        <w:t xml:space="preserve">following a single dose of clindamycin results in sustained susceptibility to Clostridium difficile-induced colitis. Infection and Immunity </w:t>
      </w:r>
      <w:r>
        <w:rPr>
          <w:b/>
        </w:rPr>
        <w:t>80</w:t>
      </w:r>
      <w:r>
        <w:t>:62–73.</w:t>
      </w:r>
    </w:p>
    <w:p w:rsidR="00E56712" w:rsidRDefault="008D288B">
      <w:pPr>
        <w:pStyle w:val="Bibliography"/>
      </w:pPr>
      <w:r>
        <w:t xml:space="preserve">8. </w:t>
      </w:r>
      <w:r>
        <w:rPr>
          <w:b/>
        </w:rPr>
        <w:t>Thomas, C.</w:t>
      </w:r>
      <w:r>
        <w:t xml:space="preserve">, </w:t>
      </w:r>
      <w:r>
        <w:rPr>
          <w:b/>
        </w:rPr>
        <w:t>M. Stevenson</w:t>
      </w:r>
      <w:r>
        <w:t xml:space="preserve">, and </w:t>
      </w:r>
      <w:r>
        <w:rPr>
          <w:b/>
        </w:rPr>
        <w:t>T. V. Riley</w:t>
      </w:r>
      <w:r>
        <w:t xml:space="preserve">. 2003. Antibiotics and hospital-acquired Clostridium difficile-associated diarrhoea: A systematic review </w:t>
      </w:r>
      <w:r>
        <w:rPr>
          <w:b/>
        </w:rPr>
        <w:t>51</w:t>
      </w:r>
      <w:r>
        <w:t>:1339–1350.</w:t>
      </w:r>
    </w:p>
    <w:p w:rsidR="00E56712" w:rsidRDefault="008D288B">
      <w:pPr>
        <w:pStyle w:val="Bibliography"/>
      </w:pPr>
      <w:r>
        <w:t xml:space="preserve">9. </w:t>
      </w:r>
      <w:r>
        <w:rPr>
          <w:b/>
        </w:rPr>
        <w:t>Brown, K. A.</w:t>
      </w:r>
      <w:r>
        <w:t xml:space="preserve">, </w:t>
      </w:r>
      <w:r>
        <w:rPr>
          <w:b/>
        </w:rPr>
        <w:t>N. Khanafer</w:t>
      </w:r>
      <w:r>
        <w:t xml:space="preserve">, </w:t>
      </w:r>
      <w:r>
        <w:rPr>
          <w:b/>
        </w:rPr>
        <w:t>N. Daneman</w:t>
      </w:r>
      <w:r>
        <w:t xml:space="preserve">, and </w:t>
      </w:r>
      <w:r>
        <w:rPr>
          <w:b/>
        </w:rPr>
        <w:t>D. N. Fisman</w:t>
      </w:r>
      <w:r>
        <w:t xml:space="preserve">. 2013. Meta-analysis of antibiotics and the risk of community-associated Clostridium difficile infection. Antimicrobial Agents and Chemotherapy </w:t>
      </w:r>
      <w:r>
        <w:rPr>
          <w:b/>
        </w:rPr>
        <w:t>57</w:t>
      </w:r>
      <w:r>
        <w:t>:2326–2332.</w:t>
      </w:r>
    </w:p>
    <w:p w:rsidR="00E56712" w:rsidRDefault="008D288B">
      <w:pPr>
        <w:pStyle w:val="Bibliography"/>
      </w:pPr>
      <w:r>
        <w:t xml:space="preserve">10. </w:t>
      </w:r>
      <w:r>
        <w:rPr>
          <w:b/>
        </w:rPr>
        <w:t>Bignardi, G.</w:t>
      </w:r>
      <w:r>
        <w:t xml:space="preserve"> 1998. Risk factors for Clostridium difficile infection. Journal of Hospital Infection </w:t>
      </w:r>
      <w:r>
        <w:rPr>
          <w:b/>
        </w:rPr>
        <w:t>40</w:t>
      </w:r>
      <w:r>
        <w:t>:1–15.</w:t>
      </w:r>
    </w:p>
    <w:p w:rsidR="00E56712" w:rsidRDefault="008D288B">
      <w:pPr>
        <w:pStyle w:val="Bibliography"/>
      </w:pPr>
      <w:r>
        <w:t xml:space="preserve">11. </w:t>
      </w:r>
      <w:r>
        <w:rPr>
          <w:b/>
        </w:rPr>
        <w:t>Antunes, L. C. M.</w:t>
      </w:r>
      <w:r>
        <w:t xml:space="preserve">, </w:t>
      </w:r>
      <w:r>
        <w:rPr>
          <w:b/>
        </w:rPr>
        <w:t>J. Han</w:t>
      </w:r>
      <w:r>
        <w:t xml:space="preserve">, </w:t>
      </w:r>
      <w:r>
        <w:rPr>
          <w:b/>
        </w:rPr>
        <w:t>R. B. R. Ferreira</w:t>
      </w:r>
      <w:r>
        <w:t xml:space="preserve">, </w:t>
      </w:r>
      <w:r>
        <w:rPr>
          <w:b/>
        </w:rPr>
        <w:t>P. Loli</w:t>
      </w:r>
      <w:r>
        <w:t xml:space="preserve">, </w:t>
      </w:r>
      <w:r>
        <w:rPr>
          <w:b/>
        </w:rPr>
        <w:t>C. H. Borchers</w:t>
      </w:r>
      <w:r>
        <w:t xml:space="preserve">, and </w:t>
      </w:r>
      <w:r>
        <w:rPr>
          <w:b/>
        </w:rPr>
        <w:t>B. B. Finlay</w:t>
      </w:r>
      <w:r>
        <w:t xml:space="preserve">. 2011. Effect of antibiotic treatment on the intestinal metabolome. Antimicrobial Agents and Chemotherapy </w:t>
      </w:r>
      <w:r>
        <w:rPr>
          <w:b/>
        </w:rPr>
        <w:t>55</w:t>
      </w:r>
      <w:r>
        <w:t>:1494–1503.</w:t>
      </w:r>
    </w:p>
    <w:p w:rsidR="00E56712" w:rsidRDefault="008D288B">
      <w:pPr>
        <w:pStyle w:val="Bibliography"/>
      </w:pPr>
      <w:r>
        <w:t xml:space="preserve">12. </w:t>
      </w:r>
      <w:r>
        <w:rPr>
          <w:b/>
        </w:rPr>
        <w:t>Jump, R. L. P.</w:t>
      </w:r>
      <w:r>
        <w:t xml:space="preserve">, </w:t>
      </w:r>
      <w:r>
        <w:rPr>
          <w:b/>
        </w:rPr>
        <w:t>A. Polinkovsky</w:t>
      </w:r>
      <w:r>
        <w:t xml:space="preserve">, </w:t>
      </w:r>
      <w:r>
        <w:rPr>
          <w:b/>
        </w:rPr>
        <w:t>K. Hurless</w:t>
      </w:r>
      <w:r>
        <w:t xml:space="preserve">, </w:t>
      </w:r>
      <w:r>
        <w:rPr>
          <w:b/>
        </w:rPr>
        <w:t>B. Sitzlar</w:t>
      </w:r>
      <w:r>
        <w:t xml:space="preserve">, </w:t>
      </w:r>
      <w:r>
        <w:rPr>
          <w:b/>
        </w:rPr>
        <w:t>K. Eckart</w:t>
      </w:r>
      <w:r>
        <w:t xml:space="preserve">, </w:t>
      </w:r>
      <w:r>
        <w:rPr>
          <w:b/>
        </w:rPr>
        <w:t>M. Tomas</w:t>
      </w:r>
      <w:r>
        <w:t xml:space="preserve">, </w:t>
      </w:r>
      <w:r>
        <w:rPr>
          <w:b/>
        </w:rPr>
        <w:t>A. Deshpande</w:t>
      </w:r>
      <w:r>
        <w:t xml:space="preserve">, </w:t>
      </w:r>
      <w:r>
        <w:rPr>
          <w:b/>
        </w:rPr>
        <w:t>M. M. Nerandzic</w:t>
      </w:r>
      <w:r>
        <w:t xml:space="preserve">, and </w:t>
      </w:r>
      <w:r>
        <w:rPr>
          <w:b/>
        </w:rPr>
        <w:t>C. J. Donskey</w:t>
      </w:r>
      <w:r>
        <w:t xml:space="preserve">. 2014. Metabolomics analysis identifies intestinal microbiota-derived biomarkers of colonization resistance in clindamycin-treated mice. PLoS ONE </w:t>
      </w:r>
      <w:r>
        <w:rPr>
          <w:b/>
        </w:rPr>
        <w:t>9</w:t>
      </w:r>
      <w:r>
        <w:t>.</w:t>
      </w:r>
    </w:p>
    <w:p w:rsidR="00E56712" w:rsidRDefault="008D288B">
      <w:pPr>
        <w:pStyle w:val="Bibliography"/>
      </w:pPr>
      <w:r>
        <w:t xml:space="preserve">13. </w:t>
      </w:r>
      <w:r>
        <w:rPr>
          <w:b/>
        </w:rPr>
        <w:t>Theriot, C. M.</w:t>
      </w:r>
      <w:r>
        <w:t xml:space="preserve">, </w:t>
      </w:r>
      <w:r>
        <w:rPr>
          <w:b/>
        </w:rPr>
        <w:t>M. J. Koenigsknecht</w:t>
      </w:r>
      <w:r>
        <w:t xml:space="preserve">, </w:t>
      </w:r>
      <w:r>
        <w:rPr>
          <w:b/>
        </w:rPr>
        <w:t>P. E. Carlson</w:t>
      </w:r>
      <w:r>
        <w:t xml:space="preserve">, </w:t>
      </w:r>
      <w:r>
        <w:rPr>
          <w:b/>
        </w:rPr>
        <w:t>G. E. Hatton</w:t>
      </w:r>
      <w:r>
        <w:t xml:space="preserve">, </w:t>
      </w:r>
      <w:r>
        <w:rPr>
          <w:b/>
        </w:rPr>
        <w:t>A. M. Nelson</w:t>
      </w:r>
      <w:r>
        <w:t xml:space="preserve">, </w:t>
      </w:r>
      <w:r>
        <w:rPr>
          <w:b/>
        </w:rPr>
        <w:t>B. Li</w:t>
      </w:r>
      <w:r>
        <w:t xml:space="preserve">, </w:t>
      </w:r>
      <w:r>
        <w:rPr>
          <w:b/>
        </w:rPr>
        <w:t>G. B. Huffnagle</w:t>
      </w:r>
      <w:r>
        <w:t xml:space="preserve">, </w:t>
      </w:r>
      <w:r>
        <w:rPr>
          <w:b/>
        </w:rPr>
        <w:t>J. Z Li</w:t>
      </w:r>
      <w:r>
        <w:t xml:space="preserve">, and </w:t>
      </w:r>
      <w:r>
        <w:rPr>
          <w:b/>
        </w:rPr>
        <w:t>V. B. Young</w:t>
      </w:r>
      <w:r>
        <w:t xml:space="preserve">. 2014. Antibiotic-induced shifts in the mouse gut microbiome and metabolome increase susceptibility to Clostridium difficile infection. Nature communications </w:t>
      </w:r>
      <w:r>
        <w:rPr>
          <w:b/>
        </w:rPr>
        <w:t>5</w:t>
      </w:r>
      <w:r>
        <w:t>:3114.</w:t>
      </w:r>
    </w:p>
    <w:p w:rsidR="00E56712" w:rsidRDefault="008D288B">
      <w:pPr>
        <w:pStyle w:val="Bibliography"/>
      </w:pPr>
      <w:r>
        <w:lastRenderedPageBreak/>
        <w:t xml:space="preserve">14. </w:t>
      </w:r>
      <w:r>
        <w:rPr>
          <w:b/>
        </w:rPr>
        <w:t>Wilson, K. H.</w:t>
      </w:r>
      <w:r>
        <w:t xml:space="preserve">, and </w:t>
      </w:r>
      <w:r>
        <w:rPr>
          <w:b/>
        </w:rPr>
        <w:t>F. Perini</w:t>
      </w:r>
      <w:r>
        <w:t xml:space="preserve">. 1988. Role of competition for nutrients in suppression of Clostridium difficile by the colonic microflora. Infection and Immunity </w:t>
      </w:r>
      <w:r>
        <w:rPr>
          <w:b/>
        </w:rPr>
        <w:t>56</w:t>
      </w:r>
      <w:r>
        <w:t>:2610–2614.</w:t>
      </w:r>
    </w:p>
    <w:p w:rsidR="00E56712" w:rsidRDefault="008D288B">
      <w:pPr>
        <w:pStyle w:val="Bibliography"/>
      </w:pPr>
      <w:r>
        <w:t xml:space="preserve">15. </w:t>
      </w:r>
      <w:r>
        <w:rPr>
          <w:b/>
        </w:rPr>
        <w:t>Sambol, S. P.</w:t>
      </w:r>
      <w:r>
        <w:t xml:space="preserve">, </w:t>
      </w:r>
      <w:r>
        <w:rPr>
          <w:b/>
        </w:rPr>
        <w:t>M. M. Merrigan</w:t>
      </w:r>
      <w:r>
        <w:t xml:space="preserve">, </w:t>
      </w:r>
      <w:r>
        <w:rPr>
          <w:b/>
        </w:rPr>
        <w:t>J. K. Tang</w:t>
      </w:r>
      <w:r>
        <w:t xml:space="preserve">, </w:t>
      </w:r>
      <w:r>
        <w:rPr>
          <w:b/>
        </w:rPr>
        <w:t>S. Johnson</w:t>
      </w:r>
      <w:r>
        <w:t xml:space="preserve">, and </w:t>
      </w:r>
      <w:r>
        <w:rPr>
          <w:b/>
        </w:rPr>
        <w:t>D. N. Gerding</w:t>
      </w:r>
      <w:r>
        <w:t xml:space="preserve">. 2002. Colonization for the Prevention of Clostridium difficile Disease in Hamsters. The Journal of infectious diseases </w:t>
      </w:r>
      <w:r>
        <w:rPr>
          <w:b/>
        </w:rPr>
        <w:t>186</w:t>
      </w:r>
      <w:r>
        <w:t>:14–16.</w:t>
      </w:r>
    </w:p>
    <w:p w:rsidR="00E56712" w:rsidRDefault="008D288B">
      <w:pPr>
        <w:pStyle w:val="Bibliography"/>
      </w:pPr>
      <w:r>
        <w:t xml:space="preserve">16. </w:t>
      </w:r>
      <w:r>
        <w:rPr>
          <w:b/>
        </w:rPr>
        <w:t>Perez-Cobas, A. E.</w:t>
      </w:r>
      <w:r>
        <w:t xml:space="preserve">, </w:t>
      </w:r>
      <w:r>
        <w:rPr>
          <w:b/>
        </w:rPr>
        <w:t>A. Artacho</w:t>
      </w:r>
      <w:r>
        <w:t xml:space="preserve">, </w:t>
      </w:r>
      <w:r>
        <w:rPr>
          <w:b/>
        </w:rPr>
        <w:t>S. J. Ott</w:t>
      </w:r>
      <w:r>
        <w:t xml:space="preserve">, </w:t>
      </w:r>
      <w:r>
        <w:rPr>
          <w:b/>
        </w:rPr>
        <w:t>A. Moya</w:t>
      </w:r>
      <w:r>
        <w:t xml:space="preserve">, </w:t>
      </w:r>
      <w:r>
        <w:rPr>
          <w:b/>
        </w:rPr>
        <w:t>M. J. Gosalbes</w:t>
      </w:r>
      <w:r>
        <w:t xml:space="preserve">, and </w:t>
      </w:r>
      <w:r>
        <w:rPr>
          <w:b/>
        </w:rPr>
        <w:t>A. Latorre</w:t>
      </w:r>
      <w:r>
        <w:t xml:space="preserve">. 2014. Structural and functional changes in the gut microbiota associated to Clostridium difficile infection. Frontiers in Microbiology </w:t>
      </w:r>
      <w:r>
        <w:rPr>
          <w:b/>
        </w:rPr>
        <w:t>5</w:t>
      </w:r>
      <w:r>
        <w:t>.</w:t>
      </w:r>
    </w:p>
    <w:p w:rsidR="00E56712" w:rsidRDefault="008D288B">
      <w:pPr>
        <w:pStyle w:val="Bibliography"/>
      </w:pPr>
      <w:r>
        <w:t xml:space="preserve">17. </w:t>
      </w:r>
      <w:r>
        <w:rPr>
          <w:b/>
        </w:rPr>
        <w:t>Zaura, E.</w:t>
      </w:r>
      <w:r>
        <w:t xml:space="preserve">, </w:t>
      </w:r>
      <w:r>
        <w:rPr>
          <w:b/>
        </w:rPr>
        <w:t>B. W. Brandt</w:t>
      </w:r>
      <w:r>
        <w:t xml:space="preserve">, </w:t>
      </w:r>
      <w:r>
        <w:rPr>
          <w:b/>
        </w:rPr>
        <w:t>M. J. T. de Mattos</w:t>
      </w:r>
      <w:r>
        <w:t xml:space="preserve">, </w:t>
      </w:r>
      <w:r>
        <w:rPr>
          <w:b/>
        </w:rPr>
        <w:t>M. J. Buijs</w:t>
      </w:r>
      <w:r>
        <w:t xml:space="preserve">, </w:t>
      </w:r>
      <w:r>
        <w:rPr>
          <w:b/>
        </w:rPr>
        <w:t>M. P. M. Caspers</w:t>
      </w:r>
      <w:r>
        <w:t xml:space="preserve">, </w:t>
      </w:r>
      <w:r>
        <w:rPr>
          <w:b/>
        </w:rPr>
        <w:t>M. U. Rashid</w:t>
      </w:r>
      <w:r>
        <w:t xml:space="preserve">, </w:t>
      </w:r>
      <w:r>
        <w:rPr>
          <w:b/>
        </w:rPr>
        <w:t>A. Weintraub</w:t>
      </w:r>
      <w:r>
        <w:t xml:space="preserve">, </w:t>
      </w:r>
      <w:r>
        <w:rPr>
          <w:b/>
        </w:rPr>
        <w:t>C. E. Nord</w:t>
      </w:r>
      <w:r>
        <w:t xml:space="preserve">, </w:t>
      </w:r>
      <w:r>
        <w:rPr>
          <w:b/>
        </w:rPr>
        <w:t>A. Savell</w:t>
      </w:r>
      <w:r>
        <w:t xml:space="preserve">, </w:t>
      </w:r>
      <w:r>
        <w:rPr>
          <w:b/>
        </w:rPr>
        <w:t>Y. Hu</w:t>
      </w:r>
      <w:r>
        <w:t xml:space="preserve">, </w:t>
      </w:r>
      <w:r>
        <w:rPr>
          <w:b/>
        </w:rPr>
        <w:t>A. R. Coates</w:t>
      </w:r>
      <w:r>
        <w:t xml:space="preserve">, </w:t>
      </w:r>
      <w:r>
        <w:rPr>
          <w:b/>
        </w:rPr>
        <w:t>M. Hubank</w:t>
      </w:r>
      <w:r>
        <w:t xml:space="preserve">, </w:t>
      </w:r>
      <w:r>
        <w:rPr>
          <w:b/>
        </w:rPr>
        <w:t>D. A. Spratt</w:t>
      </w:r>
      <w:r>
        <w:t xml:space="preserve">, </w:t>
      </w:r>
      <w:r>
        <w:rPr>
          <w:b/>
        </w:rPr>
        <w:t>M. Wilson</w:t>
      </w:r>
      <w:r>
        <w:t xml:space="preserve">, </w:t>
      </w:r>
      <w:r>
        <w:rPr>
          <w:b/>
        </w:rPr>
        <w:t>B. J. F. Keijser</w:t>
      </w:r>
      <w:r>
        <w:t xml:space="preserve">, and </w:t>
      </w:r>
      <w:r>
        <w:rPr>
          <w:b/>
        </w:rPr>
        <w:t>W. Crielaard</w:t>
      </w:r>
      <w:r>
        <w:t xml:space="preserve">. 2015. Same Exposure but two radically different responses to antibiotics: Resilience of the salivary microbiome versus long-term microbial shifts in feces. mBio </w:t>
      </w:r>
      <w:r>
        <w:rPr>
          <w:b/>
        </w:rPr>
        <w:t>6</w:t>
      </w:r>
      <w:r>
        <w:t>.</w:t>
      </w:r>
    </w:p>
    <w:p w:rsidR="00E56712" w:rsidRDefault="008D288B">
      <w:pPr>
        <w:pStyle w:val="Bibliography"/>
      </w:pPr>
      <w:r>
        <w:t xml:space="preserve">18. </w:t>
      </w:r>
      <w:r>
        <w:rPr>
          <w:b/>
        </w:rPr>
        <w:t>Schubert, A. M.</w:t>
      </w:r>
      <w:r>
        <w:t xml:space="preserve">, </w:t>
      </w:r>
      <w:r>
        <w:rPr>
          <w:b/>
        </w:rPr>
        <w:t>H. Sinani</w:t>
      </w:r>
      <w:r>
        <w:t xml:space="preserve">, and </w:t>
      </w:r>
      <w:r>
        <w:rPr>
          <w:b/>
        </w:rPr>
        <w:t>P. D. Schloss</w:t>
      </w:r>
      <w:r>
        <w:t xml:space="preserve">. 2015. Antibiotic-induced alterations of the murine gut microbiota and subsequent effects on colonization resistance against Clostridium difficile. mBio </w:t>
      </w:r>
      <w:r>
        <w:rPr>
          <w:b/>
        </w:rPr>
        <w:t>6</w:t>
      </w:r>
      <w:r>
        <w:t>.</w:t>
      </w:r>
    </w:p>
    <w:p w:rsidR="00E56712" w:rsidRDefault="008D288B">
      <w:pPr>
        <w:pStyle w:val="Bibliography"/>
      </w:pPr>
      <w:r>
        <w:t xml:space="preserve">19. </w:t>
      </w:r>
      <w:r>
        <w:rPr>
          <w:b/>
        </w:rPr>
        <w:t>Jenior, M. L.</w:t>
      </w:r>
      <w:r>
        <w:t xml:space="preserve">, </w:t>
      </w:r>
      <w:r>
        <w:rPr>
          <w:b/>
        </w:rPr>
        <w:t>J. L. Leslie</w:t>
      </w:r>
      <w:r>
        <w:t xml:space="preserve">, </w:t>
      </w:r>
      <w:r>
        <w:rPr>
          <w:b/>
        </w:rPr>
        <w:t>V. B. Young</w:t>
      </w:r>
      <w:r>
        <w:t xml:space="preserve">, and </w:t>
      </w:r>
      <w:r>
        <w:rPr>
          <w:b/>
        </w:rPr>
        <w:t>P. D. Schloss</w:t>
      </w:r>
      <w:r>
        <w:t xml:space="preserve">. 2017. Clostridium difficile colonizes alternative nutrient niches during infection across distinct murine gut microbiomes. mSystems. American Society for Microbiology Journals </w:t>
      </w:r>
      <w:r>
        <w:rPr>
          <w:b/>
        </w:rPr>
        <w:t>2</w:t>
      </w:r>
      <w:r>
        <w:t>.</w:t>
      </w:r>
    </w:p>
    <w:p w:rsidR="00E56712" w:rsidRDefault="008D288B">
      <w:pPr>
        <w:pStyle w:val="Bibliography"/>
      </w:pPr>
      <w:r>
        <w:t xml:space="preserve">20. </w:t>
      </w:r>
      <w:r>
        <w:rPr>
          <w:b/>
        </w:rPr>
        <w:t>Bouillaut, L.</w:t>
      </w:r>
      <w:r>
        <w:t xml:space="preserve">, </w:t>
      </w:r>
      <w:r>
        <w:rPr>
          <w:b/>
        </w:rPr>
        <w:t>T. Dubois</w:t>
      </w:r>
      <w:r>
        <w:t xml:space="preserve">, </w:t>
      </w:r>
      <w:r>
        <w:rPr>
          <w:b/>
        </w:rPr>
        <w:t>A. L. Sonenshein</w:t>
      </w:r>
      <w:r>
        <w:t xml:space="preserve">, and </w:t>
      </w:r>
      <w:r>
        <w:rPr>
          <w:b/>
        </w:rPr>
        <w:t>B. Dupuy</w:t>
      </w:r>
      <w:r>
        <w:t xml:space="preserve">. 2015. Integration of metabolism and virulence in Clostridium difficile. Research in Microbiology </w:t>
      </w:r>
      <w:r>
        <w:rPr>
          <w:b/>
        </w:rPr>
        <w:t>166</w:t>
      </w:r>
      <w:r>
        <w:t>:375–383.</w:t>
      </w:r>
    </w:p>
    <w:p w:rsidR="00E56712" w:rsidRDefault="008D288B">
      <w:pPr>
        <w:pStyle w:val="Bibliography"/>
      </w:pPr>
      <w:r>
        <w:lastRenderedPageBreak/>
        <w:t xml:space="preserve">21. </w:t>
      </w:r>
      <w:r>
        <w:rPr>
          <w:b/>
        </w:rPr>
        <w:t>Koenigsknecht, M. J.</w:t>
      </w:r>
      <w:r>
        <w:t xml:space="preserve">, </w:t>
      </w:r>
      <w:r>
        <w:rPr>
          <w:b/>
        </w:rPr>
        <w:t>C. M. Theriot</w:t>
      </w:r>
      <w:r>
        <w:t xml:space="preserve">, </w:t>
      </w:r>
      <w:r>
        <w:rPr>
          <w:b/>
        </w:rPr>
        <w:t>I. L. Bergin</w:t>
      </w:r>
      <w:r>
        <w:t xml:space="preserve">, </w:t>
      </w:r>
      <w:r>
        <w:rPr>
          <w:b/>
        </w:rPr>
        <w:t>C. A. Schumacher</w:t>
      </w:r>
      <w:r>
        <w:t xml:space="preserve">, </w:t>
      </w:r>
      <w:r>
        <w:rPr>
          <w:b/>
        </w:rPr>
        <w:t>P. D. Schloss</w:t>
      </w:r>
      <w:r>
        <w:t xml:space="preserve">, and </w:t>
      </w:r>
      <w:r>
        <w:rPr>
          <w:b/>
        </w:rPr>
        <w:t>V. B. Young</w:t>
      </w:r>
      <w:r>
        <w:t xml:space="preserve">. 2015. Dynamics and establishment of Clostridium difficile infection in the murine gastrointestinal tract. Infection and Immunity </w:t>
      </w:r>
      <w:r>
        <w:rPr>
          <w:b/>
        </w:rPr>
        <w:t>83</w:t>
      </w:r>
      <w:r>
        <w:t>:934–941.</w:t>
      </w:r>
    </w:p>
    <w:p w:rsidR="00E56712" w:rsidRDefault="008D288B">
      <w:pPr>
        <w:pStyle w:val="Bibliography"/>
      </w:pPr>
      <w:r>
        <w:t xml:space="preserve">22. </w:t>
      </w:r>
      <w:r>
        <w:rPr>
          <w:b/>
        </w:rPr>
        <w:t>Segata, N.</w:t>
      </w:r>
      <w:r>
        <w:t xml:space="preserve">, </w:t>
      </w:r>
      <w:r>
        <w:rPr>
          <w:b/>
        </w:rPr>
        <w:t>J. Izard</w:t>
      </w:r>
      <w:r>
        <w:t xml:space="preserve">, </w:t>
      </w:r>
      <w:r>
        <w:rPr>
          <w:b/>
        </w:rPr>
        <w:t>L. Waldron</w:t>
      </w:r>
      <w:r>
        <w:t xml:space="preserve">, </w:t>
      </w:r>
      <w:r>
        <w:rPr>
          <w:b/>
        </w:rPr>
        <w:t>D. Gevers</w:t>
      </w:r>
      <w:r>
        <w:t xml:space="preserve">, </w:t>
      </w:r>
      <w:r>
        <w:rPr>
          <w:b/>
        </w:rPr>
        <w:t>L. Miropolsky</w:t>
      </w:r>
      <w:r>
        <w:t xml:space="preserve">, </w:t>
      </w:r>
      <w:r>
        <w:rPr>
          <w:b/>
        </w:rPr>
        <w:t>W. S. Garrett</w:t>
      </w:r>
      <w:r>
        <w:t xml:space="preserve">, and </w:t>
      </w:r>
      <w:r>
        <w:rPr>
          <w:b/>
        </w:rPr>
        <w:t>C. Huttenhower</w:t>
      </w:r>
      <w:r>
        <w:t xml:space="preserve">. 2011. Metagenomic biomarker discovery and explanation. Genome Biology </w:t>
      </w:r>
      <w:r>
        <w:rPr>
          <w:b/>
        </w:rPr>
        <w:t>12</w:t>
      </w:r>
      <w:r>
        <w:t>:R60.</w:t>
      </w:r>
    </w:p>
    <w:p w:rsidR="00E56712" w:rsidRDefault="008D288B">
      <w:pPr>
        <w:pStyle w:val="Bibliography"/>
      </w:pPr>
      <w:r>
        <w:t xml:space="preserve">23. </w:t>
      </w:r>
      <w:r>
        <w:rPr>
          <w:b/>
        </w:rPr>
        <w:t>Liaw, a</w:t>
      </w:r>
      <w:r>
        <w:t xml:space="preserve">, and </w:t>
      </w:r>
      <w:r>
        <w:rPr>
          <w:b/>
        </w:rPr>
        <w:t>M. Wiener</w:t>
      </w:r>
      <w:r>
        <w:t xml:space="preserve">. 2002. Classification and Regression by randomForest. R news </w:t>
      </w:r>
      <w:r>
        <w:rPr>
          <w:b/>
        </w:rPr>
        <w:t>2</w:t>
      </w:r>
      <w:r>
        <w:t>:18–22.</w:t>
      </w:r>
    </w:p>
    <w:p w:rsidR="00E56712" w:rsidRDefault="008D288B">
      <w:pPr>
        <w:pStyle w:val="Bibliography"/>
      </w:pPr>
      <w:r>
        <w:t xml:space="preserve">24. </w:t>
      </w:r>
      <w:r>
        <w:rPr>
          <w:b/>
        </w:rPr>
        <w:t>Goyer, A.</w:t>
      </w:r>
      <w:r>
        <w:t xml:space="preserve">, </w:t>
      </w:r>
      <w:r>
        <w:rPr>
          <w:b/>
        </w:rPr>
        <w:t>T. L. Johnson</w:t>
      </w:r>
      <w:r>
        <w:t xml:space="preserve">, </w:t>
      </w:r>
      <w:r>
        <w:rPr>
          <w:b/>
        </w:rPr>
        <w:t>L. J. Olsen</w:t>
      </w:r>
      <w:r>
        <w:t xml:space="preserve">, </w:t>
      </w:r>
      <w:r>
        <w:rPr>
          <w:b/>
        </w:rPr>
        <w:t>E. Collakova</w:t>
      </w:r>
      <w:r>
        <w:t xml:space="preserve">, </w:t>
      </w:r>
      <w:r>
        <w:rPr>
          <w:b/>
        </w:rPr>
        <w:t>Y. Shachar-Hill</w:t>
      </w:r>
      <w:r>
        <w:t xml:space="preserve">, </w:t>
      </w:r>
      <w:r>
        <w:rPr>
          <w:b/>
        </w:rPr>
        <w:t>D. Rhodes</w:t>
      </w:r>
      <w:r>
        <w:t xml:space="preserve">, and </w:t>
      </w:r>
      <w:r>
        <w:rPr>
          <w:b/>
        </w:rPr>
        <w:t>A. D. Hanson</w:t>
      </w:r>
      <w:r>
        <w:t xml:space="preserve">. 2004. Characterization and Metabolic Function of a Peroxisomal Sarcosine and Pipecolate Oxidase from Arabidopsis. Journal of Biological Chemistry </w:t>
      </w:r>
      <w:r>
        <w:rPr>
          <w:b/>
        </w:rPr>
        <w:t>279</w:t>
      </w:r>
      <w:r>
        <w:t>:16947–16953.</w:t>
      </w:r>
    </w:p>
    <w:p w:rsidR="00E56712" w:rsidRDefault="008D288B">
      <w:pPr>
        <w:pStyle w:val="Bibliography"/>
      </w:pPr>
      <w:r>
        <w:t xml:space="preserve">25. </w:t>
      </w:r>
      <w:r>
        <w:rPr>
          <w:b/>
        </w:rPr>
        <w:t>Fonknechten, N.</w:t>
      </w:r>
      <w:r>
        <w:t xml:space="preserve">, </w:t>
      </w:r>
      <w:r>
        <w:rPr>
          <w:b/>
        </w:rPr>
        <w:t>S. Chaussonnerie</w:t>
      </w:r>
      <w:r>
        <w:t xml:space="preserve">, </w:t>
      </w:r>
      <w:r>
        <w:rPr>
          <w:b/>
        </w:rPr>
        <w:t>S. Tricot</w:t>
      </w:r>
      <w:r>
        <w:t xml:space="preserve">, </w:t>
      </w:r>
      <w:r>
        <w:rPr>
          <w:b/>
        </w:rPr>
        <w:t>A. Lajus</w:t>
      </w:r>
      <w:r>
        <w:t xml:space="preserve">, </w:t>
      </w:r>
      <w:r>
        <w:rPr>
          <w:b/>
        </w:rPr>
        <w:t>J. R. Andreesen</w:t>
      </w:r>
      <w:r>
        <w:t xml:space="preserve">, </w:t>
      </w:r>
      <w:r>
        <w:rPr>
          <w:b/>
        </w:rPr>
        <w:t>N. Perchat</w:t>
      </w:r>
      <w:r>
        <w:t xml:space="preserve">, </w:t>
      </w:r>
      <w:r>
        <w:rPr>
          <w:b/>
        </w:rPr>
        <w:t>E. Pelletier</w:t>
      </w:r>
      <w:r>
        <w:t xml:space="preserve">, </w:t>
      </w:r>
      <w:r>
        <w:rPr>
          <w:b/>
        </w:rPr>
        <w:t>M. Gouyvenoux</w:t>
      </w:r>
      <w:r>
        <w:t xml:space="preserve">, </w:t>
      </w:r>
      <w:r>
        <w:rPr>
          <w:b/>
        </w:rPr>
        <w:t>V. Barbe</w:t>
      </w:r>
      <w:r>
        <w:t xml:space="preserve">, </w:t>
      </w:r>
      <w:r>
        <w:rPr>
          <w:b/>
        </w:rPr>
        <w:t>M. Salanoubat</w:t>
      </w:r>
      <w:r>
        <w:t xml:space="preserve">, </w:t>
      </w:r>
      <w:r>
        <w:rPr>
          <w:b/>
        </w:rPr>
        <w:t>D. Le Paslier</w:t>
      </w:r>
      <w:r>
        <w:t xml:space="preserve">, </w:t>
      </w:r>
      <w:r>
        <w:rPr>
          <w:b/>
        </w:rPr>
        <w:t>J. Weissenbach</w:t>
      </w:r>
      <w:r>
        <w:t xml:space="preserve">, </w:t>
      </w:r>
      <w:r>
        <w:rPr>
          <w:b/>
        </w:rPr>
        <w:t>G. N. Cohen</w:t>
      </w:r>
      <w:r>
        <w:t xml:space="preserve">, and </w:t>
      </w:r>
      <w:r>
        <w:rPr>
          <w:b/>
        </w:rPr>
        <w:t>A. Kreimeyer</w:t>
      </w:r>
      <w:r>
        <w:t xml:space="preserve">. 2010. Clostridium sticklandii, a specialist in amino acid degradation:revisiting its metabolism through its genome sequence. BMC genomics </w:t>
      </w:r>
      <w:r>
        <w:rPr>
          <w:b/>
        </w:rPr>
        <w:t>11</w:t>
      </w:r>
      <w:r>
        <w:t>:555.</w:t>
      </w:r>
    </w:p>
    <w:p w:rsidR="00E56712" w:rsidRDefault="008D288B">
      <w:pPr>
        <w:pStyle w:val="Bibliography"/>
      </w:pPr>
      <w:r>
        <w:t xml:space="preserve">26. </w:t>
      </w:r>
      <w:r>
        <w:rPr>
          <w:b/>
        </w:rPr>
        <w:t>Nakamura, S.</w:t>
      </w:r>
      <w:r>
        <w:t xml:space="preserve">, </w:t>
      </w:r>
      <w:r>
        <w:rPr>
          <w:b/>
        </w:rPr>
        <w:t>S. Nakashio</w:t>
      </w:r>
      <w:r>
        <w:t xml:space="preserve">, </w:t>
      </w:r>
      <w:r>
        <w:rPr>
          <w:b/>
        </w:rPr>
        <w:t>K. Yamakawa</w:t>
      </w:r>
      <w:r>
        <w:t xml:space="preserve">, </w:t>
      </w:r>
      <w:r>
        <w:rPr>
          <w:b/>
        </w:rPr>
        <w:t>N. Tanabe</w:t>
      </w:r>
      <w:r>
        <w:t xml:space="preserve">, and </w:t>
      </w:r>
      <w:r>
        <w:rPr>
          <w:b/>
        </w:rPr>
        <w:t>S. Nishida</w:t>
      </w:r>
      <w:r>
        <w:t xml:space="preserve">. 1982. Carbohydrate Fermentation by Clostridium difficile. Microbiology and Immunology </w:t>
      </w:r>
      <w:r>
        <w:rPr>
          <w:b/>
        </w:rPr>
        <w:t>26</w:t>
      </w:r>
      <w:r>
        <w:t>:107–111.</w:t>
      </w:r>
    </w:p>
    <w:p w:rsidR="00E56712" w:rsidRDefault="008D288B">
      <w:pPr>
        <w:pStyle w:val="Bibliography"/>
      </w:pPr>
      <w:r>
        <w:lastRenderedPageBreak/>
        <w:t xml:space="preserve">27. </w:t>
      </w:r>
      <w:r>
        <w:rPr>
          <w:b/>
        </w:rPr>
        <w:t>Sorg, J. A.</w:t>
      </w:r>
      <w:r>
        <w:t xml:space="preserve">, and </w:t>
      </w:r>
      <w:r>
        <w:rPr>
          <w:b/>
        </w:rPr>
        <w:t>A. L. Sonenshein</w:t>
      </w:r>
      <w:r>
        <w:t xml:space="preserve">. 2010. Inhibiting the initiation of Clostridium difficile spore germination using analogs of chenodeoxycholic acid, a bile acid. Journal of Bacteriology </w:t>
      </w:r>
      <w:r>
        <w:rPr>
          <w:b/>
        </w:rPr>
        <w:t>192</w:t>
      </w:r>
      <w:r>
        <w:t>:4983–4990.</w:t>
      </w:r>
    </w:p>
    <w:p w:rsidR="00E56712" w:rsidRDefault="008D288B">
      <w:pPr>
        <w:pStyle w:val="Bibliography"/>
      </w:pPr>
      <w:r>
        <w:t xml:space="preserve">28. </w:t>
      </w:r>
      <w:r>
        <w:rPr>
          <w:b/>
        </w:rPr>
        <w:t>Buffie, C. G.</w:t>
      </w:r>
      <w:r>
        <w:t xml:space="preserve">, </w:t>
      </w:r>
      <w:r>
        <w:rPr>
          <w:b/>
        </w:rPr>
        <w:t>V. Bucci</w:t>
      </w:r>
      <w:r>
        <w:t xml:space="preserve">, </w:t>
      </w:r>
      <w:r>
        <w:rPr>
          <w:b/>
        </w:rPr>
        <w:t>R. R. Stein</w:t>
      </w:r>
      <w:r>
        <w:t xml:space="preserve">, </w:t>
      </w:r>
      <w:r>
        <w:rPr>
          <w:b/>
        </w:rPr>
        <w:t>P. T. McKenney</w:t>
      </w:r>
      <w:r>
        <w:t xml:space="preserve">, </w:t>
      </w:r>
      <w:r>
        <w:rPr>
          <w:b/>
        </w:rPr>
        <w:t>L. Ling</w:t>
      </w:r>
      <w:r>
        <w:t xml:space="preserve">, </w:t>
      </w:r>
      <w:r>
        <w:rPr>
          <w:b/>
        </w:rPr>
        <w:t>A. Gobourne</w:t>
      </w:r>
      <w:r>
        <w:t xml:space="preserve">, </w:t>
      </w:r>
      <w:r>
        <w:rPr>
          <w:b/>
        </w:rPr>
        <w:t>D. No</w:t>
      </w:r>
      <w:r>
        <w:t xml:space="preserve">, </w:t>
      </w:r>
      <w:r>
        <w:rPr>
          <w:b/>
        </w:rPr>
        <w:t>H. Liu</w:t>
      </w:r>
      <w:r>
        <w:t xml:space="preserve">, </w:t>
      </w:r>
      <w:r>
        <w:rPr>
          <w:b/>
        </w:rPr>
        <w:t>M. Kinnebrew</w:t>
      </w:r>
      <w:r>
        <w:t xml:space="preserve">, </w:t>
      </w:r>
      <w:r>
        <w:rPr>
          <w:b/>
        </w:rPr>
        <w:t>A. Viale</w:t>
      </w:r>
      <w:r>
        <w:t xml:space="preserve">, </w:t>
      </w:r>
      <w:r>
        <w:rPr>
          <w:b/>
        </w:rPr>
        <w:t>E. Littmann</w:t>
      </w:r>
      <w:r>
        <w:t xml:space="preserve">, </w:t>
      </w:r>
      <w:r>
        <w:rPr>
          <w:b/>
        </w:rPr>
        <w:t>M. R. M. van den Brink</w:t>
      </w:r>
      <w:r>
        <w:t xml:space="preserve">, </w:t>
      </w:r>
      <w:r>
        <w:rPr>
          <w:b/>
        </w:rPr>
        <w:t>R. R. Jenq</w:t>
      </w:r>
      <w:r>
        <w:t xml:space="preserve">, </w:t>
      </w:r>
      <w:r>
        <w:rPr>
          <w:b/>
        </w:rPr>
        <w:t>Y. Taur</w:t>
      </w:r>
      <w:r>
        <w:t xml:space="preserve">, </w:t>
      </w:r>
      <w:r>
        <w:rPr>
          <w:b/>
        </w:rPr>
        <w:t>C. Sander</w:t>
      </w:r>
      <w:r>
        <w:t xml:space="preserve">, </w:t>
      </w:r>
      <w:r>
        <w:rPr>
          <w:b/>
        </w:rPr>
        <w:t>J. R. Cross</w:t>
      </w:r>
      <w:r>
        <w:t xml:space="preserve">, </w:t>
      </w:r>
      <w:r>
        <w:rPr>
          <w:b/>
        </w:rPr>
        <w:t>N. C. Toussaint</w:t>
      </w:r>
      <w:r>
        <w:t xml:space="preserve">, </w:t>
      </w:r>
      <w:r>
        <w:rPr>
          <w:b/>
        </w:rPr>
        <w:t>J. B. Xavier</w:t>
      </w:r>
      <w:r>
        <w:t xml:space="preserve">, and </w:t>
      </w:r>
      <w:r>
        <w:rPr>
          <w:b/>
        </w:rPr>
        <w:t>E. G. Pamer</w:t>
      </w:r>
      <w:r>
        <w:t xml:space="preserve">. 2014. Precision microbiome reconstitution restores bile acid mediated resistance to Clostridium difficile. Nature </w:t>
      </w:r>
      <w:r>
        <w:rPr>
          <w:b/>
        </w:rPr>
        <w:t>517</w:t>
      </w:r>
      <w:r>
        <w:t>:205–208.</w:t>
      </w:r>
    </w:p>
    <w:p w:rsidR="00E56712" w:rsidRDefault="008D288B">
      <w:pPr>
        <w:pStyle w:val="Bibliography"/>
      </w:pPr>
      <w:r>
        <w:t xml:space="preserve">29. </w:t>
      </w:r>
      <w:r>
        <w:rPr>
          <w:b/>
        </w:rPr>
        <w:t>Neumann-Schaal, M.</w:t>
      </w:r>
      <w:r>
        <w:t xml:space="preserve">, </w:t>
      </w:r>
      <w:r>
        <w:rPr>
          <w:b/>
        </w:rPr>
        <w:t>J. D. Hofmann</w:t>
      </w:r>
      <w:r>
        <w:t xml:space="preserve">, </w:t>
      </w:r>
      <w:r>
        <w:rPr>
          <w:b/>
        </w:rPr>
        <w:t>S. E. Will</w:t>
      </w:r>
      <w:r>
        <w:t xml:space="preserve">, and </w:t>
      </w:r>
      <w:r>
        <w:rPr>
          <w:b/>
        </w:rPr>
        <w:t>D. Schomburg</w:t>
      </w:r>
      <w:r>
        <w:t>. 2015. Time-resolved amino acid uptake of Clostridium difficile 630</w:t>
      </w:r>
      <m:oMath>
        <m:r>
          <w:rPr>
            <w:rFonts w:ascii="Cambria Math" w:hAnsi="Cambria Math"/>
          </w:rPr>
          <m:t>Δ</m:t>
        </m:r>
      </m:oMath>
      <w:r>
        <w:t>erm and concomitant fermentation product and toxin formation. BMC Microbiology 281.</w:t>
      </w:r>
    </w:p>
    <w:p w:rsidR="00E56712" w:rsidRDefault="008D288B">
      <w:pPr>
        <w:pStyle w:val="Bibliography"/>
      </w:pPr>
      <w:r>
        <w:t xml:space="preserve">30. </w:t>
      </w:r>
      <w:r>
        <w:rPr>
          <w:b/>
        </w:rPr>
        <w:t>Bouillaut, L.</w:t>
      </w:r>
      <w:r>
        <w:t xml:space="preserve">, </w:t>
      </w:r>
      <w:r>
        <w:rPr>
          <w:b/>
        </w:rPr>
        <w:t>W. T. Self</w:t>
      </w:r>
      <w:r>
        <w:t xml:space="preserve">, and </w:t>
      </w:r>
      <w:r>
        <w:rPr>
          <w:b/>
        </w:rPr>
        <w:t>A. L. Sonenshein</w:t>
      </w:r>
      <w:r>
        <w:t xml:space="preserve">. 2013. Proline-dependent regulation of Clostridium difficile stickland metabolism. Journal of Bacteriology </w:t>
      </w:r>
      <w:r>
        <w:rPr>
          <w:b/>
        </w:rPr>
        <w:t>195</w:t>
      </w:r>
      <w:r>
        <w:t>:844–854.</w:t>
      </w:r>
    </w:p>
    <w:p w:rsidR="00E56712" w:rsidRDefault="008D288B">
      <w:pPr>
        <w:pStyle w:val="Bibliography"/>
      </w:pPr>
      <w:r>
        <w:t xml:space="preserve">31. </w:t>
      </w:r>
      <w:r>
        <w:rPr>
          <w:b/>
        </w:rPr>
        <w:t>Mahowald, M. A.</w:t>
      </w:r>
      <w:r>
        <w:t xml:space="preserve">, </w:t>
      </w:r>
      <w:r>
        <w:rPr>
          <w:b/>
        </w:rPr>
        <w:t>F. E. Rey</w:t>
      </w:r>
      <w:r>
        <w:t xml:space="preserve">, </w:t>
      </w:r>
      <w:r>
        <w:rPr>
          <w:b/>
        </w:rPr>
        <w:t>H. Seedorf</w:t>
      </w:r>
      <w:r>
        <w:t xml:space="preserve">, </w:t>
      </w:r>
      <w:r>
        <w:rPr>
          <w:b/>
        </w:rPr>
        <w:t>P. J. Turnbaugh</w:t>
      </w:r>
      <w:r>
        <w:t xml:space="preserve">, </w:t>
      </w:r>
      <w:r>
        <w:rPr>
          <w:b/>
        </w:rPr>
        <w:t>R. S. Fulton</w:t>
      </w:r>
      <w:r>
        <w:t xml:space="preserve">, </w:t>
      </w:r>
      <w:r>
        <w:rPr>
          <w:b/>
        </w:rPr>
        <w:t>A. Wollam</w:t>
      </w:r>
      <w:r>
        <w:t xml:space="preserve">, </w:t>
      </w:r>
      <w:r>
        <w:rPr>
          <w:b/>
        </w:rPr>
        <w:t>N. Shah</w:t>
      </w:r>
      <w:r>
        <w:t xml:space="preserve">, </w:t>
      </w:r>
      <w:r>
        <w:rPr>
          <w:b/>
        </w:rPr>
        <w:t>C. Wang</w:t>
      </w:r>
      <w:r>
        <w:t xml:space="preserve">, </w:t>
      </w:r>
      <w:r>
        <w:rPr>
          <w:b/>
        </w:rPr>
        <w:t>V. Magrini</w:t>
      </w:r>
      <w:r>
        <w:t xml:space="preserve">, </w:t>
      </w:r>
      <w:r>
        <w:rPr>
          <w:b/>
        </w:rPr>
        <w:t>R. K. Wilson</w:t>
      </w:r>
      <w:r>
        <w:t xml:space="preserve">, </w:t>
      </w:r>
      <w:r>
        <w:rPr>
          <w:b/>
        </w:rPr>
        <w:t>B. L. Cantarel</w:t>
      </w:r>
      <w:r>
        <w:t xml:space="preserve">, </w:t>
      </w:r>
      <w:r>
        <w:rPr>
          <w:b/>
        </w:rPr>
        <w:t>P. M. Coutinho</w:t>
      </w:r>
      <w:r>
        <w:t xml:space="preserve">, </w:t>
      </w:r>
      <w:r>
        <w:rPr>
          <w:b/>
        </w:rPr>
        <w:t>B. Henrissat</w:t>
      </w:r>
      <w:r>
        <w:t xml:space="preserve">, </w:t>
      </w:r>
      <w:r>
        <w:rPr>
          <w:b/>
        </w:rPr>
        <w:t>L. W. Crock</w:t>
      </w:r>
      <w:r>
        <w:t xml:space="preserve">, </w:t>
      </w:r>
      <w:r>
        <w:rPr>
          <w:b/>
        </w:rPr>
        <w:t>A. Russell</w:t>
      </w:r>
      <w:r>
        <w:t xml:space="preserve">, </w:t>
      </w:r>
      <w:r>
        <w:rPr>
          <w:b/>
        </w:rPr>
        <w:t>N. C. Verberkmoes</w:t>
      </w:r>
      <w:r>
        <w:t xml:space="preserve">, </w:t>
      </w:r>
      <w:r>
        <w:rPr>
          <w:b/>
        </w:rPr>
        <w:t>R. L. Hettich</w:t>
      </w:r>
      <w:r>
        <w:t xml:space="preserve">, and </w:t>
      </w:r>
      <w:r>
        <w:rPr>
          <w:b/>
        </w:rPr>
        <w:t>J. I. Gordon</w:t>
      </w:r>
      <w:r>
        <w:t xml:space="preserve">. 2009. Characterizing a model human gut microbiota composed of members of its two dominant bacterial phyla. Proceedings of the National Academy of Sciences </w:t>
      </w:r>
      <w:r>
        <w:rPr>
          <w:b/>
        </w:rPr>
        <w:t>106</w:t>
      </w:r>
      <w:r>
        <w:t>:5859–5864.</w:t>
      </w:r>
    </w:p>
    <w:p w:rsidR="00E56712" w:rsidRDefault="008D288B">
      <w:pPr>
        <w:pStyle w:val="Bibliography"/>
      </w:pPr>
      <w:r>
        <w:t xml:space="preserve">32. </w:t>
      </w:r>
      <w:r>
        <w:rPr>
          <w:b/>
        </w:rPr>
        <w:t>Jousset, A.</w:t>
      </w:r>
      <w:r>
        <w:t xml:space="preserve">, </w:t>
      </w:r>
      <w:r>
        <w:rPr>
          <w:b/>
        </w:rPr>
        <w:t>C. Bienhold</w:t>
      </w:r>
      <w:r>
        <w:t xml:space="preserve">, </w:t>
      </w:r>
      <w:r>
        <w:rPr>
          <w:b/>
        </w:rPr>
        <w:t>A. Chatzinotas</w:t>
      </w:r>
      <w:r>
        <w:t xml:space="preserve">, </w:t>
      </w:r>
      <w:r>
        <w:rPr>
          <w:b/>
        </w:rPr>
        <w:t>L. Gallien</w:t>
      </w:r>
      <w:r>
        <w:t xml:space="preserve">, </w:t>
      </w:r>
      <w:r>
        <w:rPr>
          <w:b/>
        </w:rPr>
        <w:t>A. Gobet</w:t>
      </w:r>
      <w:r>
        <w:t xml:space="preserve">, </w:t>
      </w:r>
      <w:r>
        <w:rPr>
          <w:b/>
        </w:rPr>
        <w:t>V. Kurm</w:t>
      </w:r>
      <w:r>
        <w:t xml:space="preserve">, </w:t>
      </w:r>
      <w:r>
        <w:rPr>
          <w:b/>
        </w:rPr>
        <w:t>K. Küsel</w:t>
      </w:r>
      <w:r>
        <w:t xml:space="preserve">, </w:t>
      </w:r>
      <w:r>
        <w:rPr>
          <w:b/>
        </w:rPr>
        <w:t>M. C. Rillig</w:t>
      </w:r>
      <w:r>
        <w:t xml:space="preserve">, </w:t>
      </w:r>
      <w:r>
        <w:rPr>
          <w:b/>
        </w:rPr>
        <w:t>D. W. Rivett</w:t>
      </w:r>
      <w:r>
        <w:t xml:space="preserve">, </w:t>
      </w:r>
      <w:r>
        <w:rPr>
          <w:b/>
        </w:rPr>
        <w:t>J. F. Salles</w:t>
      </w:r>
      <w:r>
        <w:t xml:space="preserve">, </w:t>
      </w:r>
      <w:r>
        <w:rPr>
          <w:b/>
        </w:rPr>
        <w:t>M. G. A. van der Heijden</w:t>
      </w:r>
      <w:r>
        <w:t xml:space="preserve">, </w:t>
      </w:r>
      <w:r>
        <w:rPr>
          <w:b/>
        </w:rPr>
        <w:t xml:space="preserve">N. H. </w:t>
      </w:r>
      <w:r>
        <w:rPr>
          <w:b/>
        </w:rPr>
        <w:lastRenderedPageBreak/>
        <w:t>Youssef</w:t>
      </w:r>
      <w:r>
        <w:t xml:space="preserve">, </w:t>
      </w:r>
      <w:r>
        <w:rPr>
          <w:b/>
        </w:rPr>
        <w:t>X. Zhang</w:t>
      </w:r>
      <w:r>
        <w:t xml:space="preserve">, </w:t>
      </w:r>
      <w:r>
        <w:rPr>
          <w:b/>
        </w:rPr>
        <w:t>Z. Wei</w:t>
      </w:r>
      <w:r>
        <w:t xml:space="preserve">, and </w:t>
      </w:r>
      <w:r>
        <w:rPr>
          <w:b/>
        </w:rPr>
        <w:t>W. H. G. Hol</w:t>
      </w:r>
      <w:r>
        <w:t>. 2017. Where less may be more: how the rare biosphere pulls ecosystems strings. The ISME Journal.</w:t>
      </w:r>
    </w:p>
    <w:p w:rsidR="00E56712" w:rsidRDefault="008D288B">
      <w:pPr>
        <w:pStyle w:val="Bibliography"/>
      </w:pPr>
      <w:r>
        <w:t xml:space="preserve">33. </w:t>
      </w:r>
      <w:r>
        <w:rPr>
          <w:b/>
        </w:rPr>
        <w:t>Shade, A.</w:t>
      </w:r>
      <w:r>
        <w:t xml:space="preserve">, </w:t>
      </w:r>
      <w:r>
        <w:rPr>
          <w:b/>
        </w:rPr>
        <w:t>S. E. Jones</w:t>
      </w:r>
      <w:r>
        <w:t xml:space="preserve">, </w:t>
      </w:r>
      <w:r>
        <w:rPr>
          <w:b/>
        </w:rPr>
        <w:t>J. Gregory Caporaso</w:t>
      </w:r>
      <w:r>
        <w:t xml:space="preserve">, </w:t>
      </w:r>
      <w:r>
        <w:rPr>
          <w:b/>
        </w:rPr>
        <w:t>J. Handelsman</w:t>
      </w:r>
      <w:r>
        <w:t xml:space="preserve">, </w:t>
      </w:r>
      <w:r>
        <w:rPr>
          <w:b/>
        </w:rPr>
        <w:t>R. Knight</w:t>
      </w:r>
      <w:r>
        <w:t xml:space="preserve">, </w:t>
      </w:r>
      <w:r>
        <w:rPr>
          <w:b/>
        </w:rPr>
        <w:t>N. Fierer</w:t>
      </w:r>
      <w:r>
        <w:t xml:space="preserve">, and </w:t>
      </w:r>
      <w:r>
        <w:rPr>
          <w:b/>
        </w:rPr>
        <w:t>J. A. Gilbert</w:t>
      </w:r>
      <w:r>
        <w:t xml:space="preserve">. 2014. Conditionally rare taxa disproportionately contribute to temporal changes in microbial diversity. mBio </w:t>
      </w:r>
      <w:r>
        <w:rPr>
          <w:b/>
        </w:rPr>
        <w:t>5</w:t>
      </w:r>
      <w:r>
        <w:t>.</w:t>
      </w:r>
    </w:p>
    <w:p w:rsidR="00E56712" w:rsidRDefault="008D288B">
      <w:pPr>
        <w:pStyle w:val="Bibliography"/>
      </w:pPr>
      <w:r>
        <w:t xml:space="preserve">34. </w:t>
      </w:r>
      <w:r>
        <w:rPr>
          <w:b/>
        </w:rPr>
        <w:t>Rojo, D.</w:t>
      </w:r>
      <w:r>
        <w:t xml:space="preserve">, </w:t>
      </w:r>
      <w:r>
        <w:rPr>
          <w:b/>
        </w:rPr>
        <w:t>M. J. Gosalbes</w:t>
      </w:r>
      <w:r>
        <w:t xml:space="preserve">, </w:t>
      </w:r>
      <w:r>
        <w:rPr>
          <w:b/>
        </w:rPr>
        <w:t>R. Ferrari</w:t>
      </w:r>
      <w:r>
        <w:t xml:space="preserve">, </w:t>
      </w:r>
      <w:r>
        <w:rPr>
          <w:b/>
        </w:rPr>
        <w:t>A. E. Pérez-Cobas</w:t>
      </w:r>
      <w:r>
        <w:t xml:space="preserve">, </w:t>
      </w:r>
      <w:r>
        <w:rPr>
          <w:b/>
        </w:rPr>
        <w:t>E. Hernández</w:t>
      </w:r>
      <w:r>
        <w:t xml:space="preserve">, </w:t>
      </w:r>
      <w:r>
        <w:rPr>
          <w:b/>
        </w:rPr>
        <w:t>R. Oltra</w:t>
      </w:r>
      <w:r>
        <w:t xml:space="preserve">, </w:t>
      </w:r>
      <w:r>
        <w:rPr>
          <w:b/>
        </w:rPr>
        <w:t>J. Buesa</w:t>
      </w:r>
      <w:r>
        <w:t xml:space="preserve">, </w:t>
      </w:r>
      <w:r>
        <w:rPr>
          <w:b/>
        </w:rPr>
        <w:t>A. Latorre</w:t>
      </w:r>
      <w:r>
        <w:t xml:space="preserve">, </w:t>
      </w:r>
      <w:r>
        <w:rPr>
          <w:b/>
        </w:rPr>
        <w:t>C. Barbas</w:t>
      </w:r>
      <w:r>
        <w:t xml:space="preserve">, </w:t>
      </w:r>
      <w:r>
        <w:rPr>
          <w:b/>
        </w:rPr>
        <w:t>M. Ferrer</w:t>
      </w:r>
      <w:r>
        <w:t xml:space="preserve">, and </w:t>
      </w:r>
      <w:r>
        <w:rPr>
          <w:b/>
        </w:rPr>
        <w:t>A. Moya</w:t>
      </w:r>
      <w:r>
        <w:t xml:space="preserve">. 2015. Clostridium difficile heterogeneously impacts intestinal community architecture but drives stable metabolome responses. The ISME Journal </w:t>
      </w:r>
      <w:r>
        <w:rPr>
          <w:b/>
        </w:rPr>
        <w:t>9</w:t>
      </w:r>
      <w:r>
        <w:t>:2206–2220.</w:t>
      </w:r>
    </w:p>
    <w:p w:rsidR="00E56712" w:rsidRDefault="008D288B">
      <w:pPr>
        <w:pStyle w:val="Bibliography"/>
      </w:pPr>
      <w:r>
        <w:t xml:space="preserve">35. </w:t>
      </w:r>
      <w:r>
        <w:rPr>
          <w:b/>
        </w:rPr>
        <w:t>Abraham, N. M.</w:t>
      </w:r>
      <w:r>
        <w:t xml:space="preserve">, </w:t>
      </w:r>
      <w:r>
        <w:rPr>
          <w:b/>
        </w:rPr>
        <w:t>L. Liu</w:t>
      </w:r>
      <w:r>
        <w:t xml:space="preserve">, </w:t>
      </w:r>
      <w:r>
        <w:rPr>
          <w:b/>
        </w:rPr>
        <w:t>B. L. Jutras</w:t>
      </w:r>
      <w:r>
        <w:t xml:space="preserve">, </w:t>
      </w:r>
      <w:r>
        <w:rPr>
          <w:b/>
        </w:rPr>
        <w:t>A. K. Yadav</w:t>
      </w:r>
      <w:r>
        <w:t xml:space="preserve">, </w:t>
      </w:r>
      <w:r>
        <w:rPr>
          <w:b/>
        </w:rPr>
        <w:t>S. Narasimhan</w:t>
      </w:r>
      <w:r>
        <w:t xml:space="preserve">, </w:t>
      </w:r>
      <w:r>
        <w:rPr>
          <w:b/>
        </w:rPr>
        <w:t>V. Gopalakrishnan</w:t>
      </w:r>
      <w:r>
        <w:t xml:space="preserve">, </w:t>
      </w:r>
      <w:r>
        <w:rPr>
          <w:b/>
        </w:rPr>
        <w:t>J. M. Ansari</w:t>
      </w:r>
      <w:r>
        <w:t xml:space="preserve">, </w:t>
      </w:r>
      <w:r>
        <w:rPr>
          <w:b/>
        </w:rPr>
        <w:t>K. K. Jefferson</w:t>
      </w:r>
      <w:r>
        <w:t xml:space="preserve">, </w:t>
      </w:r>
      <w:r>
        <w:rPr>
          <w:b/>
        </w:rPr>
        <w:t>F. Cava</w:t>
      </w:r>
      <w:r>
        <w:t xml:space="preserve">, </w:t>
      </w:r>
      <w:r>
        <w:rPr>
          <w:b/>
        </w:rPr>
        <w:t>C. Jacobs-Wagner</w:t>
      </w:r>
      <w:r>
        <w:t xml:space="preserve">, and </w:t>
      </w:r>
      <w:r>
        <w:rPr>
          <w:b/>
        </w:rPr>
        <w:t>E. Fikrig</w:t>
      </w:r>
      <w:r>
        <w:t>. 2017. Pathogen-mediated manipulation of arthropod microbiota to promote infection. Proceedings of the National Academy of Sciences 201613422.</w:t>
      </w:r>
    </w:p>
    <w:p w:rsidR="00E56712" w:rsidRDefault="008D288B">
      <w:pPr>
        <w:pStyle w:val="Bibliography"/>
      </w:pPr>
      <w:r>
        <w:t xml:space="preserve">36. </w:t>
      </w:r>
      <w:r>
        <w:rPr>
          <w:b/>
        </w:rPr>
        <w:t>Russel, J.</w:t>
      </w:r>
      <w:r>
        <w:t xml:space="preserve">, </w:t>
      </w:r>
      <w:r>
        <w:rPr>
          <w:b/>
        </w:rPr>
        <w:t>H. Roder</w:t>
      </w:r>
      <w:r>
        <w:t xml:space="preserve">, </w:t>
      </w:r>
      <w:r>
        <w:rPr>
          <w:b/>
        </w:rPr>
        <w:t>J. Madsen</w:t>
      </w:r>
      <w:r>
        <w:t xml:space="preserve">, </w:t>
      </w:r>
      <w:r>
        <w:rPr>
          <w:b/>
        </w:rPr>
        <w:t>M. Burmell</w:t>
      </w:r>
      <w:r>
        <w:t xml:space="preserve">, and </w:t>
      </w:r>
      <w:r>
        <w:rPr>
          <w:b/>
        </w:rPr>
        <w:t>S. Soresen</w:t>
      </w:r>
      <w:r>
        <w:t>. 2017. Antagonism correlates with metabolic similarity in diverse bacteria. PNAS.</w:t>
      </w:r>
    </w:p>
    <w:p w:rsidR="00E56712" w:rsidRDefault="008D288B">
      <w:pPr>
        <w:pStyle w:val="Bibliography"/>
      </w:pPr>
      <w:r>
        <w:t xml:space="preserve">37. </w:t>
      </w:r>
      <w:r>
        <w:rPr>
          <w:b/>
        </w:rPr>
        <w:t>Sheik, C. S.</w:t>
      </w:r>
      <w:r>
        <w:t xml:space="preserve">, </w:t>
      </w:r>
      <w:r>
        <w:rPr>
          <w:b/>
        </w:rPr>
        <w:t>S. Jain</w:t>
      </w:r>
      <w:r>
        <w:t xml:space="preserve">, and </w:t>
      </w:r>
      <w:r>
        <w:rPr>
          <w:b/>
        </w:rPr>
        <w:t>G. J. Dick</w:t>
      </w:r>
      <w:r>
        <w:t xml:space="preserve">. 2014. Metabolic flexibility of enigmatic SAR324 revealed through metagenomics and metatranscriptomics. Environmental Microbiology </w:t>
      </w:r>
      <w:r>
        <w:rPr>
          <w:b/>
        </w:rPr>
        <w:t>16</w:t>
      </w:r>
      <w:r>
        <w:t>:304–317.</w:t>
      </w:r>
    </w:p>
    <w:p w:rsidR="00E56712" w:rsidRDefault="008D288B">
      <w:pPr>
        <w:pStyle w:val="Bibliography"/>
      </w:pPr>
      <w:r>
        <w:t xml:space="preserve">38. </w:t>
      </w:r>
      <w:r>
        <w:rPr>
          <w:b/>
        </w:rPr>
        <w:t>Franzosa, E. A.</w:t>
      </w:r>
      <w:r>
        <w:t xml:space="preserve">, </w:t>
      </w:r>
      <w:r>
        <w:rPr>
          <w:b/>
        </w:rPr>
        <w:t>X. C. Morgan</w:t>
      </w:r>
      <w:r>
        <w:t xml:space="preserve">, </w:t>
      </w:r>
      <w:r>
        <w:rPr>
          <w:b/>
        </w:rPr>
        <w:t>N. Segata</w:t>
      </w:r>
      <w:r>
        <w:t xml:space="preserve">, </w:t>
      </w:r>
      <w:r>
        <w:rPr>
          <w:b/>
        </w:rPr>
        <w:t>L. Waldron</w:t>
      </w:r>
      <w:r>
        <w:t xml:space="preserve">, </w:t>
      </w:r>
      <w:r>
        <w:rPr>
          <w:b/>
        </w:rPr>
        <w:t>J. Reyes</w:t>
      </w:r>
      <w:r>
        <w:t xml:space="preserve">, </w:t>
      </w:r>
      <w:r>
        <w:rPr>
          <w:b/>
        </w:rPr>
        <w:t>A. M. Earl</w:t>
      </w:r>
      <w:r>
        <w:t xml:space="preserve">, </w:t>
      </w:r>
      <w:r>
        <w:rPr>
          <w:b/>
        </w:rPr>
        <w:t>G. Giannoukos</w:t>
      </w:r>
      <w:r>
        <w:t xml:space="preserve">, </w:t>
      </w:r>
      <w:r>
        <w:rPr>
          <w:b/>
        </w:rPr>
        <w:t>M. R. Boylan</w:t>
      </w:r>
      <w:r>
        <w:t xml:space="preserve">, </w:t>
      </w:r>
      <w:r>
        <w:rPr>
          <w:b/>
        </w:rPr>
        <w:t>D. Ciulla</w:t>
      </w:r>
      <w:r>
        <w:t xml:space="preserve">, </w:t>
      </w:r>
      <w:r>
        <w:rPr>
          <w:b/>
        </w:rPr>
        <w:t>D. Gevers</w:t>
      </w:r>
      <w:r>
        <w:t xml:space="preserve">, </w:t>
      </w:r>
      <w:r>
        <w:rPr>
          <w:b/>
        </w:rPr>
        <w:t>J. Izard</w:t>
      </w:r>
      <w:r>
        <w:t xml:space="preserve">, </w:t>
      </w:r>
      <w:r>
        <w:rPr>
          <w:b/>
        </w:rPr>
        <w:t>W. S. Garrett</w:t>
      </w:r>
      <w:r>
        <w:t xml:space="preserve">, </w:t>
      </w:r>
      <w:r>
        <w:rPr>
          <w:b/>
        </w:rPr>
        <w:t>A. T. Chan</w:t>
      </w:r>
      <w:r>
        <w:t xml:space="preserve">, and </w:t>
      </w:r>
      <w:r>
        <w:rPr>
          <w:b/>
        </w:rPr>
        <w:t>C. Huttenhower</w:t>
      </w:r>
      <w:r>
        <w:t xml:space="preserve">. 2014. Relating the metatranscriptome and metagenome of the human gut. Proceedings of the National Academy of Sciences </w:t>
      </w:r>
      <w:r>
        <w:rPr>
          <w:b/>
        </w:rPr>
        <w:t>111</w:t>
      </w:r>
      <w:r>
        <w:t>:E2329–E2338.</w:t>
      </w:r>
    </w:p>
    <w:p w:rsidR="00E56712" w:rsidRDefault="008D288B">
      <w:pPr>
        <w:pStyle w:val="Bibliography"/>
      </w:pPr>
      <w:r>
        <w:lastRenderedPageBreak/>
        <w:t xml:space="preserve">39. </w:t>
      </w:r>
      <w:r>
        <w:rPr>
          <w:b/>
        </w:rPr>
        <w:t>Jorth, P.</w:t>
      </w:r>
      <w:r>
        <w:t xml:space="preserve">, </w:t>
      </w:r>
      <w:r>
        <w:rPr>
          <w:b/>
        </w:rPr>
        <w:t>K. H. Turner</w:t>
      </w:r>
      <w:r>
        <w:t xml:space="preserve">, </w:t>
      </w:r>
      <w:r>
        <w:rPr>
          <w:b/>
        </w:rPr>
        <w:t>P. Gumus</w:t>
      </w:r>
      <w:r>
        <w:t xml:space="preserve">, </w:t>
      </w:r>
      <w:r>
        <w:rPr>
          <w:b/>
        </w:rPr>
        <w:t>N. Nizam</w:t>
      </w:r>
      <w:r>
        <w:t xml:space="preserve">, </w:t>
      </w:r>
      <w:r>
        <w:rPr>
          <w:b/>
        </w:rPr>
        <w:t>N. Buduneli</w:t>
      </w:r>
      <w:r>
        <w:t xml:space="preserve">, and </w:t>
      </w:r>
      <w:r>
        <w:rPr>
          <w:b/>
        </w:rPr>
        <w:t>M. Whiteley</w:t>
      </w:r>
      <w:r>
        <w:t xml:space="preserve">. 2014. Metatranscriptomics of the human oral microbiome during health and disease. mBio </w:t>
      </w:r>
      <w:r>
        <w:rPr>
          <w:b/>
        </w:rPr>
        <w:t>5</w:t>
      </w:r>
      <w:r>
        <w:t>.</w:t>
      </w:r>
    </w:p>
    <w:p w:rsidR="00E56712" w:rsidRDefault="008D288B">
      <w:pPr>
        <w:pStyle w:val="Bibliography"/>
      </w:pPr>
      <w:r>
        <w:t xml:space="preserve">40. </w:t>
      </w:r>
      <w:r>
        <w:rPr>
          <w:b/>
        </w:rPr>
        <w:t>Reeves, A. E.</w:t>
      </w:r>
      <w:r>
        <w:t xml:space="preserve">, </w:t>
      </w:r>
      <w:r>
        <w:rPr>
          <w:b/>
        </w:rPr>
        <w:t>M. J. Koenigsknecht</w:t>
      </w:r>
      <w:r>
        <w:t xml:space="preserve">, </w:t>
      </w:r>
      <w:r>
        <w:rPr>
          <w:b/>
        </w:rPr>
        <w:t>I. L. Bergin</w:t>
      </w:r>
      <w:r>
        <w:t xml:space="preserve">, and </w:t>
      </w:r>
      <w:r>
        <w:rPr>
          <w:b/>
        </w:rPr>
        <w:t>V. B. Young</w:t>
      </w:r>
      <w:r>
        <w:t xml:space="preserve">. 2012. Suppression of Clostridium difficile in the gastrointestinal tracts of germfree mice inoculated with a murine isolate from the family Lachnospiraceae. Infection and Immunity </w:t>
      </w:r>
      <w:r>
        <w:rPr>
          <w:b/>
        </w:rPr>
        <w:t>80</w:t>
      </w:r>
      <w:r>
        <w:t>:3786–3794.</w:t>
      </w:r>
    </w:p>
    <w:p w:rsidR="00E56712" w:rsidRDefault="008D288B">
      <w:pPr>
        <w:pStyle w:val="Bibliography"/>
      </w:pPr>
      <w:r>
        <w:t xml:space="preserve">41. </w:t>
      </w:r>
      <w:r>
        <w:rPr>
          <w:b/>
        </w:rPr>
        <w:t>Lawley, T. D.</w:t>
      </w:r>
      <w:r>
        <w:t xml:space="preserve">, </w:t>
      </w:r>
      <w:r>
        <w:rPr>
          <w:b/>
        </w:rPr>
        <w:t>S. Clare</w:t>
      </w:r>
      <w:r>
        <w:t xml:space="preserve">, </w:t>
      </w:r>
      <w:r>
        <w:rPr>
          <w:b/>
        </w:rPr>
        <w:t>A. W. Walker</w:t>
      </w:r>
      <w:r>
        <w:t xml:space="preserve">, </w:t>
      </w:r>
      <w:r>
        <w:rPr>
          <w:b/>
        </w:rPr>
        <w:t>M. D. Stares</w:t>
      </w:r>
      <w:r>
        <w:t xml:space="preserve">, </w:t>
      </w:r>
      <w:r>
        <w:rPr>
          <w:b/>
        </w:rPr>
        <w:t>T. R. Connor</w:t>
      </w:r>
      <w:r>
        <w:t xml:space="preserve">, </w:t>
      </w:r>
      <w:r>
        <w:rPr>
          <w:b/>
        </w:rPr>
        <w:t>C. Raisen</w:t>
      </w:r>
      <w:r>
        <w:t xml:space="preserve">, </w:t>
      </w:r>
      <w:r>
        <w:rPr>
          <w:b/>
        </w:rPr>
        <w:t>D. Goulding</w:t>
      </w:r>
      <w:r>
        <w:t xml:space="preserve">, </w:t>
      </w:r>
      <w:r>
        <w:rPr>
          <w:b/>
        </w:rPr>
        <w:t>R. Rad</w:t>
      </w:r>
      <w:r>
        <w:t xml:space="preserve">, </w:t>
      </w:r>
      <w:r>
        <w:rPr>
          <w:b/>
        </w:rPr>
        <w:t>F. Schreiber</w:t>
      </w:r>
      <w:r>
        <w:t xml:space="preserve">, </w:t>
      </w:r>
      <w:r>
        <w:rPr>
          <w:b/>
        </w:rPr>
        <w:t>C. Brandt</w:t>
      </w:r>
      <w:r>
        <w:t xml:space="preserve">, </w:t>
      </w:r>
      <w:r>
        <w:rPr>
          <w:b/>
        </w:rPr>
        <w:t>L. J. Deakin</w:t>
      </w:r>
      <w:r>
        <w:t xml:space="preserve">, </w:t>
      </w:r>
      <w:r>
        <w:rPr>
          <w:b/>
        </w:rPr>
        <w:t>D. J. Pickard</w:t>
      </w:r>
      <w:r>
        <w:t xml:space="preserve">, </w:t>
      </w:r>
      <w:r>
        <w:rPr>
          <w:b/>
        </w:rPr>
        <w:t>S. H. Duncan</w:t>
      </w:r>
      <w:r>
        <w:t xml:space="preserve">, </w:t>
      </w:r>
      <w:r>
        <w:rPr>
          <w:b/>
        </w:rPr>
        <w:t>H. J. Flint</w:t>
      </w:r>
      <w:r>
        <w:t xml:space="preserve">, </w:t>
      </w:r>
      <w:r>
        <w:rPr>
          <w:b/>
        </w:rPr>
        <w:t>T. G. Clark</w:t>
      </w:r>
      <w:r>
        <w:t xml:space="preserve">, </w:t>
      </w:r>
      <w:r>
        <w:rPr>
          <w:b/>
        </w:rPr>
        <w:t>J. Parkhill</w:t>
      </w:r>
      <w:r>
        <w:t xml:space="preserve">, and </w:t>
      </w:r>
      <w:r>
        <w:rPr>
          <w:b/>
        </w:rPr>
        <w:t>G. Dougan</w:t>
      </w:r>
      <w:r>
        <w:t xml:space="preserve">. 2012. Targeted Restoration of the Intestinal Microbiota with a Simple, Defined Bacteriotherapy Resolves Relapsing Clostridium difficile Disease in Mice. PLoS Pathogens </w:t>
      </w:r>
      <w:r>
        <w:rPr>
          <w:b/>
        </w:rPr>
        <w:t>8</w:t>
      </w:r>
      <w:r>
        <w:t>.</w:t>
      </w:r>
    </w:p>
    <w:p w:rsidR="00E56712" w:rsidRDefault="008D288B">
      <w:pPr>
        <w:pStyle w:val="Bibliography"/>
      </w:pPr>
      <w:r>
        <w:t xml:space="preserve">42. </w:t>
      </w:r>
      <w:r>
        <w:rPr>
          <w:b/>
        </w:rPr>
        <w:t>Petrof, E. O.</w:t>
      </w:r>
      <w:r>
        <w:t xml:space="preserve">, </w:t>
      </w:r>
      <w:r>
        <w:rPr>
          <w:b/>
        </w:rPr>
        <w:t>G. B. Gloor</w:t>
      </w:r>
      <w:r>
        <w:t xml:space="preserve">, </w:t>
      </w:r>
      <w:r>
        <w:rPr>
          <w:b/>
        </w:rPr>
        <w:t>S. J. Vanner</w:t>
      </w:r>
      <w:r>
        <w:t xml:space="preserve">, </w:t>
      </w:r>
      <w:r>
        <w:rPr>
          <w:b/>
        </w:rPr>
        <w:t>S. J. Weese</w:t>
      </w:r>
      <w:r>
        <w:t xml:space="preserve">, </w:t>
      </w:r>
      <w:r>
        <w:rPr>
          <w:b/>
        </w:rPr>
        <w:t>D. Carter</w:t>
      </w:r>
      <w:r>
        <w:t xml:space="preserve">, </w:t>
      </w:r>
      <w:r>
        <w:rPr>
          <w:b/>
        </w:rPr>
        <w:t>M. C. Daigneault</w:t>
      </w:r>
      <w:r>
        <w:t xml:space="preserve">, </w:t>
      </w:r>
      <w:r>
        <w:rPr>
          <w:b/>
        </w:rPr>
        <w:t>E. M. Brown</w:t>
      </w:r>
      <w:r>
        <w:t xml:space="preserve">, </w:t>
      </w:r>
      <w:r>
        <w:rPr>
          <w:b/>
        </w:rPr>
        <w:t>K. Schroeter</w:t>
      </w:r>
      <w:r>
        <w:t xml:space="preserve">, and </w:t>
      </w:r>
      <w:r>
        <w:rPr>
          <w:b/>
        </w:rPr>
        <w:t>E. Allen-Vercoe</w:t>
      </w:r>
      <w:r>
        <w:t xml:space="preserve">. 2013. Stool substitute transplant therapy for the eradication of Clostridium difficile infection: ‘RePOOPulating’ the gut. Microbiome </w:t>
      </w:r>
      <w:r>
        <w:rPr>
          <w:b/>
        </w:rPr>
        <w:t>1</w:t>
      </w:r>
      <w:r>
        <w:t>:3.</w:t>
      </w:r>
    </w:p>
    <w:p w:rsidR="00E56712" w:rsidRDefault="008D288B">
      <w:pPr>
        <w:pStyle w:val="Bibliography"/>
      </w:pPr>
      <w:r>
        <w:t xml:space="preserve">43. </w:t>
      </w:r>
      <w:r>
        <w:rPr>
          <w:b/>
        </w:rPr>
        <w:t>Adlerberth, I.</w:t>
      </w:r>
      <w:r>
        <w:t xml:space="preserve">, </w:t>
      </w:r>
      <w:r>
        <w:rPr>
          <w:b/>
        </w:rPr>
        <w:t>H. Huang</w:t>
      </w:r>
      <w:r>
        <w:t xml:space="preserve">, </w:t>
      </w:r>
      <w:r>
        <w:rPr>
          <w:b/>
        </w:rPr>
        <w:t>E. Lindberg</w:t>
      </w:r>
      <w:r>
        <w:t xml:space="preserve">, </w:t>
      </w:r>
      <w:r>
        <w:rPr>
          <w:b/>
        </w:rPr>
        <w:t>N. Åberg</w:t>
      </w:r>
      <w:r>
        <w:t xml:space="preserve">, </w:t>
      </w:r>
      <w:r>
        <w:rPr>
          <w:b/>
        </w:rPr>
        <w:t>B. Hesselmar</w:t>
      </w:r>
      <w:r>
        <w:t xml:space="preserve">, </w:t>
      </w:r>
      <w:r>
        <w:rPr>
          <w:b/>
        </w:rPr>
        <w:t>R. Saalman</w:t>
      </w:r>
      <w:r>
        <w:t xml:space="preserve">, </w:t>
      </w:r>
      <w:r>
        <w:rPr>
          <w:b/>
        </w:rPr>
        <w:t>C. E. Nord</w:t>
      </w:r>
      <w:r>
        <w:t xml:space="preserve">, </w:t>
      </w:r>
      <w:r>
        <w:rPr>
          <w:b/>
        </w:rPr>
        <w:t>A. E. Wold</w:t>
      </w:r>
      <w:r>
        <w:t xml:space="preserve">, and </w:t>
      </w:r>
      <w:r>
        <w:rPr>
          <w:b/>
        </w:rPr>
        <w:t>A. Weintraubb</w:t>
      </w:r>
      <w:r>
        <w:t xml:space="preserve">. 2014. Toxin-Producing clostridium difficile strains as long-term gut colonizers in healthy infants. Journal of Clinical Microbiology </w:t>
      </w:r>
      <w:r>
        <w:rPr>
          <w:b/>
        </w:rPr>
        <w:t>52</w:t>
      </w:r>
      <w:r>
        <w:t>:173–179.</w:t>
      </w:r>
    </w:p>
    <w:p w:rsidR="00E56712" w:rsidRDefault="008D288B">
      <w:pPr>
        <w:pStyle w:val="Bibliography"/>
      </w:pPr>
      <w:r>
        <w:lastRenderedPageBreak/>
        <w:t xml:space="preserve">44. </w:t>
      </w:r>
      <w:r>
        <w:rPr>
          <w:b/>
        </w:rPr>
        <w:t>Wilson, K. H.</w:t>
      </w:r>
      <w:r>
        <w:t xml:space="preserve">, </w:t>
      </w:r>
      <w:r>
        <w:rPr>
          <w:b/>
        </w:rPr>
        <w:t>M. J. Kennedy</w:t>
      </w:r>
      <w:r>
        <w:t xml:space="preserve">, and </w:t>
      </w:r>
      <w:r>
        <w:rPr>
          <w:b/>
        </w:rPr>
        <w:t>F. R. Fekety</w:t>
      </w:r>
      <w:r>
        <w:t xml:space="preserve">. 1982. Use of sodium taurocholate to enhance spore recovery on a medium selective for Clostridium difficile. Journal of Clinical Microbiology </w:t>
      </w:r>
      <w:r>
        <w:rPr>
          <w:b/>
        </w:rPr>
        <w:t>15</w:t>
      </w:r>
      <w:r>
        <w:t>:443–446.</w:t>
      </w:r>
    </w:p>
    <w:p w:rsidR="00E56712" w:rsidRDefault="008D288B">
      <w:pPr>
        <w:pStyle w:val="Bibliography"/>
      </w:pPr>
      <w:r>
        <w:t xml:space="preserve">45. </w:t>
      </w:r>
      <w:r>
        <w:rPr>
          <w:b/>
        </w:rPr>
        <w:t>Leslie, J. L.</w:t>
      </w:r>
      <w:r>
        <w:t xml:space="preserve">, </w:t>
      </w:r>
      <w:r>
        <w:rPr>
          <w:b/>
        </w:rPr>
        <w:t>S. Huang</w:t>
      </w:r>
      <w:r>
        <w:t xml:space="preserve">, </w:t>
      </w:r>
      <w:r>
        <w:rPr>
          <w:b/>
        </w:rPr>
        <w:t>J. S. Opp</w:t>
      </w:r>
      <w:r>
        <w:t xml:space="preserve">, </w:t>
      </w:r>
      <w:r>
        <w:rPr>
          <w:b/>
        </w:rPr>
        <w:t>M. S. Nagy</w:t>
      </w:r>
      <w:r>
        <w:t xml:space="preserve">, </w:t>
      </w:r>
      <w:r>
        <w:rPr>
          <w:b/>
        </w:rPr>
        <w:t>M. Kobayashi</w:t>
      </w:r>
      <w:r>
        <w:t xml:space="preserve">, </w:t>
      </w:r>
      <w:r>
        <w:rPr>
          <w:b/>
        </w:rPr>
        <w:t>V. B. Young</w:t>
      </w:r>
      <w:r>
        <w:t xml:space="preserve">, and </w:t>
      </w:r>
      <w:r>
        <w:rPr>
          <w:b/>
        </w:rPr>
        <w:t>J. R. Spence</w:t>
      </w:r>
      <w:r>
        <w:t xml:space="preserve">. 2015. Persistence and toxin production by Clostridium difficile within human intestinal organoids result in disruption of epithelial paracellular barrier function. Infection and Immunity </w:t>
      </w:r>
      <w:r>
        <w:rPr>
          <w:b/>
        </w:rPr>
        <w:t>83</w:t>
      </w:r>
      <w:r>
        <w:t>:138–145.</w:t>
      </w:r>
    </w:p>
    <w:p w:rsidR="00E56712" w:rsidRDefault="008D288B">
      <w:pPr>
        <w:pStyle w:val="Bibliography"/>
      </w:pPr>
      <w:r>
        <w:t xml:space="preserve">46. </w:t>
      </w:r>
      <w:r>
        <w:rPr>
          <w:b/>
        </w:rPr>
        <w:t>Kozich, J.</w:t>
      </w:r>
      <w:r>
        <w:t xml:space="preserve">, </w:t>
      </w:r>
      <w:r>
        <w:rPr>
          <w:b/>
        </w:rPr>
        <w:t>S. Westcott</w:t>
      </w:r>
      <w:r>
        <w:t xml:space="preserve">, </w:t>
      </w:r>
      <w:r>
        <w:rPr>
          <w:b/>
        </w:rPr>
        <w:t>N. Baxter</w:t>
      </w:r>
      <w:r>
        <w:t xml:space="preserve">, </w:t>
      </w:r>
      <w:r>
        <w:rPr>
          <w:b/>
        </w:rPr>
        <w:t>S. Highlander</w:t>
      </w:r>
      <w:r>
        <w:t xml:space="preserve">, and </w:t>
      </w:r>
      <w:r>
        <w:rPr>
          <w:b/>
        </w:rPr>
        <w:t>P. Schloss</w:t>
      </w:r>
      <w:r>
        <w:t xml:space="preserve">. 2013. 16S Sequencing with the Illumina MiSeq Personal Sequencer. University of Michigan Health System SOP </w:t>
      </w:r>
      <w:r>
        <w:rPr>
          <w:b/>
        </w:rPr>
        <w:t>3.1</w:t>
      </w:r>
      <w:r>
        <w:t>:1–16.</w:t>
      </w:r>
    </w:p>
    <w:p w:rsidR="00E56712" w:rsidRDefault="008D288B">
      <w:pPr>
        <w:pStyle w:val="Bibliography"/>
      </w:pPr>
      <w:r>
        <w:t xml:space="preserve">47. </w:t>
      </w:r>
      <w:r>
        <w:rPr>
          <w:b/>
        </w:rPr>
        <w:t>Lopez-Medina, E.</w:t>
      </w:r>
      <w:r>
        <w:t xml:space="preserve">, </w:t>
      </w:r>
      <w:r>
        <w:rPr>
          <w:b/>
        </w:rPr>
        <w:t>M. M. Neubauer</w:t>
      </w:r>
      <w:r>
        <w:t xml:space="preserve">, </w:t>
      </w:r>
      <w:r>
        <w:rPr>
          <w:b/>
        </w:rPr>
        <w:t>G. B. Pier</w:t>
      </w:r>
      <w:r>
        <w:t xml:space="preserve">, and </w:t>
      </w:r>
      <w:r>
        <w:rPr>
          <w:b/>
        </w:rPr>
        <w:t>A. Y. Koh</w:t>
      </w:r>
      <w:r>
        <w:t>. 2011. RNA isolation of Pseudomonas aeruginosa colonizing the murine gastrointestinal tract. Journal of visualized experiments : JoVE 6–9.</w:t>
      </w:r>
    </w:p>
    <w:p w:rsidR="00E56712" w:rsidRDefault="008D288B">
      <w:pPr>
        <w:pStyle w:val="Bibliography"/>
      </w:pPr>
      <w:r>
        <w:t xml:space="preserve">48. </w:t>
      </w:r>
      <w:r>
        <w:rPr>
          <w:b/>
        </w:rPr>
        <w:t>Martin, M.</w:t>
      </w:r>
      <w:r>
        <w:t xml:space="preserve"> 2011. Cutadapt removes adapter sequences from high-throughput sequencing reads. EMBnet </w:t>
      </w:r>
      <w:r>
        <w:rPr>
          <w:b/>
        </w:rPr>
        <w:t>17</w:t>
      </w:r>
      <w:r>
        <w:t>:10.</w:t>
      </w:r>
    </w:p>
    <w:p w:rsidR="00E56712" w:rsidRDefault="008D288B">
      <w:pPr>
        <w:pStyle w:val="Bibliography"/>
      </w:pPr>
      <w:r>
        <w:t xml:space="preserve">49. </w:t>
      </w:r>
      <w:r>
        <w:rPr>
          <w:b/>
        </w:rPr>
        <w:t>Joshi, N.</w:t>
      </w:r>
      <w:r>
        <w:t xml:space="preserve">, and </w:t>
      </w:r>
      <w:r>
        <w:rPr>
          <w:b/>
        </w:rPr>
        <w:t>J. Fass</w:t>
      </w:r>
      <w:r>
        <w:t>. 2011. Sickle: A sliding-window, adaptive, quality-based trimming tool for FastQ files (Version 1.33) [Software]. Available at https://github.com/najoshi/sickle. 2011.</w:t>
      </w:r>
    </w:p>
    <w:p w:rsidR="00E56712" w:rsidRDefault="008D288B">
      <w:pPr>
        <w:pStyle w:val="Bibliography"/>
      </w:pPr>
      <w:r>
        <w:t xml:space="preserve">50. </w:t>
      </w:r>
      <w:r>
        <w:rPr>
          <w:b/>
        </w:rPr>
        <w:t>Li, D.</w:t>
      </w:r>
      <w:r>
        <w:t xml:space="preserve">, </w:t>
      </w:r>
      <w:r>
        <w:rPr>
          <w:b/>
        </w:rPr>
        <w:t>C. M. Liu</w:t>
      </w:r>
      <w:r>
        <w:t xml:space="preserve">, </w:t>
      </w:r>
      <w:r>
        <w:rPr>
          <w:b/>
        </w:rPr>
        <w:t>R. Luo</w:t>
      </w:r>
      <w:r>
        <w:t xml:space="preserve">, </w:t>
      </w:r>
      <w:r>
        <w:rPr>
          <w:b/>
        </w:rPr>
        <w:t>K. Sadakane</w:t>
      </w:r>
      <w:r>
        <w:t xml:space="preserve">, and </w:t>
      </w:r>
      <w:r>
        <w:rPr>
          <w:b/>
        </w:rPr>
        <w:t>T. W. Lam</w:t>
      </w:r>
      <w:r>
        <w:t xml:space="preserve">. 2014. MEGAHIT: An ultra-fast single-node solution for large and complex metagenomics assembly via succinct de Bruijn graph. Bioinformatics </w:t>
      </w:r>
      <w:r>
        <w:rPr>
          <w:b/>
        </w:rPr>
        <w:t>31</w:t>
      </w:r>
      <w:r>
        <w:t>:1674–1676.</w:t>
      </w:r>
    </w:p>
    <w:p w:rsidR="00E56712" w:rsidRDefault="008D288B">
      <w:pPr>
        <w:pStyle w:val="Bibliography"/>
      </w:pPr>
      <w:r>
        <w:lastRenderedPageBreak/>
        <w:t xml:space="preserve">51. </w:t>
      </w:r>
      <w:r>
        <w:rPr>
          <w:b/>
        </w:rPr>
        <w:t>Ogata, H.</w:t>
      </w:r>
      <w:r>
        <w:t xml:space="preserve">, </w:t>
      </w:r>
      <w:r>
        <w:rPr>
          <w:b/>
        </w:rPr>
        <w:t>S. Goto</w:t>
      </w:r>
      <w:r>
        <w:t xml:space="preserve">, </w:t>
      </w:r>
      <w:r>
        <w:rPr>
          <w:b/>
        </w:rPr>
        <w:t>K. Sato</w:t>
      </w:r>
      <w:r>
        <w:t xml:space="preserve">, </w:t>
      </w:r>
      <w:r>
        <w:rPr>
          <w:b/>
        </w:rPr>
        <w:t>W. Fujibuchi</w:t>
      </w:r>
      <w:r>
        <w:t xml:space="preserve">, </w:t>
      </w:r>
      <w:r>
        <w:rPr>
          <w:b/>
        </w:rPr>
        <w:t>H. Bono</w:t>
      </w:r>
      <w:r>
        <w:t xml:space="preserve">, and </w:t>
      </w:r>
      <w:r>
        <w:rPr>
          <w:b/>
        </w:rPr>
        <w:t>M. Kanehisa</w:t>
      </w:r>
      <w:r>
        <w:t>. 1999. KEGG: Kyoto encyclopedia of genes and genomes. U.S. Patent 1.</w:t>
      </w:r>
    </w:p>
    <w:p w:rsidR="00E56712" w:rsidRDefault="008D288B">
      <w:pPr>
        <w:pStyle w:val="Bibliography"/>
      </w:pPr>
      <w:r>
        <w:t xml:space="preserve">52. </w:t>
      </w:r>
      <w:r>
        <w:rPr>
          <w:b/>
        </w:rPr>
        <w:t>Buchfink, B.</w:t>
      </w:r>
      <w:r>
        <w:t xml:space="preserve">, </w:t>
      </w:r>
      <w:r>
        <w:rPr>
          <w:b/>
        </w:rPr>
        <w:t>C. Xie</w:t>
      </w:r>
      <w:r>
        <w:t xml:space="preserve">, and </w:t>
      </w:r>
      <w:r>
        <w:rPr>
          <w:b/>
        </w:rPr>
        <w:t>D. H. Huson</w:t>
      </w:r>
      <w:r>
        <w:t xml:space="preserve">. 2015. Fast and sensitive protein alignment using DIAMOND. Nature methods </w:t>
      </w:r>
      <w:r>
        <w:rPr>
          <w:b/>
        </w:rPr>
        <w:t>12</w:t>
      </w:r>
      <w:r>
        <w:t>:59–60.</w:t>
      </w:r>
    </w:p>
    <w:p w:rsidR="00E56712" w:rsidRDefault="008D288B">
      <w:pPr>
        <w:pStyle w:val="Bibliography"/>
      </w:pPr>
      <w:r>
        <w:t xml:space="preserve">53. </w:t>
      </w:r>
      <w:r>
        <w:rPr>
          <w:b/>
        </w:rPr>
        <w:t>Langmead, B.</w:t>
      </w:r>
      <w:r>
        <w:t xml:space="preserve">, and </w:t>
      </w:r>
      <w:r>
        <w:rPr>
          <w:b/>
        </w:rPr>
        <w:t>S. L. Salzberg</w:t>
      </w:r>
      <w:r>
        <w:t xml:space="preserve">. 2012. Fast gapped-read alignment with Bowtie 2. Nature methods </w:t>
      </w:r>
      <w:r>
        <w:rPr>
          <w:b/>
        </w:rPr>
        <w:t>9</w:t>
      </w:r>
      <w:r>
        <w:t>:357–9.</w:t>
      </w:r>
    </w:p>
    <w:p w:rsidR="00E56712" w:rsidRDefault="008D288B">
      <w:pPr>
        <w:pStyle w:val="Bibliography"/>
      </w:pPr>
      <w:r>
        <w:t xml:space="preserve">54. </w:t>
      </w:r>
      <w:r>
        <w:rPr>
          <w:b/>
        </w:rPr>
        <w:t>Li, H.</w:t>
      </w:r>
      <w:r>
        <w:t xml:space="preserve">, </w:t>
      </w:r>
      <w:r>
        <w:rPr>
          <w:b/>
        </w:rPr>
        <w:t>B. Handsaker</w:t>
      </w:r>
      <w:r>
        <w:t xml:space="preserve">, </w:t>
      </w:r>
      <w:r>
        <w:rPr>
          <w:b/>
        </w:rPr>
        <w:t>A. Wysoker</w:t>
      </w:r>
      <w:r>
        <w:t xml:space="preserve">, </w:t>
      </w:r>
      <w:r>
        <w:rPr>
          <w:b/>
        </w:rPr>
        <w:t>T. Fennell</w:t>
      </w:r>
      <w:r>
        <w:t xml:space="preserve">, </w:t>
      </w:r>
      <w:r>
        <w:rPr>
          <w:b/>
        </w:rPr>
        <w:t>J. Ruan</w:t>
      </w:r>
      <w:r>
        <w:t xml:space="preserve">, </w:t>
      </w:r>
      <w:r>
        <w:rPr>
          <w:b/>
        </w:rPr>
        <w:t>N. Homer</w:t>
      </w:r>
      <w:r>
        <w:t xml:space="preserve">, </w:t>
      </w:r>
      <w:r>
        <w:rPr>
          <w:b/>
        </w:rPr>
        <w:t>G. Marth</w:t>
      </w:r>
      <w:r>
        <w:t xml:space="preserve">, </w:t>
      </w:r>
      <w:r>
        <w:rPr>
          <w:b/>
        </w:rPr>
        <w:t>G. Abecasis</w:t>
      </w:r>
      <w:r>
        <w:t xml:space="preserve">, and </w:t>
      </w:r>
      <w:r>
        <w:rPr>
          <w:b/>
        </w:rPr>
        <w:t>R. Durbin</w:t>
      </w:r>
      <w:r>
        <w:t xml:space="preserve">. 2009. The Sequence Alignment/Map format and SAMtools. Bioinformatics </w:t>
      </w:r>
      <w:r>
        <w:rPr>
          <w:b/>
        </w:rPr>
        <w:t>25</w:t>
      </w:r>
      <w:r>
        <w:t>:2078–2079.</w:t>
      </w:r>
    </w:p>
    <w:p w:rsidR="00E56712" w:rsidRDefault="008D288B">
      <w:pPr>
        <w:pStyle w:val="Bibliography"/>
      </w:pPr>
      <w:r>
        <w:t xml:space="preserve">55. </w:t>
      </w:r>
      <w:r>
        <w:rPr>
          <w:b/>
        </w:rPr>
        <w:t>Breiman, L.</w:t>
      </w:r>
      <w:r>
        <w:t xml:space="preserve"> 2001. Random forests. Machine Learning </w:t>
      </w:r>
      <w:r>
        <w:rPr>
          <w:b/>
        </w:rPr>
        <w:t>45</w:t>
      </w:r>
      <w:r>
        <w:t>:5–32.</w:t>
      </w:r>
    </w:p>
    <w:p w:rsidR="00E56712" w:rsidRDefault="008D288B">
      <w:pPr>
        <w:pStyle w:val="Bibliography"/>
      </w:pPr>
      <w:r>
        <w:t xml:space="preserve">56. </w:t>
      </w:r>
      <w:r>
        <w:rPr>
          <w:b/>
        </w:rPr>
        <w:t>Segal, M. R.</w:t>
      </w:r>
      <w:r>
        <w:t xml:space="preserve"> 2004. Machine Learning Benchmarks and Random Forest Regression. Biostatistics 1–14.</w:t>
      </w:r>
    </w:p>
    <w:p w:rsidR="00960774" w:rsidRDefault="00960774">
      <w:pPr>
        <w:pStyle w:val="BodyText"/>
        <w:spacing w:after="180"/>
        <w:rPr>
          <w:b/>
        </w:rPr>
        <w:sectPr w:rsidR="00960774">
          <w:pgSz w:w="12240" w:h="15840"/>
          <w:pgMar w:top="1440" w:right="1440" w:bottom="1440" w:left="1440" w:header="0" w:footer="720" w:gutter="0"/>
          <w:lnNumType w:countBy="1" w:restart="continuous"/>
          <w:cols w:space="720"/>
          <w:formProt w:val="0"/>
          <w:docGrid w:linePitch="240" w:charSpace="-6145"/>
        </w:sectPr>
      </w:pPr>
    </w:p>
    <w:p w:rsidR="00E56712" w:rsidRDefault="008D288B">
      <w:pPr>
        <w:pStyle w:val="BodyText"/>
        <w:spacing w:after="180"/>
      </w:pPr>
      <w:bookmarkStart w:id="2" w:name="_GoBack"/>
      <w:bookmarkEnd w:id="2"/>
      <w:r>
        <w:rPr>
          <w:b/>
        </w:rPr>
        <w:lastRenderedPageBreak/>
        <w:t>Figure and Table Legends</w:t>
      </w:r>
    </w:p>
    <w:p w:rsidR="00E56712" w:rsidRDefault="008D288B">
      <w:pPr>
        <w:pStyle w:val="BodyText"/>
      </w:pPr>
      <w:r>
        <w:rPr>
          <w:b/>
        </w:rPr>
        <w:t xml:space="preserve">Figure 1 | Experimental models of </w:t>
      </w:r>
      <w:r>
        <w:rPr>
          <w:b/>
          <w:i/>
        </w:rPr>
        <w:t>C. difficile</w:t>
      </w:r>
      <w:r>
        <w:rPr>
          <w:b/>
        </w:rPr>
        <w:t xml:space="preserve"> infection and distinct virulence patterns.</w:t>
      </w:r>
      <w:r>
        <w:t xml:space="preserve"> </w:t>
      </w:r>
      <w:r>
        <w:rPr>
          <w:b/>
        </w:rPr>
        <w:t>(A)</w:t>
      </w:r>
      <w:r>
        <w:t xml:space="preserve"> Experimental time lines of antibiotic pretreatment and infection mouse models. </w:t>
      </w:r>
      <w:r>
        <w:rPr>
          <w:b/>
        </w:rPr>
        <w:t>(B)</w:t>
      </w:r>
      <w:r>
        <w:t xml:space="preserve"> </w:t>
      </w:r>
      <w:r>
        <w:rPr>
          <w:i/>
        </w:rPr>
        <w:t>C. difficile</w:t>
      </w:r>
      <w:r>
        <w:t xml:space="preserve"> 630 cfu in stool of infected mice following each antibiotic pretreatment regimen over 10 days of infection. Median and interquartile range are shown for each time point. </w:t>
      </w:r>
      <w:r>
        <w:rPr>
          <w:b/>
        </w:rPr>
        <w:t>(C)</w:t>
      </w:r>
      <w:r>
        <w:t xml:space="preserve"> Quantification of </w:t>
      </w:r>
      <w:r>
        <w:rPr>
          <w:i/>
        </w:rPr>
        <w:t>C. difficile</w:t>
      </w:r>
      <w: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t xml:space="preserve"> &lt; 0.001). Points below the limit of detection were excluded from statistical testing. Nine mice were used in each experimental and control group and samples from these animals were used for all downstream analyses.</w:t>
      </w:r>
    </w:p>
    <w:p w:rsidR="00E56712" w:rsidRDefault="008D288B">
      <w:pPr>
        <w:pStyle w:val="BodyText"/>
      </w:pPr>
      <w:r>
        <w:rPr>
          <w:b/>
        </w:rPr>
        <w:t xml:space="preserve">Figure 2 | Impact of </w:t>
      </w:r>
      <w:r>
        <w:rPr>
          <w:b/>
          <w:i/>
        </w:rPr>
        <w:t>C. difficile</w:t>
      </w:r>
      <w:r>
        <w:rPr>
          <w:b/>
        </w:rPr>
        <w:t xml:space="preserve"> colonization on gut microbiota community composition.</w:t>
      </w:r>
      <w:r>
        <w:t xml:space="preserve"> </w:t>
      </w:r>
      <w:r>
        <w:rPr>
          <w:b/>
        </w:rPr>
        <w:t>(A)</w:t>
      </w:r>
      <w:r>
        <w:t xml:space="preserve"> Relative abundance of family-level taxonomic classification for OTUs in each pretreatment group. </w:t>
      </w:r>
      <w:r>
        <w:rPr>
          <w:b/>
        </w:rPr>
        <w:t>(B-D)</w:t>
      </w:r>
      <w:r>
        <w:t xml:space="preserve"> Discriminating OTUs with LEfSe analysis between Mock and </w:t>
      </w:r>
      <w:r>
        <w:rPr>
          <w:i/>
        </w:rPr>
        <w:t>C. difficile</w:t>
      </w:r>
      <w:r>
        <w:t xml:space="preserve">-infected communities within each pretreatment group, </w:t>
      </w:r>
      <w:r>
        <w:rPr>
          <w:i/>
        </w:rPr>
        <w:t>p</w:t>
      </w:r>
      <w:r>
        <w:t xml:space="preserve">-values from LEfSe are shown on the left with taxonomic information (all </w:t>
      </w:r>
      <w:r>
        <w:rPr>
          <w:i/>
        </w:rPr>
        <w:t>p</w:t>
      </w:r>
      <w:r>
        <w:t xml:space="preserve"> &lt; 0.05). Relative abundance of the respective OTUs from each mouse along with medians are shown for each pretreatment group.</w:t>
      </w:r>
    </w:p>
    <w:p w:rsidR="00E56712" w:rsidRDefault="008D288B">
      <w:pPr>
        <w:pStyle w:val="BodyText"/>
      </w:pPr>
      <w:r>
        <w:rPr>
          <w:b/>
        </w:rPr>
        <w:t>Figure 3 | Metabolomic markers of infection susceptibility.</w:t>
      </w:r>
      <w:r>
        <w:t xml:space="preserve"> Results from UPLC/MS metabolomic analysis of cecal content from mice also used in previous analyses. Only mock-infected metabolomic results were included this analysis to identify markers of susceptibility. </w:t>
      </w:r>
      <w:r>
        <w:rPr>
          <w:b/>
        </w:rPr>
        <w:t>(A-B)</w:t>
      </w:r>
      <w:r>
        <w:t xml:space="preserve"> NMDS ordinations of Bray-Curtis distances comparing the cecal </w:t>
      </w:r>
      <w:r>
        <w:lastRenderedPageBreak/>
        <w:t>metabolome dissimilarity of mice receiving no pretreatment or one of the three distinct classes of antibiotics. (A) Metabolomes of resistant mice are significantly different from antibiotic pretreated animals (</w:t>
      </w:r>
      <w:r>
        <w:rPr>
          <w:i/>
        </w:rPr>
        <w:t>p</w:t>
      </w:r>
      <w:r>
        <w:t xml:space="preserve"> &lt; 0.001). (B) Antibiotic pretreated metabolomes and also significantly distinct from one another (</w:t>
      </w:r>
      <w:r>
        <w:rPr>
          <w:i/>
        </w:rPr>
        <w:t>p</w:t>
      </w:r>
      <w:r>
        <w:t xml:space="preserve"> &lt; 0.001). Significant differences for NMDS analyses were calculated with AMOVA. </w:t>
      </w:r>
      <w:r>
        <w:rPr>
          <w:b/>
        </w:rPr>
        <w:t>(C-D)</w:t>
      </w:r>
      <w: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t xml:space="preserve"> colonization from susceptible animals. (D) Metabolites concentrations for those molecules that are able to differentiate antibiotic pretreatment groups. Multiple comparisons were accounted for using the Benjamini-Hochberg correction.</w:t>
      </w:r>
    </w:p>
    <w:p w:rsidR="00E56712" w:rsidRDefault="008D288B">
      <w:pPr>
        <w:pStyle w:val="BodyText"/>
      </w:pPr>
      <w:r>
        <w:rPr>
          <w:b/>
        </w:rPr>
        <w:t>Figure 4 | Differential effects of CDI on the cecal metabolome.</w:t>
      </w:r>
      <w:r>
        <w:t xml:space="preserve"> </w:t>
      </w:r>
      <w:r>
        <w:rPr>
          <w:b/>
        </w:rPr>
        <w:t>(A-C)</w:t>
      </w:r>
      <w:r>
        <w:t xml:space="preserve"> NMDS ordinations of Bray-Curtis distances comparing infection groups within each antibiotic pretreatment; (A) Streptomycin, (B) Cefoperazone, and (C) Clindamycin. Significant differences were determined by AMOVA. </w:t>
      </w:r>
      <w:r>
        <w:rPr>
          <w:b/>
        </w:rPr>
        <w:t>(D-F)</w:t>
      </w:r>
      <w:r>
        <w:t xml:space="preserve"> Relative concentrations of metabolites with highest Mean Decrease Accuracy (MDA) from Random Forest feature selection to discriminate between Mock and </w:t>
      </w:r>
      <w:r>
        <w:rPr>
          <w:i/>
        </w:rPr>
        <w:t>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t xml:space="preserve"> Relative concentrations of 5-aminovalerate across all </w:t>
      </w:r>
      <w:r>
        <w:lastRenderedPageBreak/>
        <w:t>experimental and control groups. Significant differences are labeled along the right axis and were calculated with Wilcoxon rank-sum test with Benjamini-Hochberg correction.</w:t>
      </w:r>
    </w:p>
    <w:p w:rsidR="00E56712" w:rsidRDefault="008D288B">
      <w:pPr>
        <w:pStyle w:val="BodyText"/>
      </w:pPr>
      <w:r>
        <w:rPr>
          <w:b/>
        </w:rPr>
        <w:t>Figure 5 | Genes and pathways with largest degree of change in metatranscriptome associated with CDI</w:t>
      </w:r>
      <w:r>
        <w:t xml:space="preserve"> Metatranscriptomic (cDNA) read abundances associated with each gene were normalized to their associated metaganomic (DNA) coverage, resulting in values that reflect increased transcription. </w:t>
      </w:r>
      <w:r>
        <w:rPr>
          <w:b/>
        </w:rPr>
        <w:t>(A-C)</w:t>
      </w:r>
      <w: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t xml:space="preserve"> (black) infection. Gene names and member pathways indicated by letter codes along the left axis (pathway legend below).</w:t>
      </w:r>
    </w:p>
    <w:p w:rsidR="00E56712" w:rsidRDefault="008D288B">
      <w:pPr>
        <w:pStyle w:val="BodyText"/>
      </w:pPr>
      <w:r>
        <w:rPr>
          <w:b/>
        </w:rPr>
        <w:t xml:space="preserve">Figure 6 | </w:t>
      </w:r>
      <w:r>
        <w:rPr>
          <w:b/>
          <w:i/>
        </w:rPr>
        <w:t>C. difficile</w:t>
      </w:r>
      <w:r>
        <w:rPr>
          <w:b/>
        </w:rPr>
        <w:t xml:space="preserve"> colonization alters gene expression of taxonomic groups differentially between antibiotic pretreatments.</w:t>
      </w:r>
      <w:r>
        <w:t xml:space="preserve"> </w:t>
      </w:r>
      <w:r>
        <w:rPr>
          <w:b/>
        </w:rPr>
        <w:t>(A-C)</w:t>
      </w:r>
      <w:r>
        <w:t xml:space="preserve"> Each point represents a unique gene from the respective metagenomic assembly. Coordinates were determined by the log</w:t>
      </w:r>
      <w:r>
        <w:rPr>
          <w:vertAlign w:val="subscript"/>
        </w:rPr>
        <w:t>2</w:t>
      </w:r>
      <w:r>
        <w:t xml:space="preserve">-transformed expression level of each gene between </w:t>
      </w:r>
      <w:r>
        <w:rPr>
          <w:i/>
        </w:rPr>
        <w:t>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t xml:space="preserve"> Absolute difference in metatranscriptomic reads contributed by each genus in pretreatments between mock </w:t>
      </w:r>
      <w:r>
        <w:lastRenderedPageBreak/>
        <w:t xml:space="preserve">and </w:t>
      </w:r>
      <w:r>
        <w:rPr>
          <w:i/>
        </w:rPr>
        <w:t>C. difficile</w:t>
      </w:r>
      <w: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rsidR="00E56712" w:rsidRDefault="008D288B">
      <w:pPr>
        <w:pStyle w:val="BodyText"/>
      </w:pPr>
      <w:r>
        <w:rPr>
          <w:b/>
        </w:rPr>
        <w:t xml:space="preserve">Supplementary Figure 1 | Impact of antibiotic pretreatment and </w:t>
      </w:r>
      <w:r>
        <w:rPr>
          <w:b/>
          <w:i/>
        </w:rPr>
        <w:t>C. difficile</w:t>
      </w:r>
      <w:r>
        <w:rPr>
          <w:b/>
        </w:rPr>
        <w:t xml:space="preserve"> infection on cecal bacterial community structure</w:t>
      </w:r>
      <w:r>
        <w:t xml:space="preserve"> </w:t>
      </w:r>
      <w:r>
        <w:rPr>
          <w:b/>
        </w:rPr>
        <w:t>(A)</w:t>
      </w:r>
      <w:r>
        <w:t xml:space="preserve"> Inverse-Simpson diversity of cecal communities from all pretreatment groups. Gray stars indicate significant difference from no antibiotic controls (all </w:t>
      </w:r>
      <w:r>
        <w:rPr>
          <w:i/>
        </w:rPr>
        <w:t>p</w:t>
      </w:r>
      <w:r>
        <w:t xml:space="preserve"> &lt; 0.001). Black stars denote within pretreatment group significant difference between mock and </w:t>
      </w:r>
      <w:r>
        <w:rPr>
          <w:i/>
        </w:rPr>
        <w:t>C. difficile</w:t>
      </w:r>
      <w:r>
        <w:t xml:space="preserve">-infected communities. Differences were calculated using Wilcoxon rank-sum test with Benjamini-Hochberg correction. NMDS ordinations of Bray-Curtis distances comparing the groups labeled in the bottom left of each plotting area. </w:t>
      </w:r>
      <w:r>
        <w:rPr>
          <w:b/>
        </w:rPr>
        <w:t>(B)</w:t>
      </w:r>
      <w:r>
        <w:t xml:space="preserve"> Antibiotic-pretreated compared to Untreated controls and </w:t>
      </w:r>
      <w:r>
        <w:rPr>
          <w:b/>
        </w:rPr>
        <w:t>(C)</w:t>
      </w:r>
      <w:r>
        <w:t xml:space="preserve"> comparison between only antibiotic pretreatment groups. </w:t>
      </w:r>
      <w:r>
        <w:rPr>
          <w:b/>
        </w:rPr>
        <w:t>(D-F)</w:t>
      </w:r>
      <w:r>
        <w:t xml:space="preserve"> Within antibiotic pretreatment comparisons for the effect of </w:t>
      </w:r>
      <w:r>
        <w:rPr>
          <w:i/>
        </w:rPr>
        <w:t>C. difficile</w:t>
      </w:r>
      <w:r>
        <w:t xml:space="preserve"> colonization on community structure. Significant differences and correlation coefficients for ordination analyses were found using ANOSIM.</w:t>
      </w:r>
    </w:p>
    <w:p w:rsidR="00E56712" w:rsidRDefault="008D288B">
      <w:pPr>
        <w:pStyle w:val="BodyText"/>
      </w:pPr>
      <w:r>
        <w:rPr>
          <w:b/>
        </w:rPr>
        <w:t>Supplementary Figure 2 | Relative concentrations of select metabolite groups in each group</w:t>
      </w:r>
      <w:r>
        <w:t xml:space="preserve"> Metabolites included in this analysis were chosen based on their previously published links to </w:t>
      </w:r>
      <w:r>
        <w:rPr>
          <w:i/>
        </w:rPr>
        <w:t>C. difficile</w:t>
      </w:r>
      <w:r>
        <w:t xml:space="preserve"> physiology or susceptibility to infection. Groups are as follows; </w:t>
      </w:r>
      <w:r>
        <w:rPr>
          <w:b/>
        </w:rPr>
        <w:t>(A)</w:t>
      </w:r>
      <w:r>
        <w:t xml:space="preserve"> Bile acids, </w:t>
      </w:r>
      <w:r>
        <w:rPr>
          <w:b/>
        </w:rPr>
        <w:t>(B)</w:t>
      </w:r>
      <w:r>
        <w:t xml:space="preserve"> Carbohydrates, and </w:t>
      </w:r>
      <w:r>
        <w:rPr>
          <w:b/>
        </w:rPr>
        <w:t>(C)</w:t>
      </w:r>
      <w:r>
        <w:t xml:space="preserve"> Amino Acids. Significant differences were determined by Wilcoxon rank-sum test with Benjamini-Hochberg correction.</w:t>
      </w:r>
    </w:p>
    <w:p w:rsidR="00E56712" w:rsidRDefault="008D288B">
      <w:pPr>
        <w:pStyle w:val="BodyText"/>
      </w:pPr>
      <w:r>
        <w:rPr>
          <w:b/>
        </w:rPr>
        <w:t>Supplementary Figure 3 | Effect of infection on the cecal metabolome across pretreatment groups</w:t>
      </w:r>
      <w:r>
        <w:t xml:space="preserve"> Pooled analysis of antibiotic pretreated animals only. </w:t>
      </w:r>
      <w:r>
        <w:rPr>
          <w:b/>
        </w:rPr>
        <w:t>(A)</w:t>
      </w:r>
      <w:r>
        <w:t xml:space="preserve"> NMDS </w:t>
      </w:r>
      <w:r>
        <w:lastRenderedPageBreak/>
        <w:t xml:space="preserve">ordination of Bray-Curtis distances differentiating mock and </w:t>
      </w:r>
      <w:r>
        <w:rPr>
          <w:i/>
        </w:rPr>
        <w:t>C. difficile</w:t>
      </w:r>
      <w:r>
        <w:t>-infected metabolomes (</w:t>
      </w:r>
      <w:r>
        <w:rPr>
          <w:i/>
        </w:rPr>
        <w:t>p</w:t>
      </w:r>
      <w:r>
        <w:t xml:space="preserve"> = 0.075). </w:t>
      </w:r>
      <w:r>
        <w:rPr>
          <w:b/>
        </w:rPr>
        <w:t>(B)</w:t>
      </w:r>
      <w: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t>-infected groups were determined by Wilcoxon rank-sum test with Benjamini-Hochberg correction.</w:t>
      </w:r>
    </w:p>
    <w:p w:rsidR="00E56712" w:rsidRDefault="008D288B">
      <w:pPr>
        <w:pStyle w:val="BodyText"/>
      </w:pPr>
      <w:r>
        <w:rPr>
          <w:b/>
        </w:rPr>
        <w:t>Supplementary Figure 4 | Gene-level expression for each community compared to the level expressed in resistant mice for each gene</w:t>
      </w:r>
      <w:r>
        <w:t xml:space="preserve"> Murine cecal metatransctipromic sequencing results. Both reads and genes attributed to </w:t>
      </w:r>
      <w:r>
        <w:rPr>
          <w:i/>
        </w:rPr>
        <w:t>C. difficile</w:t>
      </w:r>
      <w:r>
        <w:t xml:space="preserve"> were removed prior to analysis to focus on the changes in the community caused by infection. Shown are genes in each groups with the largest disparity from a metatranscriptome from a community resistant to </w:t>
      </w:r>
      <w:r>
        <w:rPr>
          <w:i/>
        </w:rPr>
        <w:t>C. difficile</w:t>
      </w:r>
      <w:r>
        <w:t xml:space="preserve"> colonization. Panels are displayed as follows; Streptomycin pretreatment: </w:t>
      </w:r>
      <w:r>
        <w:rPr>
          <w:b/>
        </w:rPr>
        <w:t>(A)</w:t>
      </w:r>
      <w:r>
        <w:t xml:space="preserve"> mock infection, </w:t>
      </w:r>
      <w:r>
        <w:rPr>
          <w:b/>
        </w:rPr>
        <w:t>(B)</w:t>
      </w:r>
      <w:r>
        <w:t xml:space="preserve"> </w:t>
      </w:r>
      <w:r>
        <w:rPr>
          <w:i/>
        </w:rPr>
        <w:t>C. difficile</w:t>
      </w:r>
      <w:r>
        <w:t xml:space="preserve"> infection. Cefoperazone pretreatment: </w:t>
      </w:r>
      <w:r>
        <w:rPr>
          <w:b/>
        </w:rPr>
        <w:t>(C)</w:t>
      </w:r>
      <w:r>
        <w:t xml:space="preserve"> mock infection, </w:t>
      </w:r>
      <w:r>
        <w:rPr>
          <w:b/>
        </w:rPr>
        <w:t>(D)</w:t>
      </w:r>
      <w:r>
        <w:t xml:space="preserve"> </w:t>
      </w:r>
      <w:r>
        <w:rPr>
          <w:i/>
        </w:rPr>
        <w:t>C. difficile</w:t>
      </w:r>
      <w:r>
        <w:t xml:space="preserve"> infection. Clindamycin pretreatment: </w:t>
      </w:r>
      <w:r>
        <w:rPr>
          <w:b/>
        </w:rPr>
        <w:t>(E)</w:t>
      </w:r>
      <w:r>
        <w:t xml:space="preserve"> mock infection, </w:t>
      </w:r>
      <w:r>
        <w:rPr>
          <w:b/>
        </w:rPr>
        <w:t>(F)</w:t>
      </w:r>
      <w:r>
        <w:t xml:space="preserve"> </w:t>
      </w:r>
      <w:r>
        <w:rPr>
          <w:i/>
        </w:rPr>
        <w:t>C. difficile</w:t>
      </w:r>
      <w:r>
        <w:t xml:space="preserve"> infection.</w:t>
      </w:r>
    </w:p>
    <w:p w:rsidR="00E56712" w:rsidRDefault="008D288B">
      <w:pPr>
        <w:pStyle w:val="BodyText"/>
      </w:pPr>
      <w:r>
        <w:rPr>
          <w:b/>
        </w:rPr>
        <w:t>Supplementary Figure 5 | Within-group sample variance across datasets with replicates.</w:t>
      </w:r>
      <w:r>
        <w:t xml:space="preserve"> </w:t>
      </w:r>
      <w:r>
        <w:rPr>
          <w:b/>
        </w:rPr>
        <w:t>(A)</w:t>
      </w:r>
      <w:r>
        <w:t xml:space="preserve"> Variances for OTU relative abundances for each sample within all treatment groups. </w:t>
      </w:r>
      <w:r>
        <w:rPr>
          <w:b/>
        </w:rPr>
        <w:t>(B)</w:t>
      </w:r>
      <w: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w:t>
      </w:r>
      <w:r>
        <w:lastRenderedPageBreak/>
        <w:t xml:space="preserve">variance of OTU abundances from 16S rRNA gene sequencing, sample variances for each OTU were calculated individually prior to summary statistic calculations. </w:t>
      </w:r>
      <w:r>
        <w:rPr>
          <w:b/>
        </w:rPr>
        <w:t>(B)</w:t>
      </w:r>
      <w: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rsidR="00E56712" w:rsidRDefault="008D288B">
      <w:pPr>
        <w:pStyle w:val="BodyText"/>
      </w:pPr>
      <w:r>
        <w:rPr>
          <w:b/>
        </w:rPr>
        <w:t>Supplementary Figure 6 | Unique genes with functional annotation detectable within each metagenome and metatranscriptome</w:t>
      </w:r>
      <w:r>
        <w:t xml:space="preserve"> Genes in each datasets were derived from respective metagenomic assemblies, with only those genes that mapped to a KEGG pathway-level annotation. Results are shown as follows: </w:t>
      </w:r>
      <w:r>
        <w:rPr>
          <w:b/>
        </w:rPr>
        <w:t>(A)</w:t>
      </w:r>
      <w:r>
        <w:t xml:space="preserve"> Untreated, </w:t>
      </w:r>
      <w:r>
        <w:rPr>
          <w:b/>
        </w:rPr>
        <w:t>(B)</w:t>
      </w:r>
      <w:r>
        <w:t xml:space="preserve"> Streptomycin-pretreated, </w:t>
      </w:r>
      <w:r>
        <w:rPr>
          <w:b/>
        </w:rPr>
        <w:t>(C)</w:t>
      </w:r>
      <w:r>
        <w:t xml:space="preserve"> Cefoperazone-pretreated, and </w:t>
      </w:r>
      <w:r>
        <w:rPr>
          <w:b/>
        </w:rPr>
        <w:t>(D)</w:t>
      </w:r>
      <w:r>
        <w:t xml:space="preserve"> Clindamycin-pretreated mice. Each panel includes that treatments’ unique genes from metagenomic assembly and genes that recruited at least one cDNA read from the corresponding metatranscriptomes.</w:t>
      </w:r>
    </w:p>
    <w:p w:rsidR="00E56712" w:rsidRDefault="008D288B">
      <w:pPr>
        <w:pStyle w:val="BodyText"/>
      </w:pPr>
      <w:r>
        <w:rPr>
          <w:b/>
        </w:rPr>
        <w:t>Supplementary Table 1 | Chosen antibiotic pretreatment regimes</w:t>
      </w:r>
      <w:r>
        <w:t xml:space="preserve"> Antibiotic classes, mechanisms, and dosage information for each pretreatment.</w:t>
      </w:r>
    </w:p>
    <w:p w:rsidR="00E56712" w:rsidRDefault="008D288B">
      <w:pPr>
        <w:pStyle w:val="BodyText"/>
      </w:pPr>
      <w:r>
        <w:rPr>
          <w:b/>
        </w:rPr>
        <w:t>Supplementary Table 2 | High-throughput sequencing read counts and metagenomic assembly quality</w:t>
      </w:r>
      <w:r>
        <w:t xml:space="preserve"> Raw and curated read abundances for both metagenomic and metatranscriptomic sequencing efforts. Raw read curation steps are outlined in Materials &amp; Methods. Metagenomic contig summary statistics reflect the quality of assembly for each group.</w:t>
      </w:r>
    </w:p>
    <w:p w:rsidR="00E56712" w:rsidRDefault="008D288B">
      <w:pPr>
        <w:pStyle w:val="BodyText"/>
      </w:pPr>
      <w:r>
        <w:rPr>
          <w:b/>
        </w:rPr>
        <w:lastRenderedPageBreak/>
        <w:t>Supplementary Table 3 | Normalized cDNA abundances of complete metatranscriptomes for each antibiotic pretreated group</w:t>
      </w:r>
      <w:r>
        <w:t xml:space="preserve"> Final cDNA read abundances for each gene from the corresponding metagenomic assembly. Normalization reflects standardizing cDNA read abundances to both read length and target gene length as well as metagenomic coverage for each gene.</w:t>
      </w:r>
    </w:p>
    <w:p w:rsidR="00E56712" w:rsidRDefault="008D288B">
      <w:pPr>
        <w:pStyle w:val="BodyText"/>
        <w:spacing w:after="180"/>
      </w:pPr>
      <w:r>
        <w:rPr>
          <w:b/>
        </w:rPr>
        <w:t>Supplementary Table 4 | Median scaled intensity of metabolites for each antibiotic pretreatment and infection group</w:t>
      </w:r>
    </w:p>
    <w:sectPr w:rsidR="00E56712">
      <w:pgSz w:w="12240" w:h="15840"/>
      <w:pgMar w:top="1440" w:right="1440" w:bottom="1440" w:left="1440" w:header="0" w:footer="720" w:gutter="0"/>
      <w:lnNumType w:countBy="1" w:restart="continuou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ACE" w:rsidRDefault="003C1ACE">
      <w:pPr>
        <w:spacing w:before="0" w:after="0" w:line="240" w:lineRule="auto"/>
      </w:pPr>
      <w:r>
        <w:separator/>
      </w:r>
    </w:p>
  </w:endnote>
  <w:endnote w:type="continuationSeparator" w:id="0">
    <w:p w:rsidR="003C1ACE" w:rsidRDefault="003C1A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712" w:rsidRDefault="008D288B">
    <w:pPr>
      <w:pStyle w:val="Footer"/>
    </w:pPr>
    <w:r>
      <w:rPr>
        <w:noProof/>
      </w:rPr>
      <mc:AlternateContent>
        <mc:Choice Requires="wps">
          <w:drawing>
            <wp:anchor distT="0" distB="0" distL="0" distR="0" simplePos="0" relativeHeight="47" behindDoc="1" locked="0" layoutInCell="1" allowOverlap="1">
              <wp:simplePos x="0" y="0"/>
              <wp:positionH relativeFrom="margin">
                <wp:align>center</wp:align>
              </wp:positionH>
              <wp:positionV relativeFrom="paragraph">
                <wp:posOffset>635</wp:posOffset>
              </wp:positionV>
              <wp:extent cx="173355" cy="1746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72800" cy="173880"/>
                      </a:xfrm>
                      <a:prstGeom prst="rect">
                        <a:avLst/>
                      </a:prstGeom>
                      <a:noFill/>
                      <a:ln>
                        <a:noFill/>
                      </a:ln>
                    </wps:spPr>
                    <wps:style>
                      <a:lnRef idx="0">
                        <a:scrgbClr r="0" g="0" b="0"/>
                      </a:lnRef>
                      <a:fillRef idx="0">
                        <a:scrgbClr r="0" g="0" b="0"/>
                      </a:fillRef>
                      <a:effectRef idx="0">
                        <a:scrgbClr r="0" g="0" b="0"/>
                      </a:effectRef>
                      <a:fontRef idx="minor"/>
                    </wps:style>
                    <wps:txbx>
                      <w:txbxContent>
                        <w:p w:rsidR="00E56712" w:rsidRDefault="008D288B">
                          <w:pPr>
                            <w:pStyle w:val="Footer"/>
                            <w:rPr>
                              <w:color w:val="000000"/>
                            </w:rPr>
                          </w:pPr>
                          <w:r>
                            <w:rPr>
                              <w:color w:val="000000"/>
                            </w:rPr>
                            <w:fldChar w:fldCharType="begin"/>
                          </w:r>
                          <w:r>
                            <w:instrText>PAGE</w:instrText>
                          </w:r>
                          <w:r>
                            <w:fldChar w:fldCharType="separate"/>
                          </w:r>
                          <w:r>
                            <w:t>44</w:t>
                          </w:r>
                          <w:r>
                            <w:fldChar w:fldCharType="end"/>
                          </w:r>
                        </w:p>
                      </w:txbxContent>
                    </wps:txbx>
                    <wps:bodyPr lIns="0" tIns="0" rIns="0" bIns="0">
                      <a:spAutoFit/>
                    </wps:bodyPr>
                  </wps:wsp>
                </a:graphicData>
              </a:graphic>
            </wp:anchor>
          </w:drawing>
        </mc:Choice>
        <mc:Fallback>
          <w:pict>
            <v:rect id="shape_0" ID="Frame1" stroked="f" style="position:absolute;margin-left:227.2pt;margin-top:0.05pt;width:13.5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44</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ACE" w:rsidRDefault="003C1ACE">
      <w:pPr>
        <w:spacing w:before="0" w:after="0" w:line="240" w:lineRule="auto"/>
      </w:pPr>
      <w:r>
        <w:separator/>
      </w:r>
    </w:p>
  </w:footnote>
  <w:footnote w:type="continuationSeparator" w:id="0">
    <w:p w:rsidR="003C1ACE" w:rsidRDefault="003C1AC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712"/>
    <w:rsid w:val="00334E17"/>
    <w:rsid w:val="00393B3E"/>
    <w:rsid w:val="003C1ACE"/>
    <w:rsid w:val="008D288B"/>
    <w:rsid w:val="00960774"/>
    <w:rsid w:val="00E567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941627"/>
  <w15:docId w15:val="{3E8A6002-8616-FB4B-BC68-92496B5E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2B73"/>
    <w:pPr>
      <w:spacing w:before="180" w:after="180" w:line="480" w:lineRule="auto"/>
    </w:pPr>
    <w:rPr>
      <w:rFonts w:ascii="Arial" w:hAnsi="Arial"/>
      <w:color w:val="00000A"/>
      <w:sz w:val="24"/>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sz w:val="22"/>
    </w:rPr>
  </w:style>
  <w:style w:type="character" w:customStyle="1" w:styleId="DataTypeTok">
    <w:name w:val="DataTypeTok"/>
    <w:basedOn w:val="VerbatimChar"/>
    <w:qFormat/>
    <w:rPr>
      <w:rFonts w:ascii="Consolas" w:hAnsi="Consolas"/>
      <w:sz w:val="22"/>
    </w:rPr>
  </w:style>
  <w:style w:type="character" w:customStyle="1" w:styleId="DecValTok">
    <w:name w:val="DecValTok"/>
    <w:basedOn w:val="VerbatimChar"/>
    <w:qFormat/>
    <w:rPr>
      <w:rFonts w:ascii="Consolas" w:hAnsi="Consolas"/>
      <w:sz w:val="22"/>
    </w:rPr>
  </w:style>
  <w:style w:type="character" w:customStyle="1" w:styleId="BaseNTok">
    <w:name w:val="BaseNTok"/>
    <w:basedOn w:val="VerbatimChar"/>
    <w:qFormat/>
    <w:rPr>
      <w:rFonts w:ascii="Consolas" w:hAnsi="Consolas"/>
      <w:sz w:val="22"/>
    </w:rPr>
  </w:style>
  <w:style w:type="character" w:customStyle="1" w:styleId="FloatTok">
    <w:name w:val="FloatTok"/>
    <w:basedOn w:val="VerbatimChar"/>
    <w:qFormat/>
    <w:rPr>
      <w:rFonts w:ascii="Consolas" w:hAnsi="Consolas"/>
      <w:sz w:val="22"/>
    </w:rPr>
  </w:style>
  <w:style w:type="character" w:customStyle="1" w:styleId="CharTok">
    <w:name w:val="CharTok"/>
    <w:basedOn w:val="VerbatimChar"/>
    <w:qFormat/>
    <w:rPr>
      <w:rFonts w:ascii="Consolas" w:hAnsi="Consolas"/>
      <w:sz w:val="22"/>
    </w:rPr>
  </w:style>
  <w:style w:type="character" w:customStyle="1" w:styleId="StringTok">
    <w:name w:val="StringTok"/>
    <w:basedOn w:val="VerbatimChar"/>
    <w:qFormat/>
    <w:rPr>
      <w:rFonts w:ascii="Consolas" w:hAnsi="Consolas"/>
      <w:sz w:val="22"/>
    </w:rPr>
  </w:style>
  <w:style w:type="character" w:customStyle="1" w:styleId="CommentTok">
    <w:name w:val="CommentTok"/>
    <w:basedOn w:val="VerbatimChar"/>
    <w:qFormat/>
    <w:rPr>
      <w:rFonts w:ascii="Consolas" w:hAnsi="Consolas"/>
      <w:sz w:val="22"/>
    </w:rPr>
  </w:style>
  <w:style w:type="character" w:customStyle="1" w:styleId="OtherTok">
    <w:name w:val="OtherTok"/>
    <w:basedOn w:val="VerbatimChar"/>
    <w:qFormat/>
    <w:rPr>
      <w:rFonts w:ascii="Consolas" w:hAnsi="Consolas"/>
      <w:sz w:val="22"/>
    </w:rPr>
  </w:style>
  <w:style w:type="character" w:customStyle="1" w:styleId="AlertTok">
    <w:name w:val="AlertTok"/>
    <w:basedOn w:val="VerbatimChar"/>
    <w:qFormat/>
    <w:rPr>
      <w:rFonts w:ascii="Consolas" w:hAnsi="Consolas"/>
      <w:sz w:val="22"/>
    </w:rPr>
  </w:style>
  <w:style w:type="character" w:customStyle="1" w:styleId="FunctionTok">
    <w:name w:val="FunctionTok"/>
    <w:basedOn w:val="VerbatimChar"/>
    <w:qFormat/>
    <w:rPr>
      <w:rFonts w:ascii="Consolas" w:hAnsi="Consolas"/>
      <w:sz w:val="22"/>
    </w:rPr>
  </w:style>
  <w:style w:type="character" w:customStyle="1" w:styleId="RegionMarkerTok">
    <w:name w:val="RegionMarkerTok"/>
    <w:basedOn w:val="VerbatimChar"/>
    <w:qFormat/>
    <w:rPr>
      <w:rFonts w:ascii="Consolas" w:hAnsi="Consolas"/>
      <w:sz w:val="22"/>
    </w:rPr>
  </w:style>
  <w:style w:type="character" w:customStyle="1" w:styleId="ErrorTok">
    <w:name w:val="ErrorTok"/>
    <w:basedOn w:val="VerbatimChar"/>
    <w:qFormat/>
    <w:rPr>
      <w:rFonts w:ascii="Consolas" w:hAnsi="Consolas"/>
      <w:sz w:val="22"/>
    </w:rPr>
  </w:style>
  <w:style w:type="character" w:customStyle="1" w:styleId="NormalTok">
    <w:name w:val="NormalTok"/>
    <w:basedOn w:val="VerbatimChar"/>
    <w:qFormat/>
    <w:rPr>
      <w:rFonts w:ascii="Consolas" w:hAnsi="Consolas"/>
      <w:sz w:val="22"/>
    </w:rPr>
  </w:style>
  <w:style w:type="character" w:styleId="LineNumber">
    <w:name w:val="line number"/>
    <w:basedOn w:val="DefaultParagraphFont"/>
    <w:qFormat/>
    <w:rsid w:val="00905AE5"/>
  </w:style>
  <w:style w:type="character" w:customStyle="1" w:styleId="FooterChar">
    <w:name w:val="Footer Char"/>
    <w:basedOn w:val="DefaultParagraphFont"/>
    <w:link w:val="Footer"/>
    <w:qFormat/>
    <w:rsid w:val="00D46BD4"/>
  </w:style>
  <w:style w:type="character" w:styleId="PageNumber">
    <w:name w:val="page number"/>
    <w:basedOn w:val="DefaultParagraphFont"/>
    <w:qFormat/>
    <w:rsid w:val="00D46BD4"/>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InternetLink">
    <w:name w:val="Internet 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rPr>
      <w:color w:val="00000A"/>
      <w:sz w:val="24"/>
    </w:rPr>
  </w:style>
  <w:style w:type="paragraph" w:styleId="Date">
    <w:name w:val="Date"/>
    <w:next w:val="Normal"/>
    <w:qFormat/>
    <w:pPr>
      <w:keepNext/>
      <w:keepLines/>
      <w:jc w:val="center"/>
    </w:pPr>
    <w:rPr>
      <w:color w:val="00000A"/>
      <w:sz w:val="24"/>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pPr>
      <w:shd w:val="clear" w:color="auto" w:fill="F8F8F8"/>
    </w:pPr>
  </w:style>
  <w:style w:type="paragraph" w:styleId="Footer">
    <w:name w:val="footer"/>
    <w:basedOn w:val="Normal"/>
    <w:link w:val="FooterChar"/>
    <w:rsid w:val="00D46BD4"/>
    <w:pPr>
      <w:suppressLineNumbers/>
      <w:tabs>
        <w:tab w:val="center" w:pos="4320"/>
        <w:tab w:val="right" w:pos="8640"/>
      </w:tabs>
      <w:spacing w:before="0"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jenior/Jenior_Metatranscriptomics_mSphere_2018" TargetMode="External"/><Relationship Id="rId3" Type="http://schemas.openxmlformats.org/officeDocument/2006/relationships/webSettings" Target="webSettings.xml"/><Relationship Id="rId7" Type="http://schemas.openxmlformats.org/officeDocument/2006/relationships/hyperlink" Target="http://roadinstitute.github.io/picar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chloss@umich.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pschloss@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47</Pages>
  <Words>11811</Words>
  <Characters>67328</Characters>
  <Application>Microsoft Office Word</Application>
  <DocSecurity>0</DocSecurity>
  <Lines>561</Lines>
  <Paragraphs>157</Paragraphs>
  <ScaleCrop>false</ScaleCrop>
  <Company>University of Michigan Medical School</Company>
  <LinksUpToDate>false</LinksUpToDate>
  <CharactersWithSpaces>78982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initial infection to promote sustained colonization</dc:title>
  <dc:subject/>
  <dc:creator/>
  <dc:description/>
  <cp:lastModifiedBy>Microsoft Office User</cp:lastModifiedBy>
  <cp:revision>18</cp:revision>
  <dcterms:created xsi:type="dcterms:W3CDTF">2018-02-10T20:03:00Z</dcterms:created>
  <dcterms:modified xsi:type="dcterms:W3CDTF">2018-02-12T21:05:00Z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