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during</w:t>
      </w:r>
      <w:r>
        <w:t xml:space="preserve"> </w:t>
      </w:r>
      <w:r>
        <w:t xml:space="preserve">initial</w:t>
      </w:r>
      <w:r>
        <w:t xml:space="preserve"> </w:t>
      </w:r>
      <w:r>
        <w:t xml:space="preserve">infection</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t xml:space="preserve">Matthew L. Jenior</w:t>
      </w:r>
      <w:r>
        <w:rPr>
          <w:vertAlign w:val="superscript"/>
        </w:rPr>
        <w:t xml:space="preserve">1</w:t>
      </w:r>
      <w:r>
        <w:t xml:space="preserve">, Jhansi L. Leslie</w:t>
      </w:r>
      <w:r>
        <w:rPr>
          <w:vertAlign w:val="superscript"/>
        </w:rPr>
        <w:t xml:space="preserve">1</w:t>
      </w:r>
      <w:r>
        <w:t xml:space="preserve">, Vincent B. Young</w:t>
      </w:r>
      <w:r>
        <w:rPr>
          <w:vertAlign w:val="superscript"/>
        </w:rPr>
        <w:t xml:space="preserve">1,2</w:t>
      </w:r>
      <w:r>
        <w:t xml:space="preserve">, and Patrick D. Schloss</w:t>
      </w:r>
      <w:r>
        <w:rPr>
          <w:vertAlign w:val="superscript"/>
        </w:rPr>
        <w:t xml:space="preserve">1*</w:t>
      </w:r>
    </w:p>
    <w:p>
      <w:pPr>
        <w:pStyle w:val="BodyText"/>
      </w:pPr>
      <w:r>
        <w:rPr>
          <w:b/>
        </w:rPr>
        <w:t xml:space="preserve">1. Department of Microbiology and Immunology, University of Michigan, Ann Arbor, Michigan.</w:t>
      </w:r>
    </w:p>
    <w:p>
      <w:pPr>
        <w:pStyle w:val="BodyText"/>
      </w:pPr>
      <w:r>
        <w:rPr>
          <w:b/>
        </w:rPr>
        <w:t xml:space="preserve">2. Department of Internal Medicine/Infectious Diseases Division, University of Michigan Medical Center, Ann Arbor, Michigan.</w:t>
      </w:r>
    </w:p>
    <w:p>
      <w:pPr>
        <w:pStyle w:val="BodyText"/>
      </w:pPr>
      <w:r>
        <w:rPr>
          <w:b/>
        </w:rPr>
        <w:t xml:space="preserve">Corresponding author.</w:t>
      </w:r>
      <w:r>
        <w:t xml:space="preserve"> </w:t>
      </w:r>
      <w:r>
        <w:t xml:space="preserve">Correspondence to Patrick D. Schloss (</w:t>
      </w:r>
      <w:hyperlink r:id="rId21">
        <w:r>
          <w:rPr>
            <w:rStyle w:val="Hyperlink"/>
          </w:rPr>
          <w:t xml:space="preserve">pschloss@umich.edu</w:t>
        </w:r>
      </w:hyperlink>
      <w:r>
        <w:t xml:space="preserve">)</w:t>
      </w:r>
    </w:p>
    <w:p>
      <w:pPr>
        <w:pStyle w:val="Heading3"/>
      </w:pPr>
      <w:bookmarkStart w:id="22" w:name="abstract"/>
      <w:bookmarkEnd w:id="22"/>
      <w:r>
        <w:t xml:space="preserve">Abstract</w:t>
      </w:r>
    </w:p>
    <w:p>
      <w:pPr>
        <w:pStyle w:val="FirstParagraph"/>
      </w:pPr>
      <w:r>
        <w:t xml:space="preserve">Susceptibility to</w:t>
      </w:r>
      <w:r>
        <w:t xml:space="preserve"> </w:t>
      </w:r>
      <w:r>
        <w:rPr>
          <w:i/>
        </w:rPr>
        <w:t xml:space="preserve">Clostridium difficile</w:t>
      </w:r>
      <w:r>
        <w:t xml:space="preserve"> </w:t>
      </w:r>
      <w:r>
        <w:t xml:space="preserve">infection and disease severity are associated with different antibiotic therapies, which are known to alter the structure and function of the gut microbiota. We hypothesized that the varied pathogenicity of the same strain of</w:t>
      </w:r>
      <w:r>
        <w:t xml:space="preserve"> </w:t>
      </w:r>
      <w:r>
        <w:rPr>
          <w:i/>
        </w:rPr>
        <w:t xml:space="preserve">C. difficile</w:t>
      </w:r>
      <w:r>
        <w:t xml:space="preserve"> </w:t>
      </w:r>
      <w:r>
        <w:t xml:space="preserve">is due to a metabolic interaction between the gut microbiota and</w:t>
      </w:r>
      <w:r>
        <w:t xml:space="preserve"> </w:t>
      </w:r>
      <w:r>
        <w:rPr>
          <w:i/>
        </w:rPr>
        <w:t xml:space="preserve">C. difficile</w:t>
      </w:r>
      <w:r>
        <w:t xml:space="preserve">. To test this hypothesis, we applied a multi-omic approach to a mouse model of infection where the murine microbiota were perturbed by pretreating the mice with either cefoperazone, streptomycin, or clindamycin. Within 18 hours of challenging the three groups of mice with</w:t>
      </w:r>
      <w:r>
        <w:t xml:space="preserve"> </w:t>
      </w:r>
      <w:r>
        <w:rPr>
          <w:i/>
        </w:rPr>
        <w:t xml:space="preserve">C. difficile</w:t>
      </w:r>
      <w:r>
        <w:t xml:space="preserve">, the pathogen was able to colonize to high levels. Although</w:t>
      </w:r>
      <w:r>
        <w:t xml:space="preserve"> </w:t>
      </w:r>
      <w:r>
        <w:rPr>
          <w:i/>
        </w:rPr>
        <w:t xml:space="preserve">C. difficile</w:t>
      </w:r>
      <w:r>
        <w:t xml:space="preserve"> </w:t>
      </w:r>
      <w:r>
        <w:t xml:space="preserve">persisted for the next 10 days at high levels in cefoperazone and streptomycin-pretreated mice, it did not persist in clindamycin-pretreated mice. Untargeted metabolomic analysis of the cecal community at 18 hours revealed that</w:t>
      </w:r>
      <w:r>
        <w:t xml:space="preserve"> </w:t>
      </w:r>
      <w:r>
        <w:rPr>
          <w:i/>
        </w:rPr>
        <w:t xml:space="preserve">C. difficile</w:t>
      </w:r>
      <w:r>
        <w:t xml:space="preserve"> </w:t>
      </w:r>
      <w:r>
        <w:t xml:space="preserve">infection had significantly larger impacts on the metabolic environment across cefoperazone and streptomycin-pretreated mice. In cefoperazone and streptomycin-pretreated mice, Stickland fermentation byproducts were most affected. In clindamycin-pretreated mice, however, no metabolites were affected. In support of these results, we observed that in the infected communities genes associated with carbon and energy acquisition had altered expression in the presence of</w:t>
      </w:r>
      <w:r>
        <w:t xml:space="preserve"> </w:t>
      </w:r>
      <w:r>
        <w:rPr>
          <w:i/>
        </w:rPr>
        <w:t xml:space="preserve">C. difficile</w:t>
      </w:r>
      <w:r>
        <w:t xml:space="preserve">. Furthermore, the largest changes in gene expression occurred among the least abundant species, suggesting that</w:t>
      </w:r>
      <w:r>
        <w:t xml:space="preserve"> </w:t>
      </w:r>
      <w:r>
        <w:rPr>
          <w:i/>
        </w:rPr>
        <w:t xml:space="preserve">C. difficile</w:t>
      </w:r>
      <w:r>
        <w:t xml:space="preserve"> </w:t>
      </w:r>
      <w:r>
        <w:t xml:space="preserve">“</w:t>
      </w:r>
      <w:r>
        <w:t xml:space="preserve">attacks the loser</w:t>
      </w:r>
      <w:r>
        <w:t xml:space="preserve">”</w:t>
      </w:r>
      <w:r>
        <w:t xml:space="preserve">. Overall, our results suggest that</w:t>
      </w:r>
      <w:r>
        <w:t xml:space="preserve"> </w:t>
      </w:r>
      <w:r>
        <w:rPr>
          <w:i/>
        </w:rPr>
        <w:t xml:space="preserve">C. difficile</w:t>
      </w:r>
      <w:r>
        <w:t xml:space="preserve"> </w:t>
      </w:r>
      <w:r>
        <w:t xml:space="preserve">is able to restructure the nutrient-niche landscape in the gut to promote persistent infection.</w:t>
      </w:r>
    </w:p>
    <w:p>
      <w:pPr>
        <w:pStyle w:val="BodyText"/>
      </w:pPr>
      <w:r>
        <w:rPr>
          <w:b/>
        </w:rPr>
        <w:t xml:space="preserve">Importance</w:t>
      </w:r>
    </w:p>
    <w:p>
      <w:pPr>
        <w:pStyle w:val="BodyText"/>
      </w:pPr>
      <w:r>
        <w:t xml:space="preserve">Over the past decade,</w:t>
      </w:r>
      <w:r>
        <w:t xml:space="preserve"> </w:t>
      </w:r>
      <w:r>
        <w:rPr>
          <w:i/>
        </w:rPr>
        <w:t xml:space="preserve">Clostridium difficile</w:t>
      </w:r>
      <w:r>
        <w:t xml:space="preserve"> </w:t>
      </w:r>
      <w:r>
        <w:t xml:space="preserve">has become the most common cause of hospital-acquired infection in the United States. The gut microbiota of healthy individuals have previously been shown to provide resistance against colonization by the nosocomial pathogen, but perturbations to the microbiota render individuals susceptible. The gut microbiota are also involved in clearing the infection as the community recovers from the antibiotic-induced perturbation. We utilized a mouse model of infection with three separate antibiotic pretreatment regimes to generate perturbed gut microbiomes that allowed for initial</w:t>
      </w:r>
      <w:r>
        <w:t xml:space="preserve"> </w:t>
      </w:r>
      <w:r>
        <w:rPr>
          <w:i/>
        </w:rPr>
        <w:t xml:space="preserve">C. difficile</w:t>
      </w:r>
      <w:r>
        <w:t xml:space="preserve"> </w:t>
      </w:r>
      <w:r>
        <w:t xml:space="preserve">colonization but different levels of long-term persistence. Using an integrative multi-omic approach we found that in conditions where the microbiota cleared</w:t>
      </w:r>
      <w:r>
        <w:t xml:space="preserve"> </w:t>
      </w:r>
      <w:r>
        <w:rPr>
          <w:i/>
        </w:rPr>
        <w:t xml:space="preserve">C. difficile</w:t>
      </w:r>
      <w:r>
        <w:t xml:space="preserve">,</w:t>
      </w:r>
      <w:r>
        <w:t xml:space="preserve"> </w:t>
      </w:r>
      <w:r>
        <w:rPr>
          <w:i/>
        </w:rPr>
        <w:t xml:space="preserve">C. difficile</w:t>
      </w:r>
      <w:r>
        <w:t xml:space="preserve"> </w:t>
      </w:r>
      <w:r>
        <w:t xml:space="preserve">did not meaningfully impact the community during the early stages of infection. When the microbiota could not clear the pathogen,</w:t>
      </w:r>
      <w:r>
        <w:t xml:space="preserve"> </w:t>
      </w:r>
      <w:r>
        <w:rPr>
          <w:i/>
        </w:rPr>
        <w:t xml:space="preserve">C. difficile</w:t>
      </w:r>
      <w:r>
        <w:t xml:space="preserve"> </w:t>
      </w:r>
      <w:r>
        <w:t xml:space="preserve">colonization significantly shifted many aspects of the gut ecosystem to promote its own persistence.</w:t>
      </w:r>
    </w:p>
    <w:p>
      <w:pPr>
        <w:pStyle w:val="Heading3"/>
      </w:pPr>
      <w:bookmarkStart w:id="23" w:name="introduction"/>
      <w:bookmarkEnd w:id="23"/>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adapts portions of its metabolism to fit alternative nutrient niche landscapes presented.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differential, combined effects of antibiotics and CDI on the gut microbiota in order to develop more successful targeted therapies that prevent</w:t>
      </w:r>
      <w:r>
        <w:t xml:space="preserve"> </w:t>
      </w:r>
      <w:r>
        <w:rPr>
          <w:i/>
        </w:rPr>
        <w:t xml:space="preserve">C. difficile</w:t>
      </w:r>
      <w:r>
        <w:t xml:space="preserve"> </w:t>
      </w:r>
      <w:r>
        <w:t xml:space="preserve">colonization and promote its clearance.</w:t>
      </w:r>
    </w:p>
    <w:p>
      <w:pPr>
        <w:pStyle w:val="Heading3"/>
      </w:pPr>
      <w:bookmarkStart w:id="24" w:name="results"/>
      <w:bookmarkEnd w:id="24"/>
      <w:r>
        <w:t xml:space="preserve">Results</w:t>
      </w:r>
    </w:p>
    <w:p>
      <w:pPr>
        <w:pStyle w:val="FirstParagraph"/>
      </w:pPr>
      <w:r>
        <w:rPr>
          <w:b/>
        </w:rPr>
        <w:t xml:space="preserve">Distinct antibiotic pretreatments are associated with different patterns of clearance and virulence factor expression.</w:t>
      </w:r>
      <w:r>
        <w:t xml:space="preserve"> </w:t>
      </w:r>
      <w:r>
        <w:t xml:space="preserve">We previously found that when conventionally-reared mice were pretreated with one of three different antibiotics (streptomycin, cefoperazone, and clindamycin; Table S1) to sensitize the animals to</w:t>
      </w:r>
      <w:r>
        <w:t xml:space="preserve"> </w:t>
      </w:r>
      <w:r>
        <w:rPr>
          <w:i/>
        </w:rPr>
        <w:t xml:space="preserve">C. difficile</w:t>
      </w:r>
      <w:r>
        <w:t xml:space="preserve"> </w:t>
      </w:r>
      <w:r>
        <w:t xml:space="preserve">colonization, each pretreatment was associated with altered patterns of</w:t>
      </w:r>
      <w:r>
        <w:t xml:space="preserve"> </w:t>
      </w:r>
      <w:r>
        <w:rPr>
          <w:i/>
        </w:rPr>
        <w:t xml:space="preserve">C. difficile</w:t>
      </w:r>
      <w:r>
        <w:t xml:space="preserve"> </w:t>
      </w:r>
      <w:r>
        <w:t xml:space="preserve">virulence factor expression (Fig. 1A)</w:t>
      </w:r>
      <w:r>
        <w:t xml:space="preserve"> </w:t>
      </w:r>
      <w:r>
        <w:t xml:space="preserve">(19)</w:t>
      </w:r>
      <w:r>
        <w:t xml:space="preserve">. Briefly, these drugs were chosen not only for the ability to to reduce</w:t>
      </w:r>
      <w:r>
        <w:t xml:space="preserve"> </w:t>
      </w:r>
      <w:r>
        <w:rPr>
          <w:i/>
        </w:rPr>
        <w:t xml:space="preserve">C. difficile</w:t>
      </w:r>
      <w:r>
        <w:t xml:space="preserve"> </w:t>
      </w:r>
      <w:r>
        <w:t xml:space="preserve">colonization resistance</w:t>
      </w:r>
      <w:r>
        <w:t xml:space="preserve"> </w:t>
      </w:r>
      <w:r>
        <w:t xml:space="preserve">(18)</w:t>
      </w:r>
      <w:r>
        <w:t xml:space="preserve">, but also for distinct and significant impacts on the structure and diversity of the cecal microbiota (all</w:t>
      </w:r>
      <w:r>
        <w:t xml:space="preserve"> </w:t>
      </w:r>
      <w:r>
        <w:rPr>
          <w:i/>
        </w:rPr>
        <w:t xml:space="preserve">p</w:t>
      </w:r>
      <w:r>
        <w:t xml:space="preserve"> </w:t>
      </w:r>
      <w:r>
        <w:t xml:space="preserve">&lt; 0.001; Fig. S1A), as well as differential patterns of</w:t>
      </w:r>
      <w:r>
        <w:t xml:space="preserve"> </w:t>
      </w:r>
      <w:r>
        <w:rPr>
          <w:i/>
        </w:rPr>
        <w:t xml:space="preserve">C. difficile</w:t>
      </w:r>
      <w:r>
        <w:t xml:space="preserve"> </w:t>
      </w:r>
      <w:r>
        <w:t xml:space="preserve">clearance following initial infection as quantified from stool (Fig. 1B). In each antibiotic pretreatment model, we observed equally high levels of</w:t>
      </w:r>
      <w:r>
        <w:t xml:space="preserve"> </w:t>
      </w:r>
      <w:r>
        <w:rPr>
          <w:i/>
        </w:rPr>
        <w:t xml:space="preserve">C. difficile</w:t>
      </w:r>
      <w:r>
        <w:t xml:space="preserve"> </w:t>
      </w:r>
      <w:r>
        <w:t xml:space="preserve">colonization on the day after infection. Over the subsequent 8 days,</w:t>
      </w:r>
      <w:r>
        <w:t xml:space="preserve"> </w:t>
      </w:r>
      <w:r>
        <w:rPr>
          <w:i/>
        </w:rPr>
        <w:t xml:space="preserve">C. difficile</w:t>
      </w:r>
      <w:r>
        <w:t xml:space="preserve"> </w:t>
      </w:r>
      <w:r>
        <w:t xml:space="preserve">only fell below the limit of detection in the clindamycin-pretreated mice. In contrast, streptomycin and cefopherazone-pretreated mice remained highly colonized over the next 10 days of the experiment. We hypothesized that this difference in persistence occurred because the mice harbored microbiota that varied in the degree to which their niche space overlapped with that of</w:t>
      </w:r>
      <w:r>
        <w:t xml:space="preserve"> </w:t>
      </w:r>
      <w:r>
        <w:rPr>
          <w:i/>
        </w:rPr>
        <w:t xml:space="preserve">C. difficile</w:t>
      </w:r>
      <w:r>
        <w:t xml:space="preserve">.</w:t>
      </w:r>
    </w:p>
    <w:p>
      <w:pPr>
        <w:pStyle w:val="BodyText"/>
      </w:pPr>
      <w:r>
        <w:t xml:space="preserve">Because</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(20)</w:t>
      </w:r>
      <w:r>
        <w:t xml:space="preserve">, we compared spore and toxin production in the different pretreatment groups. We chose to focus our analyses at 18-hours post-infection to assess the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time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(21)</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harbored ~1x10</w:t>
      </w:r>
      <w:r>
        <w:rPr>
          <w:vertAlign w:val="superscript"/>
        </w:rPr>
        <w:t xml:space="preserve">8</w:t>
      </w:r>
      <w:r>
        <w:t xml:space="preserve"> </w:t>
      </w:r>
      <w:r>
        <w:t xml:space="preserve">vegetative colony forming units (cfu) per gram of cecal content.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(20)</w:t>
      </w:r>
      <w:r>
        <w:t xml:space="preserve">. Despite having similar vegetative</w:t>
      </w:r>
      <w:r>
        <w:t xml:space="preserve"> </w:t>
      </w:r>
      <w:r>
        <w:rPr>
          <w:i/>
        </w:rPr>
        <w:t xml:space="preserve">C. difficile</w:t>
      </w:r>
      <w:r>
        <w:t xml:space="preserve"> </w:t>
      </w:r>
      <w:r>
        <w:t xml:space="preserve">loads, varying levels of both cfu due to spores and toxin titer were observed across each of the antibiotic pretreatments prior to the onset of detectable inflammation in the epithelium</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w:t>
      </w:r>
    </w:p>
    <w:p>
      <w:pPr>
        <w:pStyle w:val="BodyText"/>
      </w:pPr>
      <w:r>
        <w:rPr>
          <w:i/>
          <w:b/>
        </w:rPr>
        <w:t xml:space="preserve">C. difficile</w:t>
      </w:r>
      <w:r>
        <w:t xml:space="preserve"> </w:t>
      </w:r>
      <w:r>
        <w:rPr>
          <w:b/>
        </w:rPr>
        <w:t xml:space="preserve">colonization corresponded with significantly altered cecal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groups.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S1B). We then confirmed that each antibiotic pretreatment induced distinct and significant shifts in the community structure prior to being challenged with</w:t>
      </w:r>
      <w:r>
        <w:t xml:space="preserve"> </w:t>
      </w:r>
      <w:r>
        <w:rPr>
          <w:i/>
        </w:rPr>
        <w:t xml:space="preserve">C. difficile</w:t>
      </w:r>
      <w:r>
        <w:t xml:space="preserve"> </w:t>
      </w:r>
      <w:r>
        <w:t xml:space="preserve">(all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Cefoperazone-pretreated communities did not significantly differ from their control group (Fig. S1E). Utilizing LEfSe differential abundant feature detection</w:t>
      </w:r>
      <w:r>
        <w:t xml:space="preserve"> </w:t>
      </w:r>
      <w:r>
        <w:t xml:space="preserve">(22)</w:t>
      </w:r>
      <w:r>
        <w:t xml:space="preserve">,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enrichment of alternative</w:t>
      </w:r>
      <w:r>
        <w:rPr>
          <w:b/>
        </w:rPr>
        <w:t xml:space="preserve"> </w:t>
      </w:r>
      <w:r>
        <w:rPr>
          <w:i/>
          <w:b/>
        </w:rPr>
        <w:t xml:space="preserve">C. difficile</w:t>
      </w:r>
      <w:r>
        <w:rPr>
          <w:b/>
        </w:rPr>
        <w:t xml:space="preserve"> </w:t>
      </w:r>
      <w:r>
        <w:rPr>
          <w:b/>
        </w:rPr>
        <w:t xml:space="preserve">nutrient niches.</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3). These results demonstrated that each pretreatment lead to susceptible communities with unique metabolomes.</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(23)</w:t>
      </w:r>
      <w:r>
        <w:t xml:space="preserve"> </w:t>
      </w:r>
      <w:r>
        <w:t xml:space="preserve">to highlight those metabolites that most easily differentiated the antibiotic groups in the absence of infection. To further limit the analysis to only the most informative metabolites, we ranked metabolites in order of highest mean decrease accuracy (MDA;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have previously been associated with a reduction in the normal levels of polysaccharide fermentation metabolites that were present in the intact microbiota</w:t>
      </w:r>
      <w:r>
        <w:t xml:space="preserve"> </w:t>
      </w:r>
      <w:r>
        <w:t xml:space="preserve">(12)</w:t>
      </w:r>
      <w:r>
        <w:t xml:space="preserve">. N−methylpipecolate was the only metabolite we identified that was consistently lower following antibiotic pretreatment. This molecule is a by-product of amino acid catabolism and is typically oxidized under normal conditions into glycine</w:t>
      </w:r>
      <w:r>
        <w:t xml:space="preserve"> </w:t>
      </w:r>
      <w:r>
        <w:t xml:space="preserve">(24)</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(25)</w:t>
      </w:r>
      <w:r>
        <w:t xml:space="preserve">. We then applied this approach to identify metabolites that differed between antibiotic pretreatment groups (Fig. 3D). Interestingly, several additional carbohydrate or amino acid catabolism by-products were identified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(26)</w:t>
      </w:r>
      <w:r>
        <w:t xml:space="preserve">, which provided further support for the hypothesis that nutrient niches were vacated due to antibiotic pretreatment that were then accessible to</w:t>
      </w:r>
      <w:r>
        <w:t xml:space="preserve"> </w:t>
      </w:r>
      <w:r>
        <w:rPr>
          <w:i/>
        </w:rPr>
        <w:t xml:space="preserve">C. difficile</w:t>
      </w:r>
      <w:r>
        <w:t xml:space="preserve"> </w:t>
      </w:r>
      <w:r>
        <w:t xml:space="preserve">(Fig. 2D). These data suggested that the populations responsible for fermentation of carbohydrates into short-chain fatty acids (SCFAs) may be differentially affected by different classes of antibiotics. The distinct antibiotics permitted survival of separate bacterial groups, likely with varied nutrient catabolism strategies, that each may compete with</w:t>
      </w:r>
      <w:r>
        <w:t xml:space="preserve"> </w:t>
      </w:r>
      <w:r>
        <w:rPr>
          <w:i/>
        </w:rPr>
        <w:t xml:space="preserve">C. difficile</w:t>
      </w:r>
      <w:r>
        <w:t xml:space="preserve"> </w:t>
      </w:r>
      <w:r>
        <w:t xml:space="preserve">along different axes.</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connected to the germination-sporulation life cycle of</w:t>
      </w:r>
      <w:r>
        <w:t xml:space="preserve"> </w:t>
      </w:r>
      <w:r>
        <w:rPr>
          <w:i/>
        </w:rPr>
        <w:t xml:space="preserve">C. difficile</w:t>
      </w:r>
      <w:r>
        <w:t xml:space="preserve"> </w:t>
      </w:r>
      <w:r>
        <w:t xml:space="preserve">(27)</w:t>
      </w:r>
      <w:r>
        <w:t xml:space="preserve"> </w:t>
      </w:r>
      <w:r>
        <w:t xml:space="preserve">and whose bioconversion by the microbiota has been implicated as a driver of colonization resistance</w:t>
      </w:r>
      <w:r>
        <w:t xml:space="preserve"> </w:t>
      </w:r>
      <w:r>
        <w:t xml:space="preserve">(28)</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t xml:space="preserve"> </w:t>
      </w:r>
      <w:r>
        <w:rPr>
          <w:b/>
        </w:rPr>
        <w:t xml:space="preserve">colonization induced distinct metabolomic changes of each pretreatment group.</w:t>
      </w:r>
      <w:r>
        <w:t xml:space="preserve"> </w:t>
      </w:r>
      <w:r>
        <w:t xml:space="preserve">Given the changes we observed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community. First, in a similar approach to identifying susceptibility markers, we calculated the Bray-Curtis dissimilarities between the mock- and</w:t>
      </w:r>
      <w:r>
        <w:t xml:space="preserve"> </w:t>
      </w:r>
      <w:r>
        <w:rPr>
          <w:i/>
        </w:rPr>
        <w:t xml:space="preserve">C. difficile</w:t>
      </w:r>
      <w:r>
        <w:t xml:space="preserve">-infected metabolomes within each antibiotic pretreatment group. We compared the differences in the structures of the metabolomes within each individual antibiotic group and found that the</w:t>
      </w:r>
      <w:r>
        <w:t xml:space="preserve"> </w:t>
      </w:r>
      <w:r>
        <w:rPr>
          <w:i/>
        </w:rPr>
        <w:t xml:space="preserve">C. difficile</w:t>
      </w:r>
      <w:r>
        <w:t xml:space="preserve">-infected metabolomes of both streptomycin- (</w:t>
      </w:r>
      <w:r>
        <w:rPr>
          <w:i/>
        </w:rPr>
        <w:t xml:space="preserve">p</w:t>
      </w:r>
      <w:r>
        <w:t xml:space="preserve"> </w:t>
      </w:r>
      <w:r>
        <w:t xml:space="preserve">= 0.039) and cefoperazone- (</w:t>
      </w:r>
      <w:r>
        <w:rPr>
          <w:i/>
        </w:rPr>
        <w:t xml:space="preserve">p</w:t>
      </w:r>
      <w:r>
        <w:t xml:space="preserve"> </w:t>
      </w:r>
      <w:r>
        <w:t xml:space="preserve">= 0.016) pretreated mice deviated significantly from that of mock-infected mice (Fig. 4A-4B). However, the metabolomes of clindamycin-pretreated mice were not significantly altered by the presence of the pathogen (</w:t>
      </w:r>
      <w:r>
        <w:rPr>
          <w:i/>
        </w:rPr>
        <w:t xml:space="preserve">p</w:t>
      </w:r>
      <w:r>
        <w:t xml:space="preserve"> </w:t>
      </w:r>
      <w:r>
        <w:t xml:space="preserve">= 0.127; Fig. 4C). These results differed from what we observed when analyzing the OTU relative abundance data. Based on the 16S rRNA gene sequence data, the cecal community structure of mice pretreated with cefoperazone was unchanged and clindamycin- and streptomycin-pretreated mice were significantly different when challenged by</w:t>
      </w:r>
      <w:r>
        <w:t xml:space="preserve"> </w:t>
      </w:r>
      <w:r>
        <w:rPr>
          <w:i/>
        </w:rPr>
        <w:t xml:space="preserve">C. difficile</w:t>
      </w:r>
      <w:r>
        <w:t xml:space="preserve"> </w:t>
      </w:r>
      <w:r>
        <w:t xml:space="preserve">(</w:t>
      </w:r>
      <w:r>
        <w:rPr>
          <w:i/>
        </w:rPr>
        <w:t xml:space="preserve">p</w:t>
      </w:r>
      <w:r>
        <w:t xml:space="preserve"> </w:t>
      </w:r>
      <w:r>
        <w:t xml:space="preserve">= 0.003; Fig. 4, S1D). These data indicated that large shifts of populations in the cecal microbiota did not result in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unified analysis across all pretreatment groups. To accomplish this, we again applied the Random Forest machine-learning approach to distinguish mock- and</w:t>
      </w:r>
      <w:r>
        <w:t xml:space="preserve"> </w:t>
      </w:r>
      <w:r>
        <w:rPr>
          <w:i/>
        </w:rPr>
        <w:t xml:space="preserve">C. difficile</w:t>
      </w:r>
      <w:r>
        <w:t xml:space="preserve">-infected mice from each other. Through this modeling approach, we identified the 10 metabolites with the largest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clindamycin-pretreated mice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(29)</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(30)</w:t>
      </w:r>
      <w:r>
        <w:t xml:space="preserve">. Along these lines, proline and 3 proline-conjugated amino acids (i.e. pro-hydroxy-pro, thioproline, and trans-4-hydroxyproline) were significantly decreased during infection in all pretreatment groups (Fig. S3B; all</w:t>
      </w:r>
      <w:r>
        <w:t xml:space="preserve"> </w:t>
      </w:r>
      <w:r>
        <w:rPr>
          <w:i/>
        </w:rPr>
        <w:t xml:space="preserve">p</w:t>
      </w:r>
      <w:r>
        <w:t xml:space="preserve"> </w:t>
      </w:r>
      <w:r>
        <w:t xml:space="preserve">&lt; 0.001). Combined, these results demonstrated that while each of the pretreatment groups had unique metabolomic profiles, Stickland fermentation products were shared across each group indicating that it is a preferred energy acquisition pathway for</w:t>
      </w:r>
      <w:r>
        <w:t xml:space="preserve"> </w:t>
      </w:r>
      <w:r>
        <w:rPr>
          <w:i/>
        </w:rPr>
        <w:t xml:space="preserve">C. difficile</w:t>
      </w:r>
      <w:r>
        <w:t xml:space="preserve">. Random Forest machine-learning models were able to reliably classify infected and uninfected mice in both streptomycin and cefoperazone pretreatments (Fig. 4AB, Out-of-bag error &lt; 10%). However, among the clindamycin-pretreated mice, it was not possible to reliably discriminate between mock- and</w:t>
      </w:r>
      <w:r>
        <w:t xml:space="preserve"> </w:t>
      </w:r>
      <w:r>
        <w:rPr>
          <w:i/>
        </w:rPr>
        <w:t xml:space="preserve">C. difficile</w:t>
      </w:r>
      <w:r>
        <w:t xml:space="preserve">-infected mice (Fig. 4C, Out-of-bag error = 44.44%). Among the top 5 MDA metabolites in each of the models discriminating between mock- and</w:t>
      </w:r>
      <w:r>
        <w:t xml:space="preserve"> </w:t>
      </w:r>
      <w:r>
        <w:rPr>
          <w:i/>
        </w:rPr>
        <w:t xml:space="preserve">C. difficile</w:t>
      </w:r>
      <w:r>
        <w:t xml:space="preserve">-infected mice, none were shared across all antibiotic-pretreatment groups.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w:t>
      </w:r>
    </w:p>
    <w:p>
      <w:pPr>
        <w:pStyle w:val="BodyText"/>
      </w:pPr>
      <w:r>
        <w:rPr>
          <w:b/>
        </w:rPr>
        <w:t xml:space="preserve">Infection corresponded with large shifts in metatranscriptomic expression that strongly differ across antibiotic pretreatments.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To achieve usable concentrations of bacterial RNA and obtain informative depths of sequencing that adequately sampled the diversity in metagenomic and metatranscriptomic libraries (Fig. S6EF), we were required to pool the limited amount of RNA from each treatment and infection group. We calculated the within-group sample variance replicates from cfu, otu relative abundance, and untargeted metabolomic to establish confidence in continuing pooled analysis (Table S5). This analysis revealed limited amounts of variation at multiple levels of biology.</w:t>
      </w:r>
    </w:p>
    <w:p>
      <w:pPr>
        <w:pStyle w:val="BodyText"/>
      </w:pPr>
      <w:r>
        <w:t xml:space="preserve">Following sequencing, metagenomic reads from mock-infected cecal communities were assembled</w:t>
      </w:r>
      <w:r>
        <w:t xml:space="preserve"> </w:t>
      </w:r>
      <w:r>
        <w:rPr>
          <w:i/>
        </w:rPr>
        <w:t xml:space="preserve">de novo</w:t>
      </w:r>
      <w:r>
        <w:t xml:space="preserve"> </w:t>
      </w:r>
      <w:r>
        <w:t xml:space="preserve">into contigs and we identified 234,868 (streptomycin), 83,534 (cefoperazone), and 35,681 (clindamycin) genes within each metagenome. Of these genes, 28.5% were annotated to a known KEGG function and many of these annotations were homologous among species across the dataset. Streptomycin pretreatment resulted in a community that had significantly more taxonomic diversity than the other pretreatment groups (Fig. S1A). Therefore, we expected a more diverse metagenome. In fact, 2408 unique functionally annotated genes were detected in the metagenome resulting from streptomycin pretreatment, at least 1163 more genes than either cefoperazone or clindamycin (Fig. S5). Also, as expected genes with any detectable transcript in any metatranscriptome were a subset of their corresponding metagenome. Metatranscriptomic read abundances were normalized to the corresponding coverage per gene in the metagenome after normalizing the number of reads across metagenomic sequence collections. To highlight the largest magnitude of difference in transcription, we identified the top 15% genes (Fig. 5A) or pathways (Fig. 5B) in each antibiotic pretreatment group with the highest disparity in normalized cDNA abundance between mock and</w:t>
      </w:r>
      <w:r>
        <w:t xml:space="preserve"> </w:t>
      </w:r>
      <w:r>
        <w:rPr>
          <w:i/>
        </w:rPr>
        <w:t xml:space="preserve">C. difficile</w:t>
      </w:r>
      <w:r>
        <w:t xml:space="preserve">-infected groups and cross-referenced the pretreatments. Based on the metabolomic results we hypothesized that pathways with the greatest differences would be related to catabolism of metabolites in established</w:t>
      </w:r>
      <w:r>
        <w:t xml:space="preserve"> </w:t>
      </w:r>
      <w:r>
        <w:rPr>
          <w:i/>
        </w:rPr>
        <w:t xml:space="preserve">C. difficile</w:t>
      </w:r>
      <w:r>
        <w:t xml:space="preserve"> </w:t>
      </w:r>
      <w:r>
        <w:t xml:space="preserve">nutrient niches.</w:t>
      </w:r>
    </w:p>
    <w:p>
      <w:pPr>
        <w:pStyle w:val="BodyText"/>
      </w:pPr>
      <w:r>
        <w:t xml:space="preserve">This analysis revealed modest conservation of transcriptional changes induced by</w:t>
      </w:r>
      <w:r>
        <w:t xml:space="preserve"> </w:t>
      </w:r>
      <w:r>
        <w:rPr>
          <w:i/>
        </w:rPr>
        <w:t xml:space="preserve">C. difficile</w:t>
      </w:r>
      <w:r>
        <w:t xml:space="preserve"> </w:t>
      </w:r>
      <w:r>
        <w:t xml:space="preserve">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8 genes that were shared across the three pretreatment groups, a Dps family protein gene was the most varied in transcription. The protein product of this gene is associated with DNA protection and iron binding under periods of environmental stress</w:t>
      </w:r>
      <w:r>
        <w:t xml:space="preserve"> </w:t>
      </w:r>
      <w:r>
        <w:t xml:space="preserve">(31)</w:t>
      </w:r>
      <w:r>
        <w:t xml:space="preserve">. Furthermore, formate acetyltransferase and phosphopyruvate hydratase are highly varied in their transcription and are central nodes of metabolism, which lend themselves to the hypothesis that the microbiota must process energy sources differently in the presence of</w:t>
      </w:r>
      <w:r>
        <w:t xml:space="preserve"> </w:t>
      </w:r>
      <w:r>
        <w:rPr>
          <w:i/>
        </w:rPr>
        <w:t xml:space="preserve">C. difficile</w:t>
      </w:r>
      <w: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w:t>
      </w:r>
      <w:r>
        <w:t xml:space="preserve"> </w:t>
      </w:r>
      <w:r>
        <w:rPr>
          <w:i/>
        </w:rPr>
        <w:t xml:space="preserve">C. difficile</w:t>
      </w:r>
      <w:r>
        <w:t xml:space="preserve"> </w:t>
      </w:r>
      <w:r>
        <w:t xml:space="preserve">to persist. Together, these shifts demonstrated that</w:t>
      </w:r>
      <w:r>
        <w:t xml:space="preserve"> </w:t>
      </w:r>
      <w:r>
        <w:rPr>
          <w:i/>
        </w:rPr>
        <w:t xml:space="preserve">C. difficile</w:t>
      </w:r>
      <w:r>
        <w:t xml:space="preserve"> </w:t>
      </w:r>
      <w:r>
        <w:t xml:space="preserve">colonization is associated with substantial changes in the transcription of nutrient acquisition pathways, which vary greatly between antibiotic-induced susceptible states.</w:t>
      </w:r>
    </w:p>
    <w:p>
      <w:pPr>
        <w:pStyle w:val="BodyText"/>
      </w:pPr>
      <w:r>
        <w:rPr>
          <w:i/>
          <w:b/>
        </w:rPr>
        <w:t xml:space="preserve">C. difficile</w:t>
      </w:r>
      <w:r>
        <w:t xml:space="preserve"> </w:t>
      </w:r>
      <w:r>
        <w:rPr>
          <w:b/>
        </w:rPr>
        <w:t xml:space="preserve">colonization disproportionately impacted the gene transcription of low-abundance bacterial taxa.</w:t>
      </w:r>
      <w:r>
        <w:t xml:space="preserve"> </w:t>
      </w:r>
      <w:r>
        <w:t xml:space="preserve">As not all bacterial taxa share identical metabolic capabilities, we hypothesized that expression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expression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expression outliers between uninfected and infection conditions compared with those of the other antibiotic groups. This indicated that the gene expression in the clindamycin-pretreated community was not significantly altered in the presence of</w:t>
      </w:r>
      <w:r>
        <w:t xml:space="preserve"> </w:t>
      </w:r>
      <w:r>
        <w:rPr>
          <w:i/>
        </w:rPr>
        <w:t xml:space="preserve">C. difficile</w:t>
      </w:r>
      <w:r>
        <w:t xml:space="preserve">.</w:t>
      </w:r>
    </w:p>
    <w:p>
      <w:pPr>
        <w:pStyle w:val="BodyText"/>
      </w:pPr>
      <w: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with increased expression during</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had higher transcription in mock infected mice (Fig. 6B). A consistent trend in streptomycin and cefoperazone pretreatments was an overrepresentation of highly-expressed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ρ</w:t>
      </w:r>
      <w:r>
        <w:t xml:space="preserve"> </w:t>
      </w:r>
      <w:r>
        <w:t xml:space="preserve">= 0.03 &amp;</w:t>
      </w:r>
      <w:r>
        <w:t xml:space="preserve"> </w:t>
      </w:r>
      <w:r>
        <w:rPr>
          <w:i/>
        </w:rPr>
        <w:t xml:space="preserve">ρ</w:t>
      </w:r>
      <w:r>
        <w:t xml:space="preserve"> </w:t>
      </w:r>
      <w:r>
        <w:t xml:space="preserve">= 0.03). In clindamycin-pretreated mice, the largest difference in transcription was for 510</w:t>
      </w:r>
      <w:r>
        <w:t xml:space="preserve"> </w:t>
      </w:r>
      <w:r>
        <w:rPr>
          <w:i/>
        </w:rPr>
        <w:t xml:space="preserve">Lactobacillus</w:t>
      </w:r>
      <w:r>
        <w:t xml:space="preserve"> </w:t>
      </w:r>
      <w:r>
        <w:t xml:space="preserve">genes with increased transcription during colonization (Fig. 6C). Mock- and</w:t>
      </w:r>
      <w:r>
        <w:t xml:space="preserve"> </w:t>
      </w:r>
      <w:r>
        <w:rPr>
          <w:i/>
        </w:rPr>
        <w:t xml:space="preserve">C. difficile</w:t>
      </w:r>
      <w:r>
        <w:t xml:space="preserve">-infected metatranscriptomes in clindamycin-pretreated mice were strongly correlated with each other (</w:t>
      </w:r>
      <w:r>
        <w:rPr>
          <w:i/>
        </w:rPr>
        <w:t xml:space="preserve">ρ</w:t>
      </w:r>
      <w:r>
        <w:t xml:space="preserve"> </w:t>
      </w:r>
      <w:r>
        <w:t xml:space="preserve">= 0.86). This suggested that the degree to which the metatranscriptome was shifted by infection corresponded to prolonged colonization. We further characterized this by tabulating the absolute difference between mock- and</w:t>
      </w:r>
      <w:r>
        <w:t xml:space="preserve"> </w:t>
      </w:r>
      <w:r>
        <w:rPr>
          <w:i/>
        </w:rPr>
        <w:t xml:space="preserve">C. difficile</w:t>
      </w:r>
      <w:r>
        <w:t xml:space="preserve">-infected communities transcriptomic abundances per genus in each antibiotic pretreatment, normalizing for the number of genes detected in each genera. Taxa were then separated into groups based on their relative abundance in each community based on 16S rRNA gene sequencing (Fig. 6D). Most changes occurred among the relatively rare taxa. As the number and diversity of low abundance taxa was much larger than that of high abundance taxa, the majority of unique genes and metabolic potential was expressed from the rare taxa.</w:t>
      </w:r>
    </w:p>
    <w:p>
      <w:pPr>
        <w:pStyle w:val="Heading3"/>
      </w:pPr>
      <w:bookmarkStart w:id="25" w:name="discussion"/>
      <w:bookmarkEnd w:id="25"/>
      <w:r>
        <w:t xml:space="preserve">Discussion</w:t>
      </w:r>
    </w:p>
    <w:p>
      <w:pPr>
        <w:pStyle w:val="FirstParagraph"/>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shortly after infection to OTU abundances, metabolome composition, and metatranscriptomic activity suggest that</w:t>
      </w:r>
      <w:r>
        <w:t xml:space="preserve"> </w:t>
      </w:r>
      <w:r>
        <w:rPr>
          <w:i/>
        </w:rPr>
        <w:t xml:space="preserve">C. difficile</w:t>
      </w:r>
      <w:r>
        <w:t xml:space="preserve"> </w:t>
      </w:r>
      <w:r>
        <w:t xml:space="preserve">manipulates the niche landscape of the intestinal tract in order to better maintain long-term colonization even prior to the onset of toxin-mediated inflammation. This hypothesis was supported by the disparity of community-level phenotypes between the clindamycin and cefoperazone or streptomycin pretreatment groups. Only in the clindamycin-pretreatment group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expression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for prominent symbiotic bacterial species in gnotobiotic mice</w:t>
      </w:r>
      <w:r>
        <w:t xml:space="preserve"> </w:t>
      </w:r>
      <w:r>
        <w:t xml:space="preserve">(32)</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metabolome</w:t>
      </w:r>
      <w:r>
        <w:t xml:space="preserve"> </w:t>
      </w:r>
      <w:r>
        <w:t xml:space="preserve">(33)</w:t>
      </w:r>
      <w:r>
        <w:t xml:space="preserve">. For example, this strategy has been observed in temperate lakes where conditionally rare microbes were found to be far more metabolically active than highly abundant taxa</w:t>
      </w:r>
      <w:r>
        <w:t xml:space="preserve"> </w:t>
      </w:r>
      <w:r>
        <w:t xml:space="preserve">(34)</w:t>
      </w:r>
      <w:r>
        <w:t xml:space="preserve">. This would also be likely to apply to bacterial groups recovering population density following cessation of antibiotic pretreatment. As such,</w:t>
      </w:r>
      <w:r>
        <w:t xml:space="preserve"> </w:t>
      </w:r>
      <w:r>
        <w:rPr>
          <w:i/>
        </w:rPr>
        <w:t xml:space="preserve">C. difficile</w:t>
      </w:r>
      <w:r>
        <w:t xml:space="preserve"> </w:t>
      </w:r>
      <w:r>
        <w:t xml:space="preserve">may outcompete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 to provide</w:t>
      </w:r>
      <w:r>
        <w:t xml:space="preserve"> </w:t>
      </w:r>
      <w:r>
        <w:rPr>
          <w:i/>
        </w:rPr>
        <w:t xml:space="preserve">in vivo</w:t>
      </w:r>
      <w:r>
        <w:t xml:space="preserve"> </w:t>
      </w:r>
      <w:r>
        <w:t xml:space="preserve">evidence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(35)</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(36)</w:t>
      </w:r>
      <w:r>
        <w:t xml:space="preserve">. Furthermore, it was recently found that bacterial metabolic generalists may be more likely to actively antagonize the growth of other species in an environment which they are colonizing</w:t>
      </w:r>
      <w:r>
        <w:t xml:space="preserve"> </w:t>
      </w:r>
      <w:r>
        <w:t xml:space="preserve">(37)</w:t>
      </w:r>
      <w:r>
        <w:t xml:space="preserve">. We previously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metatranscriptomic expression. Although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RNA detected for a given gene does not necessarily reflect the amount of functional protein made by a cell. Furthermore, the timing of translation after transcription may also confound our results and our analysis clearly does not capture the possibility that post-translational modifications may be required to activate some enzymes. Additionally, the low relative abundance of</w:t>
      </w:r>
      <w:r>
        <w:t xml:space="preserve"> </w:t>
      </w:r>
      <w:r>
        <w:rPr>
          <w:i/>
        </w:rPr>
        <w:t xml:space="preserve">C. difficile</w:t>
      </w:r>
      <w:r>
        <w:t xml:space="preserve"> </w:t>
      </w:r>
      <w:r>
        <w:t xml:space="preserve">required us to focus our efforts on greater sequencing depth rather than breadth across multiple replicates within each pretreatment group. Greater transcript abundance would improve our ability to quantify the activity of low abundance species.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38–40)</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provide colonization resistance, but each has been met with incomplete restoration of colonization resistance or function</w:t>
      </w:r>
      <w:r>
        <w:t xml:space="preserve"> </w:t>
      </w:r>
      <w:r>
        <w:t xml:space="preserve">(28, 41–43)</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(44)</w:t>
      </w:r>
      <w:r>
        <w:t xml:space="preserve">. Moreover, our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will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Our murine model of antibiotic-enabled</w:t>
      </w:r>
      <w:r>
        <w:t xml:space="preserve"> </w:t>
      </w:r>
      <w:r>
        <w:rPr>
          <w:i/>
        </w:rPr>
        <w:t xml:space="preserve">C. difficile</w:t>
      </w:r>
      <w:r>
        <w:t xml:space="preserve"> </w:t>
      </w:r>
      <w:r>
        <w:t xml:space="preserve">colonization has been described elsewhere</w:t>
      </w:r>
      <w:r>
        <w:t xml:space="preserve"> </w:t>
      </w:r>
      <w:r>
        <w:t xml:space="preserve">(19)</w:t>
      </w:r>
      <w:r>
        <w:t xml:space="preserve">. Briefly, approximately equal numbers of male and female conventionally-reared six-to-eight week-old C57BL/6 mice were randomly assigned to each experimental group.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Fig. 1A).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BodyText"/>
      </w:pPr>
      <w:r>
        <w:rPr>
          <w:i/>
          <w:b/>
        </w:rPr>
        <w:t xml:space="preserve">C. difficile</w:t>
      </w:r>
      <w: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str. 630 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(45)</w:t>
      </w:r>
      <w:r>
        <w:t xml:space="preserve">. In parallel, undiluted samples were heated at 60°C for 30 minutes to eliminate vegetative cells and enrich for spores</w:t>
      </w:r>
      <w:r>
        <w:t xml:space="preserve"> </w:t>
      </w:r>
      <w:r>
        <w:t xml:space="preserve">(27)</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t xml:space="preserve"> </w:t>
      </w:r>
      <w:r>
        <w:rPr>
          <w:b/>
        </w:rPr>
        <w:t xml:space="preserve">toxin titer assay.</w:t>
      </w:r>
      <w:r>
        <w:t xml:space="preserve"> </w:t>
      </w:r>
      <w:r>
        <w:t xml:space="preserve">To quantify the titer of toxin in the cecum a Vero cell (ATCC CCL-81) rounding assay was performed</w:t>
      </w:r>
      <w:r>
        <w:t xml:space="preserve"> </w:t>
      </w:r>
      <w:r>
        <w:t xml:space="preserve">(19, 46)</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an epMotion 5075 automated pipetting system (Eppendorf) with the the PowerSoil-htp 96 Well Soil DNA isolation kit (MO BIO Laboratories). The V4 region of the bacterial 16S rRNA gene was amplified using custom barcoded primers</w:t>
      </w:r>
      <w:r>
        <w:t xml:space="preserve"> </w:t>
      </w:r>
      <w:r>
        <w:t xml:space="preserve">(47)</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Previously described methods were used to extract RNA from cecal contents</w:t>
      </w:r>
      <w:r>
        <w:t xml:space="preserve"> </w:t>
      </w:r>
      <w:r>
        <w:t xml:space="preserve">(19)</w:t>
      </w:r>
      <w:r>
        <w:t xml:space="preserve">. Briefly, immediately before RNA extraction, 3 mL of lysis buffer (2% SDS, 16 mM EDTA and 200 mM NaCl) contained in a 50-mL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reagents and was repeated across 4 lanes to normalize technical variation between lanes and to obtain the necessary level of coverage</w:t>
      </w:r>
      <w:r>
        <w:t xml:space="preserve"> </w:t>
      </w:r>
      <w:r>
        <w:t xml:space="preserve">(39)</w:t>
      </w:r>
      <w:r>
        <w:t xml:space="preserve">. This resulted in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7">
        <w:r>
          <w:rPr>
            <w:rStyle w:val="Hyperlink"/>
          </w:rPr>
          <w:t xml:space="preserve">http://broadinstitute.github.io/picard/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up to 2 mismatches.</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BodyText"/>
      </w:pPr>
      <w:r>
        <w:rPr>
          <w:b/>
        </w:rPr>
        <w:t xml:space="preserve">Statistical methods.</w:t>
      </w:r>
      <w:r>
        <w:t xml:space="preserve"> </w:t>
      </w:r>
      <w:r>
        <w:t xml:space="preserve">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BodyText"/>
      </w:pPr>
      <w:r>
        <w:rPr>
          <w:b/>
        </w:rPr>
        <w:t xml:space="preserve">Data Availability.</w:t>
      </w:r>
      <w:r>
        <w:t xml:space="preserve"> </w:t>
      </w:r>
      <w: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w:t>
      </w:r>
      <w:r>
        <w:t xml:space="preserve"> </w:t>
      </w:r>
      <w:hyperlink r:id="rId28">
        <w:r>
          <w:rPr>
            <w:rStyle w:val="Hyperlink"/>
          </w:rPr>
          <w:t xml:space="preserve">https://github.com/mjenior/Jenior_Metatranscriptomics_mSphere_2018</w:t>
        </w:r>
      </w:hyperlink>
      <w:r>
        <w:t xml:space="preserve">.</w:t>
      </w:r>
    </w:p>
    <w:p>
      <w:pPr>
        <w:pStyle w:val="Heading3"/>
      </w:pPr>
      <w:bookmarkStart w:id="29" w:name="acknowledgments"/>
      <w:bookmarkEnd w:id="29"/>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pPr>
      <w:bookmarkStart w:id="30" w:name="figure-and-table-legends"/>
      <w:bookmarkEnd w:id="30"/>
      <w:r>
        <w:t xml:space="preserve">Figure and Table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 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 Points below the limit of detection were excluded from statistical testing. Nine mice were used in each experimental and control group and samples from these animals were used for all downstream analyses.</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gut microbiota community composition.</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Metabolomic markers of 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rPr>
          <w:b/>
        </w:rPr>
        <w:t xml:space="preserve">Figure 4 | Differential effects of CDI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 Genes and pathways with largest degree of change in metatranscriptome associated with CDI.</w:t>
      </w:r>
      <w:r>
        <w:t xml:space="preserve"> </w:t>
      </w:r>
      <w:r>
        <w:t xml:space="preserve">Venn diagrams showing the overlap in top 15% of differentially transcribed individual genes</w:t>
      </w:r>
      <w:r>
        <w:t xml:space="preserve"> </w:t>
      </w:r>
      <w:r>
        <w:rPr>
          <w:b/>
        </w:rPr>
        <w:t xml:space="preserve">(A)</w:t>
      </w:r>
      <w:r>
        <w:t xml:space="preserve"> </w:t>
      </w:r>
      <w:r>
        <w:t xml:space="preserve">or pathways</w:t>
      </w:r>
      <w:r>
        <w:t xml:space="preserve"> </w:t>
      </w:r>
      <w:r>
        <w:rPr>
          <w:b/>
        </w:rPr>
        <w:t xml:space="preserve">(B)</w:t>
      </w:r>
      <w:r>
        <w:t xml:space="preserve"> </w:t>
      </w:r>
      <w:r>
        <w:t xml:space="preserve">respectively in each antibiotic preatretment between CDI and mock infections. Below each venn diagram are the corresponding genes/pathways contained in the central shared regions for all three pretreatments. Solid colored bars indicated</w:t>
      </w:r>
      <w:r>
        <w:t xml:space="preserve"> </w:t>
      </w:r>
      <w:r>
        <w:rPr>
          <w:i/>
        </w:rPr>
        <w:t xml:space="preserve">C. difficile</w:t>
      </w:r>
      <w:r>
        <w:t xml:space="preserve"> </w:t>
      </w:r>
      <w:r>
        <w:t xml:space="preserve">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rPr>
          <w:b/>
        </w:rPr>
        <w:t xml:space="preserve">(A-C)</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w:t>
      </w:r>
      <w:r>
        <w:t xml:space="preserve"> </w:t>
      </w:r>
      <w:r>
        <w:rPr>
          <w:b/>
        </w:rPr>
        <w:t xml:space="preserve">(D)</w:t>
      </w:r>
      <w:r>
        <w:t xml:space="preserve"> </w:t>
      </w: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Figure 5 | Unique genes with functional annotation detectable within each metagenome and metatranscriptome</w:t>
      </w:r>
      <w:r>
        <w:t xml:space="preserve"> </w:t>
      </w:r>
      <w:r>
        <w:t xml:space="preserve">Genes in each datasets were derived from respective metagenomic assemblies, with only those genes that mapped to a KEGG pathway-level annotation. Results are shown as follows:</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of complete metatranscriptomes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Table 5 | Interquartile range of sample variances across datasets with replication generated during this study</w:t>
      </w:r>
    </w:p>
    <w:p>
      <w:pPr>
        <w:pStyle w:val="Heading3"/>
      </w:pPr>
      <w:bookmarkStart w:id="31" w:name="references"/>
      <w:bookmarkEnd w:id="31"/>
      <w:r>
        <w:t xml:space="preserve">References</w:t>
      </w:r>
    </w:p>
    <w:p>
      <w:pPr>
        <w:pStyle w:val="Bibliography"/>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ibliography"/>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ibliography"/>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ibliography"/>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ibliography"/>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ibliography"/>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ibliography"/>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ibliography"/>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ibliography"/>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ibliography"/>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ibliography"/>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ibliography"/>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ibliography"/>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ibliography"/>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ibliography"/>
      </w:pPr>
      <w:r>
        <w:t xml:space="preserve">20.</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ibliography"/>
      </w:pPr>
      <w:r>
        <w:t xml:space="preserve">21.</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ibliography"/>
      </w:pPr>
      <w:r>
        <w:t xml:space="preserve">22.</w:t>
      </w:r>
      <w:r>
        <w:t xml:space="preserve"> </w:t>
      </w:r>
      <w:r>
        <w:rPr>
          <w:b/>
        </w:rPr>
        <w:t xml:space="preserve">Segata, N.</w:t>
      </w:r>
      <w:r>
        <w:t xml:space="preserve">,</w:t>
      </w:r>
      <w:r>
        <w:t xml:space="preserve"> </w:t>
      </w:r>
      <w:r>
        <w:rPr>
          <w:b/>
        </w:rPr>
        <w:t xml:space="preserve">J. Izard</w:t>
      </w:r>
      <w:r>
        <w:t xml:space="preserve">,</w:t>
      </w:r>
      <w:r>
        <w:t xml:space="preserve"> </w:t>
      </w:r>
      <w:r>
        <w:rPr>
          <w:b/>
        </w:rPr>
        <w:t xml:space="preserve">L. Waldron</w:t>
      </w:r>
      <w:r>
        <w:t xml:space="preserve">,</w:t>
      </w:r>
      <w:r>
        <w:t xml:space="preserve"> </w:t>
      </w:r>
      <w:r>
        <w:rPr>
          <w:b/>
        </w:rPr>
        <w:t xml:space="preserve">D. Gevers</w:t>
      </w:r>
      <w:r>
        <w:t xml:space="preserve">,</w:t>
      </w:r>
      <w:r>
        <w:t xml:space="preserve"> </w:t>
      </w:r>
      <w:r>
        <w:rPr>
          <w:b/>
        </w:rPr>
        <w:t xml:space="preserve">L. Miropolsky</w:t>
      </w:r>
      <w:r>
        <w:t xml:space="preserve">,</w:t>
      </w:r>
      <w:r>
        <w:t xml:space="preserve"> </w:t>
      </w:r>
      <w:r>
        <w:rPr>
          <w:b/>
        </w:rPr>
        <w:t xml:space="preserve">W. S. Garrett</w:t>
      </w:r>
      <w:r>
        <w:t xml:space="preserve">, and</w:t>
      </w:r>
      <w:r>
        <w:t xml:space="preserve"> </w:t>
      </w:r>
      <w:r>
        <w:rPr>
          <w:b/>
        </w:rPr>
        <w:t xml:space="preserve">C. Huttenhower</w:t>
      </w:r>
      <w:r>
        <w:t xml:space="preserve">. 2011. Metagenomic biomarker discovery and explanation. Genome Biology</w:t>
      </w:r>
      <w:r>
        <w:t xml:space="preserve"> </w:t>
      </w:r>
      <w:r>
        <w:rPr>
          <w:b/>
        </w:rPr>
        <w:t xml:space="preserve">12</w:t>
      </w:r>
      <w:r>
        <w:t xml:space="preserve">:R60.</w:t>
      </w:r>
    </w:p>
    <w:p>
      <w:pPr>
        <w:pStyle w:val="Bibliography"/>
      </w:pPr>
      <w:r>
        <w:t xml:space="preserve">23.</w:t>
      </w:r>
      <w:r>
        <w:t xml:space="preserve"> </w:t>
      </w:r>
      <w:r>
        <w:rPr>
          <w:b/>
        </w:rPr>
        <w:t xml:space="preserve">Liaw, a</w:t>
      </w:r>
      <w:r>
        <w:t xml:space="preserve">, and</w:t>
      </w:r>
      <w:r>
        <w:t xml:space="preserve"> </w:t>
      </w:r>
      <w:r>
        <w:rPr>
          <w:b/>
        </w:rPr>
        <w:t xml:space="preserve">M. Wiener</w:t>
      </w:r>
      <w:r>
        <w:t xml:space="preserve">. 2002. Classification and Regression by randomForest. R news</w:t>
      </w:r>
      <w:r>
        <w:t xml:space="preserve"> </w:t>
      </w:r>
      <w:r>
        <w:rPr>
          <w:b/>
        </w:rPr>
        <w:t xml:space="preserve">2</w:t>
      </w:r>
      <w:r>
        <w:t xml:space="preserve">:18–22.</w:t>
      </w:r>
    </w:p>
    <w:p>
      <w:pPr>
        <w:pStyle w:val="Bibliography"/>
      </w:pPr>
      <w:r>
        <w:t xml:space="preserve">24.</w:t>
      </w:r>
      <w:r>
        <w:t xml:space="preserve"> </w:t>
      </w:r>
      <w:r>
        <w:rPr>
          <w:b/>
        </w:rPr>
        <w:t xml:space="preserve">Goyer, A.</w:t>
      </w:r>
      <w:r>
        <w:t xml:space="preserve">,</w:t>
      </w:r>
      <w:r>
        <w:t xml:space="preserve"> </w:t>
      </w:r>
      <w:r>
        <w:rPr>
          <w:b/>
        </w:rPr>
        <w:t xml:space="preserve">T. L. Johnson</w:t>
      </w:r>
      <w:r>
        <w:t xml:space="preserve">,</w:t>
      </w:r>
      <w:r>
        <w:t xml:space="preserve"> </w:t>
      </w:r>
      <w:r>
        <w:rPr>
          <w:b/>
        </w:rPr>
        <w:t xml:space="preserve">L. J. Olsen</w:t>
      </w:r>
      <w:r>
        <w:t xml:space="preserve">,</w:t>
      </w:r>
      <w:r>
        <w:t xml:space="preserve"> </w:t>
      </w:r>
      <w:r>
        <w:rPr>
          <w:b/>
        </w:rPr>
        <w:t xml:space="preserve">E. Collakova</w:t>
      </w:r>
      <w:r>
        <w:t xml:space="preserve">,</w:t>
      </w:r>
      <w:r>
        <w:t xml:space="preserve"> </w:t>
      </w:r>
      <w:r>
        <w:rPr>
          <w:b/>
        </w:rPr>
        <w:t xml:space="preserve">Y. Shachar-Hill</w:t>
      </w:r>
      <w:r>
        <w:t xml:space="preserve">,</w:t>
      </w:r>
      <w:r>
        <w:t xml:space="preserve"> </w:t>
      </w:r>
      <w:r>
        <w:rPr>
          <w:b/>
        </w:rPr>
        <w:t xml:space="preserve">D. Rhodes</w:t>
      </w:r>
      <w:r>
        <w:t xml:space="preserve">, and</w:t>
      </w:r>
      <w:r>
        <w:t xml:space="preserve"> </w:t>
      </w:r>
      <w:r>
        <w:rPr>
          <w:b/>
        </w:rPr>
        <w:t xml:space="preserve">A. D. Hanson</w:t>
      </w:r>
      <w:r>
        <w:t xml:space="preserve">. 2004. Characterization and Metabolic Function of a Peroxisomal Sarcosine and Pipecolate Oxidase from Arabidopsis. Journal of Biological Chemistry</w:t>
      </w:r>
      <w:r>
        <w:t xml:space="preserve"> </w:t>
      </w:r>
      <w:r>
        <w:rPr>
          <w:b/>
        </w:rPr>
        <w:t xml:space="preserve">279</w:t>
      </w:r>
      <w:r>
        <w:t xml:space="preserve">:16947–16953.</w:t>
      </w:r>
    </w:p>
    <w:p>
      <w:pPr>
        <w:pStyle w:val="Bibliography"/>
      </w:pPr>
      <w:r>
        <w:t xml:space="preserve">25.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 Clostridium sticklandii, a specialist in amino acid degradation:revisiting its metabolism through its genome sequence. BMC genomics</w:t>
      </w:r>
      <w:r>
        <w:t xml:space="preserve"> </w:t>
      </w:r>
      <w:r>
        <w:rPr>
          <w:b/>
        </w:rPr>
        <w:t xml:space="preserve">11</w:t>
      </w:r>
      <w:r>
        <w:t xml:space="preserve">:555.</w:t>
      </w:r>
    </w:p>
    <w:p>
      <w:pPr>
        <w:pStyle w:val="Bibliography"/>
      </w:pPr>
      <w:r>
        <w:t xml:space="preserve">26.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27.</w:t>
      </w:r>
      <w:r>
        <w:t xml:space="preserve"> </w:t>
      </w:r>
      <w:r>
        <w:rPr>
          <w:b/>
        </w:rPr>
        <w:t xml:space="preserve">Sorg, J. A.</w:t>
      </w:r>
      <w:r>
        <w:t xml:space="preserve">, and</w:t>
      </w:r>
      <w:r>
        <w:t xml:space="preserve"> </w:t>
      </w:r>
      <w:r>
        <w:rPr>
          <w:b/>
        </w:rPr>
        <w:t xml:space="preserve">A. L. Sonenshein</w:t>
      </w:r>
      <w:r>
        <w:t xml:space="preserve">. 2010. Inhibiting the initiation of Clostridium difficile spore germination using analogs of chenodeoxycholic acid, a bile acid. Journal of Bacteriology</w:t>
      </w:r>
      <w:r>
        <w:t xml:space="preserve"> </w:t>
      </w:r>
      <w:r>
        <w:rPr>
          <w:b/>
        </w:rPr>
        <w:t xml:space="preserve">192</w:t>
      </w:r>
      <w:r>
        <w:t xml:space="preserve">:4983–4990.</w:t>
      </w:r>
    </w:p>
    <w:p>
      <w:pPr>
        <w:pStyle w:val="Bibliography"/>
      </w:pPr>
      <w:r>
        <w:t xml:space="preserve">28.</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ibliography"/>
      </w:pPr>
      <w:r>
        <w:t xml:space="preserve">29.</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 Clostridium difficile 630</w:t>
      </w:r>
      <m:oMath>
        <m:r>
          <m:t>Δ</m:t>
        </m:r>
      </m:oMath>
      <w:r>
        <w:t xml:space="preserve">erm and concomitant fermentation product and toxin formation. BMC Microbiology 281.</w:t>
      </w:r>
    </w:p>
    <w:p>
      <w:pPr>
        <w:pStyle w:val="Bibliography"/>
      </w:pPr>
      <w:r>
        <w:t xml:space="preserve">30.</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31.</w:t>
      </w:r>
      <w:r>
        <w:t xml:space="preserve"> </w:t>
      </w:r>
      <w:r>
        <w:rPr>
          <w:b/>
        </w:rPr>
        <w:t xml:space="preserve">Ilari, A.</w:t>
      </w:r>
      <w:r>
        <w:t xml:space="preserve">,</w:t>
      </w:r>
      <w:r>
        <w:t xml:space="preserve"> </w:t>
      </w:r>
      <w:r>
        <w:rPr>
          <w:b/>
        </w:rPr>
        <w:t xml:space="preserve">S. Stefanini</w:t>
      </w:r>
      <w:r>
        <w:t xml:space="preserve">,</w:t>
      </w:r>
      <w:r>
        <w:t xml:space="preserve"> </w:t>
      </w:r>
      <w:r>
        <w:rPr>
          <w:b/>
        </w:rPr>
        <w:t xml:space="preserve">E. Chiancone</w:t>
      </w:r>
      <w:r>
        <w:t xml:space="preserve">, and</w:t>
      </w:r>
      <w:r>
        <w:t xml:space="preserve"> </w:t>
      </w:r>
      <w:r>
        <w:rPr>
          <w:b/>
        </w:rPr>
        <w:t xml:space="preserve">D. Tsernoglou</w:t>
      </w:r>
      <w:r>
        <w:t xml:space="preserve">. 2000. The dodecameric ferritin from Listeria innocua contains a novel intersubunit iron-binding site. Nature Structural Biology</w:t>
      </w:r>
      <w:r>
        <w:t xml:space="preserve"> </w:t>
      </w:r>
      <w:r>
        <w:rPr>
          <w:b/>
        </w:rPr>
        <w:t xml:space="preserve">7</w:t>
      </w:r>
      <w:r>
        <w:t xml:space="preserve">:38–43.</w:t>
      </w:r>
    </w:p>
    <w:p>
      <w:pPr>
        <w:pStyle w:val="Bibliography"/>
      </w:pPr>
      <w:r>
        <w:t xml:space="preserve">32.</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ibliography"/>
      </w:pPr>
      <w:r>
        <w:t xml:space="preserve">33.</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ibliography"/>
      </w:pPr>
      <w:r>
        <w:t xml:space="preserve">34.</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ibliography"/>
      </w:pPr>
      <w:r>
        <w:t xml:space="preserve">35.</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ibliography"/>
      </w:pPr>
      <w:r>
        <w:t xml:space="preserve">36.</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ibliography"/>
      </w:pPr>
      <w:r>
        <w:t xml:space="preserve">37.</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ibliography"/>
      </w:pPr>
      <w:r>
        <w:t xml:space="preserve">38.</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ibliography"/>
      </w:pPr>
      <w:r>
        <w:t xml:space="preserve">39.</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ibliography"/>
      </w:pPr>
      <w:r>
        <w:t xml:space="preserve">40.</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ibliography"/>
      </w:pPr>
      <w:r>
        <w:t xml:space="preserve">41.</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ibliography"/>
      </w:pPr>
      <w:r>
        <w:t xml:space="preserve">42.</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ibliography"/>
      </w:pPr>
      <w:r>
        <w:t xml:space="preserve">43.</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ibliography"/>
      </w:pPr>
      <w:r>
        <w:t xml:space="preserve">44.</w:t>
      </w:r>
      <w:r>
        <w:t xml:space="preserve"> </w:t>
      </w:r>
      <w:r>
        <w:rPr>
          <w:b/>
        </w:rPr>
        <w:t xml:space="preserve">Adlerberth, I.</w:t>
      </w:r>
      <w:r>
        <w:t xml:space="preserve">,</w:t>
      </w:r>
      <w:r>
        <w:t xml:space="preserve"> </w:t>
      </w:r>
      <w:r>
        <w:rPr>
          <w:b/>
        </w:rPr>
        <w:t xml:space="preserve">H. Huang</w:t>
      </w:r>
      <w:r>
        <w:t xml:space="preserve">,</w:t>
      </w:r>
      <w:r>
        <w:t xml:space="preserve"> </w:t>
      </w:r>
      <w:r>
        <w:rPr>
          <w:b/>
        </w:rPr>
        <w:t xml:space="preserve">E. Lindberg</w:t>
      </w:r>
      <w:r>
        <w:t xml:space="preserve">,</w:t>
      </w:r>
      <w:r>
        <w:t xml:space="preserve"> </w:t>
      </w:r>
      <w:r>
        <w:rPr>
          <w:b/>
        </w:rPr>
        <w:t xml:space="preserve">N. Åberg</w:t>
      </w:r>
      <w:r>
        <w:t xml:space="preserve">,</w:t>
      </w:r>
      <w:r>
        <w:t xml:space="preserve"> </w:t>
      </w:r>
      <w:r>
        <w:rPr>
          <w:b/>
        </w:rPr>
        <w:t xml:space="preserve">B. Hesselmar</w:t>
      </w:r>
      <w:r>
        <w:t xml:space="preserve">,</w:t>
      </w:r>
      <w:r>
        <w:t xml:space="preserve"> </w:t>
      </w:r>
      <w:r>
        <w:rPr>
          <w:b/>
        </w:rPr>
        <w:t xml:space="preserve">R. Saalman</w:t>
      </w:r>
      <w:r>
        <w:t xml:space="preserve">,</w:t>
      </w:r>
      <w:r>
        <w:t xml:space="preserve"> </w:t>
      </w:r>
      <w:r>
        <w:rPr>
          <w:b/>
        </w:rPr>
        <w:t xml:space="preserve">C. E. Nord</w:t>
      </w:r>
      <w:r>
        <w:t xml:space="preserve">,</w:t>
      </w:r>
      <w:r>
        <w:t xml:space="preserve"> </w:t>
      </w:r>
      <w:r>
        <w:rPr>
          <w:b/>
        </w:rPr>
        <w:t xml:space="preserve">A. E. Wold</w:t>
      </w:r>
      <w:r>
        <w:t xml:space="preserve">, and</w:t>
      </w:r>
      <w:r>
        <w:t xml:space="preserve"> </w:t>
      </w:r>
      <w:r>
        <w:rPr>
          <w:b/>
        </w:rPr>
        <w:t xml:space="preserve">A. Weintraubb</w:t>
      </w:r>
      <w:r>
        <w:t xml:space="preserve">. 2014. Toxin-Producing clostridium difficile strains as long-term gut colonizers in healthy infants. Journal of Clinical Microbiology</w:t>
      </w:r>
      <w:r>
        <w:t xml:space="preserve"> </w:t>
      </w:r>
      <w:r>
        <w:rPr>
          <w:b/>
        </w:rPr>
        <w:t xml:space="preserve">52</w:t>
      </w:r>
      <w:r>
        <w:t xml:space="preserve">:173–179.</w:t>
      </w:r>
    </w:p>
    <w:p>
      <w:pPr>
        <w:pStyle w:val="Bibliography"/>
      </w:pPr>
      <w:r>
        <w:t xml:space="preserve">45.</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ibliography"/>
      </w:pPr>
      <w:r>
        <w:t xml:space="preserve">46.</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 Clostridium difficile 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47.</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48.</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ibliography"/>
      </w:pPr>
      <w:r>
        <w:t xml:space="preserve">49.</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ibliography"/>
      </w:pPr>
      <w:r>
        <w:t xml:space="preserve">50.</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ibliography"/>
      </w:pPr>
      <w:r>
        <w:t xml:space="preserve">51.</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ibliography"/>
      </w:pPr>
      <w:r>
        <w:t xml:space="preserve">52.</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53.</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ibliography"/>
      </w:pPr>
      <w:r>
        <w:t xml:space="preserve">54.</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ibliography"/>
      </w:pPr>
      <w:r>
        <w:t xml:space="preserve">55.</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56.</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Bibliography"/>
      </w:pPr>
      <w:r>
        <w:t xml:space="preserve">57.</w:t>
      </w:r>
      <w:r>
        <w:t xml:space="preserve"> </w:t>
      </w:r>
      <w:r>
        <w:rPr>
          <w:b/>
        </w:rPr>
        <w:t xml:space="preserve">Segal, M. R.</w:t>
      </w:r>
      <w:r>
        <w:t xml:space="preserve"> </w:t>
      </w:r>
      <w:r>
        <w:t xml:space="preserve">2004. Machine Learning Benchmarks and Random Forest Regression. Biostatistics 1–14.</w:t>
      </w:r>
    </w:p>
    <w:sectPr w:rsidR="00700590"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ca305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1212"/>
    <w:pPr>
      <w:spacing w:before="180" w:after="180" w:line="480" w:lineRule="auto"/>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413FBC"/>
    <w:pPr>
      <w:keepNext/>
      <w:keepLines/>
      <w:pageBreakBefore/>
      <w:spacing w:after="36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autoRedefine/>
    <w:uiPriority w:val="9"/>
    <w:unhideWhenUsed/>
    <w:qFormat/>
    <w:rsid w:val="00700590"/>
    <w:pPr>
      <w:keepNext/>
      <w:keepLines/>
      <w:pageBreakBefore/>
      <w:spacing w:before="200" w:after="0"/>
      <w:outlineLvl w:val="4"/>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s://github.com/mjenior/Jenior_Metatranscriptomics_mSphere_2018"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s://github.com/mjenior/Jenior_Metatranscriptomics_mSphere_2018"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458</Words>
  <Characters>2615</Characters>
  <Application>Microsoft Office Word</Application>
  <DocSecurity>0</DocSecurity>
  <Lines>21</Lines>
  <Paragraphs>6</Paragraphs>
  <ScaleCrop>false</ScaleCrop>
  <Company>University of Michigan Medical School</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initial infection to promote sustained colonization</dc:title>
  <dc:creator/>
  <dcterms:created xsi:type="dcterms:W3CDTF">2018-03-26T23:28:15Z</dcterms:created>
  <dcterms:modified xsi:type="dcterms:W3CDTF">2018-03-26T23:28:15Z</dcterms:modified>
</cp:coreProperties>
</file>