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i w:val="false"/>
          <w:i w:val="false"/>
          <w:iCs w:val="false"/>
        </w:rPr>
      </w:pPr>
      <w:bookmarkStart w:id="0" w:name="__DdeLink__27_258085862"/>
      <w:bookmarkStart w:id="1" w:name="__DdeLink__7619_529621234"/>
      <w:bookmarkEnd w:id="0"/>
      <w:bookmarkEnd w:id="1"/>
      <w:r>
        <w:rPr>
          <w:b w:val="false"/>
          <w:bCs w:val="false"/>
          <w:i w:val="false"/>
          <w:i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0.001).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corbon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S5).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metbolomic-level. As disparate bacterial taxa possess vastly different metabolic capabilities, and antibiotic induced 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catagories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Table S1).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w:t>
      </w:r>
      <w:r>
        <w:rPr/>
        <w:t>(release 132)</w:t>
      </w:r>
      <w:r>
        <w:rPr/>
        <w:t xml:space="preserve">.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r>
        <w:rPr>
          <w:b/>
        </w:rPr>
        <w:t>(C)</w:t>
      </w:r>
      <w:r>
        <w:rPr/>
        <w:t xml:space="preserve"> Relative abundance of family-level OTU taxonomic classification in each pretreatment group.</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metabolome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39</Pages>
  <Words>9777</Words>
  <Characters>57929</Characters>
  <CharactersWithSpaces>67557</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2018-04-22T14:32:32Z</dcterms:created>
  <dc:creator/>
  <dc:description/>
  <dc:language>en-US</dc:language>
  <cp:lastModifiedBy/>
  <dcterms:modified xsi:type="dcterms:W3CDTF">2018-04-22T14:11:00Z</dcterms:modified>
  <cp:revision>3</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