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spacing w:before="300" w:after="0"/>
        <w:rPr/>
      </w:pPr>
      <w:bookmarkStart w:id="0" w:name="title"/>
      <w:bookmarkEnd w:id="0"/>
      <w:r>
        <w:rPr/>
        <w:t>Title:</w:t>
      </w:r>
    </w:p>
    <w:p>
      <w:pPr>
        <w:pStyle w:val="Normal"/>
        <w:rPr/>
      </w:pPr>
      <w:r>
        <w:rPr>
          <w:i/>
        </w:rPr>
        <w:t>Clostridium difficile</w:t>
      </w:r>
      <w:r>
        <w:rPr/>
        <w:t xml:space="preserve"> alters the structure and metabolism of distinct cecal microbiomes during initial infection to promote sustained colonization</w:t>
      </w:r>
    </w:p>
    <w:p>
      <w:pPr>
        <w:pStyle w:val="Heading5"/>
        <w:rPr/>
      </w:pPr>
      <w:bookmarkStart w:id="1" w:name="authors"/>
      <w:bookmarkEnd w:id="1"/>
      <w:r>
        <w:rPr/>
        <w:t>Authors:</w:t>
      </w:r>
    </w:p>
    <w:p>
      <w:pPr>
        <w:pStyle w:val="Normal"/>
        <w:rPr/>
      </w:pPr>
      <w:r>
        <w:rPr/>
        <w:t>Matthew L. Jenior</w:t>
      </w:r>
      <w:r>
        <w:rPr>
          <w:vertAlign w:val="superscript"/>
        </w:rPr>
        <w:t>1</w:t>
      </w:r>
      <w:r>
        <w:rPr/>
        <w:t>, Jhansi L. Leslie</w:t>
      </w:r>
      <w:r>
        <w:rPr>
          <w:vertAlign w:val="superscript"/>
        </w:rPr>
        <w:t>1</w:t>
      </w:r>
      <w:r>
        <w:rPr/>
        <w:t>, Vincent B. Young</w:t>
      </w:r>
      <w:r>
        <w:rPr>
          <w:vertAlign w:val="superscript"/>
        </w:rPr>
        <w:t>1,2</w:t>
      </w:r>
      <w:r>
        <w:rPr/>
        <w:t>, and Patrick D. Schloss</w:t>
      </w:r>
      <w:r>
        <w:rPr>
          <w:vertAlign w:val="superscript"/>
        </w:rPr>
        <w:t>1*</w:t>
      </w:r>
    </w:p>
    <w:p>
      <w:pPr>
        <w:pStyle w:val="Compact"/>
        <w:numPr>
          <w:ilvl w:val="0"/>
          <w:numId w:val="1"/>
        </w:numPr>
        <w:rPr/>
      </w:pPr>
      <w:r>
        <w:rPr/>
        <w:t>Department of Microbiology and Immunology, University of Michigan, Ann Arbor, Michigan</w:t>
      </w:r>
    </w:p>
    <w:p>
      <w:pPr>
        <w:pStyle w:val="Compact"/>
        <w:numPr>
          <w:ilvl w:val="0"/>
          <w:numId w:val="1"/>
        </w:numPr>
        <w:rPr/>
      </w:pPr>
      <w:r>
        <w:rPr/>
        <w:t>Department of Internal Medicine/Infectious Diseases Division, University of Michigan Medical Center, Ann Arbor, Michigan</w:t>
      </w:r>
    </w:p>
    <w:p>
      <w:pPr>
        <w:pStyle w:val="Normal"/>
        <w:rPr/>
      </w:pPr>
      <w:r>
        <w:rPr/>
        <w:t xml:space="preserve"> </w:t>
      </w:r>
    </w:p>
    <w:p>
      <w:pPr>
        <w:pStyle w:val="TextBody"/>
        <w:rPr/>
      </w:pPr>
      <w:r>
        <w:rPr/>
        <w:t xml:space="preserve">* Correspondence to Patrick D. Schloss at </w:t>
      </w:r>
      <w:hyperlink r:id="rId2">
        <w:r>
          <w:rPr>
            <w:rStyle w:val="InternetLink"/>
          </w:rPr>
          <w:t>pschloss@umich.edu</w:t>
        </w:r>
      </w:hyperlink>
    </w:p>
    <w:p>
      <w:pPr>
        <w:pStyle w:val="Heading3"/>
        <w:rPr/>
      </w:pPr>
      <w:bookmarkStart w:id="2" w:name="abstract"/>
      <w:bookmarkEnd w:id="2"/>
      <w:r>
        <w:rPr/>
        <w:t>Abstract</w:t>
      </w:r>
    </w:p>
    <w:p>
      <w:pPr>
        <w:pStyle w:val="Normal"/>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had significantly larger impacts on the metabolic environment across cefoperazone and streptomycin-pretreated mice, which become persistently colonized compared to clindamycin-pretreated mice where infection quickly became undetectable. Through metagenome-enabled metatranscriptomics we observed that transcripts for genes associated with carbon and energy acquisition were greatly reduced in infected animals, suggesting those niches were instead occupied by </w:t>
      </w:r>
      <w:r>
        <w:rPr>
          <w:i/>
        </w:rPr>
        <w:t>C. difficile</w:t>
      </w:r>
      <w:r>
        <w:rPr/>
        <w:t xml:space="preserve">. Furthermore, the largest changes in transcription were seen in the least abundant species indicating that </w:t>
      </w:r>
      <w:r>
        <w:rPr>
          <w:i/>
        </w:rPr>
        <w:t>C. difficile</w:t>
      </w:r>
      <w:r>
        <w:rPr/>
        <w:t xml:space="preserve"> may “attack the loser” in gut environments where sustained infection occurs more readily. Overall, our results suggest that </w:t>
      </w:r>
      <w:r>
        <w:rPr>
          <w:i/>
        </w:rPr>
        <w:t>C. difficile</w:t>
      </w:r>
      <w:r>
        <w:rPr/>
        <w:t xml:space="preserve"> is able to restructure the nutrient-niche landscape in the gut to promote persistent infection.</w:t>
      </w:r>
    </w:p>
    <w:p>
      <w:pPr>
        <w:pStyle w:val="Heading4"/>
        <w:rPr/>
      </w:pPr>
      <w:bookmarkStart w:id="3" w:name="importance"/>
      <w:bookmarkEnd w:id="3"/>
      <w:r>
        <w:rPr/>
        <w:t>Importance</w:t>
      </w:r>
    </w:p>
    <w:p>
      <w:pPr>
        <w:pStyle w:val="Normal"/>
        <w:rPr/>
      </w:pPr>
      <w:r>
        <w:rPr>
          <w:i/>
        </w:rPr>
        <w:t>Clostridium difficile</w:t>
      </w:r>
      <w:r>
        <w:rPr/>
        <w:t xml:space="preserve"> has become the most common single cause of hospital-acquired infection over the last decade in the United States. Colonization resistance to the nosocomial pathogen is primarily provided by the gut microbiota, which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varied in clearance rate. To assess community-level dynamics, we implemented an integrative multi-omic approach that revealed that infection significantly changed many aspects of the gut community. The degree to which the community changed was inversely correlated with clearance during the first six days of infection, suggesting that </w:t>
      </w:r>
      <w:r>
        <w:rPr>
          <w:i/>
        </w:rPr>
        <w:t>C. difficile</w:t>
      </w:r>
      <w:r>
        <w:rPr/>
        <w:t xml:space="preserve"> differentially modifies the gut environment to promote persistence. This is the first time metagenome-enabled metatranscriptomics have been employed to study the behavior of a host-associated microbiota in response to an infection. Our results allow for a previously unseen understanding of the ecology associated with </w:t>
      </w:r>
      <w:r>
        <w:rPr>
          <w:i/>
        </w:rPr>
        <w:t>C. difficile</w:t>
      </w:r>
      <w:r>
        <w:rPr/>
        <w:t xml:space="preserve"> infection and provides groundwork for identification of context-specific probiotic therapies.</w:t>
      </w:r>
    </w:p>
    <w:p>
      <w:pPr>
        <w:pStyle w:val="Heading3"/>
        <w:rPr/>
      </w:pPr>
      <w:bookmarkStart w:id="4" w:name="introduction"/>
      <w:bookmarkEnd w:id="4"/>
      <w:r>
        <w:rPr/>
        <w:t>Introduction</w:t>
      </w:r>
    </w:p>
    <w:p>
      <w:pPr>
        <w:pStyle w:val="Normal"/>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United States annually (5). Antibiotics are a major risk factor for CDI and are thought to increase susceptibility by disrupting the gut bacterial community structure; however, it is still unclear what specific changes to the microbiota contribute to this susceptibility (6, 7). Although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 portions of its metabolism to fit alternative nutrient niche landscapes.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transcription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of the differential, combined effects of antibiotics and CDI on the gut microbiota to develop more successful targeted therapies that eliminate </w:t>
      </w:r>
      <w:r>
        <w:rPr>
          <w:i/>
        </w:rPr>
        <w:t>C. difficile</w:t>
      </w:r>
      <w:r>
        <w:rPr/>
        <w:t xml:space="preserve"> colonization.</w:t>
      </w:r>
    </w:p>
    <w:p>
      <w:pPr>
        <w:pStyle w:val="Heading3"/>
        <w:rPr/>
      </w:pPr>
      <w:bookmarkStart w:id="5" w:name="results"/>
      <w:bookmarkEnd w:id="5"/>
      <w:r>
        <w:rPr/>
        <w:t>Results</w:t>
      </w:r>
    </w:p>
    <w:p>
      <w:pPr>
        <w:pStyle w:val="Heading4"/>
        <w:rPr/>
      </w:pPr>
      <w:bookmarkStart w:id="6" w:name="distinct-antibiotic-pretreatments-are-associated-with-alternative-community-structures-that-are-equally-susceptible-to-initial-c.-difficile-colonization-but-differ-in-patterns-of-clearance."/>
      <w:bookmarkEnd w:id="6"/>
      <w:r>
        <w:rPr/>
        <w:t xml:space="preserve">Distinct antibiotic pretreatments are associated with alternative community structures that are equally susceptible to initial </w:t>
      </w:r>
      <w:r>
        <w:rPr>
          <w:i/>
        </w:rPr>
        <w:t>C. difficile</w:t>
      </w:r>
      <w:r>
        <w:rPr/>
        <w:t xml:space="preserve"> colonization, but differ in patterns of clearance.</w:t>
      </w:r>
    </w:p>
    <w:p>
      <w:pPr>
        <w:pStyle w:val="Normal"/>
        <w:rPr/>
      </w:pPr>
      <w:r>
        <w:rPr/>
        <w:t xml:space="preserve">We have previously shown that when conventionally-reared SPF mice were pretreated with one of three different antibiotics (streptomycin, cefoperazone, and clindamycin; Table S1), each pretreatment was associated with altered patterns of </w:t>
      </w:r>
      <w:r>
        <w:rPr>
          <w:i/>
        </w:rPr>
        <w:t>C. difficile</w:t>
      </w:r>
      <w:r>
        <w:rPr/>
        <w:t xml:space="preserve"> virulence factor expression (19). These antibiotics were chosen for not only the ability to to reduce </w:t>
      </w:r>
      <w:r>
        <w:rPr>
          <w:i/>
        </w:rPr>
        <w:t>C. difficile</w:t>
      </w:r>
      <w:r>
        <w:rPr/>
        <w:t xml:space="preserve"> colonization resistance in a mouse model (18), but also for distinct and significant impacts on the structure and diversity of the cecal microbiota (Fig. 1A) (19). In each antibiotic pretreatment, we observed equally high levels of </w:t>
      </w:r>
      <w:r>
        <w:rPr>
          <w:i/>
        </w:rPr>
        <w:t>C. difficile</w:t>
      </w:r>
      <w:r>
        <w:rPr/>
        <w:t xml:space="preserve"> colonization on the day after infection, however, over the subsequent 9 days the amount of </w:t>
      </w:r>
      <w:r>
        <w:rPr>
          <w:i/>
        </w:rPr>
        <w:t>C. difficile</w:t>
      </w:r>
      <w:r>
        <w:rPr/>
        <w:t xml:space="preserve"> in the feces of clindamycin-pretreated mice were the only mice to fall below the limit of detection, while mice receiving the other pretreatments remained highly colonized (</w:t>
      </w:r>
      <w:r>
        <w:rPr>
          <w:i/>
        </w:rPr>
        <w:t>p</w:t>
      </w:r>
      <w:r>
        <w:rPr/>
        <w:t xml:space="preserve"> = 0.01; Fig. 1A). We hypothesized that this occurred in the clindamycin-pretreated mice because the perturbed intestinal community occupied niche space that overlapped with that of </w:t>
      </w:r>
      <w:r>
        <w:rPr>
          <w:i/>
        </w:rPr>
        <w:t>C. difficile</w:t>
      </w:r>
      <w:r>
        <w:rPr/>
        <w:t>.</w:t>
      </w:r>
    </w:p>
    <w:p>
      <w:pPr>
        <w:pStyle w:val="TextBody"/>
        <w:rPr/>
      </w:pPr>
      <w:r>
        <w:rPr/>
        <w:t xml:space="preserve">We chose to focus our remaining experiments on cecal samples collected 18 hours after 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(20). We also elected to examine cecal content because it was more likely to be a site of active bacterial metabolism compared to stool and would allow for an assessment of functional differences in the microbiota. At 18 hours after infection, we found that the communities remained highly differentiated from untreated controls as measured by 16S rRNA gene sequencing of the V4 region (Fig. 1B). The composition of streptomycin-pretreated communities was more variable between cages, but was generally enriched for members of the </w:t>
      </w:r>
      <w:r>
        <w:rPr>
          <w:i/>
        </w:rPr>
        <w:t>Bacteroidetes</w:t>
      </w:r>
      <w:r>
        <w:rPr/>
        <w:t xml:space="preserve"> phylum.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Despite variation in the community structures, there were no significant differences in the number of vegetative cells between any antibiotic-pretreatment group (Fig. 1C).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We have also previously demonstrated that both </w:t>
      </w:r>
      <w:r>
        <w:rPr>
          <w:i/>
        </w:rPr>
        <w:t>C. difficile</w:t>
      </w:r>
      <w:r>
        <w:rPr/>
        <w:t xml:space="preserve"> spore production and toxin activity differ between these pretreatment regimes (19). As both processes have been linked to environmental concentrations of specific growth nutrients (21), these results suggested that despite high initial </w:t>
      </w:r>
      <w:r>
        <w:rPr>
          <w:i/>
        </w:rPr>
        <w:t>C. difficile</w:t>
      </w:r>
      <w:r>
        <w:rPr/>
        <w:t xml:space="preserve"> colonization the microbiomes across pretreatments may vary in available nutrients or profiles of competitors for those niches.</w:t>
      </w:r>
    </w:p>
    <w:p>
      <w:pPr>
        <w:pStyle w:val="Heading4"/>
        <w:rPr/>
      </w:pPr>
      <w:bookmarkStart w:id="7" w:name="multiple-biological-signatures-in-the-bacterial-community-and-metabolome-differentiated-cecal-microbiomes-that-remained-colonized-by-c.-difficile-from-those-that-did-not."/>
      <w:bookmarkEnd w:id="7"/>
      <w:r>
        <w:rPr/>
        <w:t xml:space="preserve">Multiple biological signatures in the bacterial community and metabolome differentiated cecal microbiomes that remained colonized by </w:t>
      </w:r>
      <w:r>
        <w:rPr>
          <w:i/>
        </w:rPr>
        <w:t>C. difficile</w:t>
      </w:r>
      <w:r>
        <w:rPr/>
        <w:t xml:space="preserve"> from those that did not.</w:t>
      </w:r>
    </w:p>
    <w:p>
      <w:pPr>
        <w:pStyle w:val="Normal"/>
        <w:rPr/>
      </w:pPr>
      <w:r>
        <w:rPr/>
        <w:t xml:space="preserve">Pretreatment with antibiotics not only alters the structure of the resident microbiota, but also has a dramatic impact on the intestinal metabolome (11–13). To understand the ramifications each antibiotic had on the cecal metabolomic environment, we performed untargeted metabolomic analysis on the cecal contents that were also utilized in the 16S rRNA gene sequencing. We identified a total of 727 distinct metabolites. In combination with our 16S rRNA gene sequencing results, we first characterized the differences between the microbiomes (i.e. the microbiota, plus the associated metabolome) of the mock-infected animals to quantify possible drivers of communities that cleared the infection. To focus our analysis on ascertaining changes in discrete populations within the microbiota, we generated operational taxonomic units (OTUs) clustered at 97% similarity. We also removed all </w:t>
      </w:r>
      <w:r>
        <w:rPr>
          <w:i/>
        </w:rPr>
        <w:t>C. difficile</w:t>
      </w:r>
      <w:r>
        <w:rPr/>
        <w:t xml:space="preserve"> 16S rRNA gene sequences, which represented an average of 2.113% sequencing reads across infection groups to eliminate its direct impact in downstream calculation. Using these methods we discovered that the Bray-Curtis dissimilarity of both the community structure (</w:t>
      </w:r>
      <w:r>
        <w:rPr>
          <w:i/>
        </w:rPr>
        <w:t>p</w:t>
      </w:r>
      <w:r>
        <w:rPr/>
        <w:t xml:space="preserve"> &lt; 0.001) and metabolome (</w:t>
      </w:r>
      <w:r>
        <w:rPr>
          <w:i/>
        </w:rPr>
        <w:t>p</w:t>
      </w:r>
      <w:r>
        <w:rPr/>
        <w:t xml:space="preserve"> &lt; 0.001) were significantly different between cleared and colonized groups during the early stages of infection (Fig. 2A &amp; 2C). These results supported the hypothesis that the cecal environment created by clindamycin pretreatment was highly divergent from the other groups, and likely contributed to the clearance seen in the subsequent days.</w:t>
      </w:r>
    </w:p>
    <w:p>
      <w:pPr>
        <w:pStyle w:val="TextBody"/>
        <w:rPr/>
      </w:pPr>
      <w:r>
        <w:rPr/>
        <w:t xml:space="preserve">To identify the populations and metabolites that were associated with sustained colonization, we utilized Random Forest machine learning with cross validation to identify the smallest optimal subset of features that could successfully differentiate microbiomes that clear infection and and those that remain colonized (22). We identified a model with 5 OTUs that correctly classified all samples to their corresponding groups (Fig. 2B; Out-of-bag error=0%). Interestingly, these OTUs were not consistently abundant in antibiotic-pretreated communities. Similarly, when we used the same approach with the metabolomic data, we identified a model that used 5 metabolites that correctly differentiated the groups (Fig. 2D; Out-of-bag error=0%). Together these results further supported the hypothesis that the environment of the cecum, even early during infection, is distinct between groups that clear the infection and those that maintain </w:t>
      </w:r>
      <w:r>
        <w:rPr>
          <w:i/>
        </w:rPr>
        <w:t>C. difficile</w:t>
      </w:r>
      <w:r>
        <w:rPr/>
        <w:t xml:space="preserve"> at high levels. Furthermore, results from machine learning analysis suggest that rare members of the communities had a disproportionate influence on the clearance patterns observed between pretreatment regimes and that changes in community structure may be less consistent than changes in the metatransciptome or metabolome.</w:t>
      </w:r>
    </w:p>
    <w:p>
      <w:pPr>
        <w:pStyle w:val="Heading4"/>
        <w:rPr/>
      </w:pPr>
      <w:bookmarkStart w:id="8" w:name="amino-acid-metabolism-by-c.-difficile-appears-important-for-sustained-colonization-across-susceptible-environments."/>
      <w:bookmarkEnd w:id="8"/>
      <w:r>
        <w:rPr/>
        <w:t xml:space="preserve">Amino-acid metabolism by </w:t>
      </w:r>
      <w:r>
        <w:rPr>
          <w:i/>
        </w:rPr>
        <w:t>C. difficile</w:t>
      </w:r>
      <w:r>
        <w:rPr/>
        <w:t xml:space="preserve"> appears important for sustained colonization across susceptible environments.</w:t>
      </w:r>
    </w:p>
    <w:p>
      <w:pPr>
        <w:pStyle w:val="Normal"/>
        <w:rPr/>
      </w:pPr>
      <w:r>
        <w:rPr>
          <w:i/>
        </w:rPr>
        <w:t>C. difficile</w:t>
      </w:r>
      <w:r>
        <w:rPr/>
        <w:t xml:space="preserve">’s ability to metabolize amino acids via Stickland fermentation may be a critical nutrient niche that enables it to colonize some perturbed communities (23). We were curious whether this behavior was conserved across multiple distinct gut environments where </w:t>
      </w:r>
      <w:r>
        <w:rPr>
          <w:i/>
        </w:rPr>
        <w:t>C. difficile</w:t>
      </w:r>
      <w:r>
        <w:rPr/>
        <w:t xml:space="preserve"> was able to colonize. We assessed the changes between the antibiotic-pretreated, mock-infected microbiomes and those of untreated, </w:t>
      </w:r>
      <w:r>
        <w:rPr>
          <w:i/>
        </w:rPr>
        <w:t>C. difficile</w:t>
      </w:r>
      <w:r>
        <w:rPr/>
        <w:t xml:space="preserve">-resistant animals. Not only were the relative abundances of Stickland fermentation substrates increased across susceptible environments, but several secondary bile acids, which have been shown to be negatively correlated with </w:t>
      </w:r>
      <w:r>
        <w:rPr>
          <w:i/>
        </w:rPr>
        <w:t>C. difficile</w:t>
      </w:r>
      <w:r>
        <w:rPr/>
        <w:t xml:space="preserve"> susceptibility were significantly decreased (Fig. S1D; </w:t>
      </w:r>
      <w:r>
        <w:rPr>
          <w:i/>
        </w:rPr>
        <w:t>p</w:t>
      </w:r>
      <w:r>
        <w:rPr/>
        <w:t xml:space="preserve"> &lt; 0.001). Additionally, when we constructed a Random Forest classification model to differentiate the groups, we identified multiple members of the </w:t>
      </w:r>
      <w:r>
        <w:rPr>
          <w:i/>
        </w:rPr>
        <w:t>Clostridia</w:t>
      </w:r>
      <w:r>
        <w:rPr/>
        <w:t xml:space="preserve"> which are capable of metabolizing amino acids for growth (24). The relative abundances of these populations were significantly lower in susceptible animals (Fig. S1B; </w:t>
      </w:r>
      <w:r>
        <w:rPr>
          <w:i/>
        </w:rPr>
        <w:t>p</w:t>
      </w:r>
      <w:r>
        <w:rPr/>
        <w:t xml:space="preserve"> &lt; 0.001). We also performed a similar analysis to investigate changes induced by </w:t>
      </w:r>
      <w:r>
        <w:rPr>
          <w:i/>
        </w:rPr>
        <w:t>C. difficile</w:t>
      </w:r>
      <w:r>
        <w:rPr/>
        <w:t xml:space="preserve"> colonization itself in these susceptible conditions. Although CDI alone did not induce significant shifts in the global community structure or metabolome (Fig. S2 A &amp; C; </w:t>
      </w:r>
      <w:r>
        <w:rPr>
          <w:i/>
        </w:rPr>
        <w:t>p</w:t>
      </w:r>
      <w:r>
        <w:rPr/>
        <w:t xml:space="preserve"> = 0.185, 0.065), several features were able to discriminate infected and uninfected microbiomes with high accuracy. This analysis highlighted numerous growth substrates that are known for </w:t>
      </w:r>
      <w:r>
        <w:rPr>
          <w:i/>
        </w:rPr>
        <w:t>C. difficile</w:t>
      </w:r>
      <w:r>
        <w:rPr/>
        <w:t xml:space="preserve"> in all pretreated mice including 6 Stickland substrates, 4 of which were proline conjugates, along with arabonate/xlyonate (Fig. S2D). Furthermore 5-aminovalerate, the most common end product of Stickland fermentation, was significantly increased during infection in almost all of the metabolomes. Inspection of these specific metabolites revealed that clindamycin pretreatment was only condition where both the inputs and outputs of Stickland fermentation were less abundant relative to the untreated mice (Fig. S3). These results strongly support Stickland fermentation as a primary nutritional strategy of </w:t>
      </w:r>
      <w:r>
        <w:rPr>
          <w:i/>
        </w:rPr>
        <w:t>C. difficile</w:t>
      </w:r>
      <w:r>
        <w:rPr/>
        <w:t xml:space="preserve"> early in infection. Moreover, these data suggest that the degree to which the environment of the intestine is altered by infection may be linked to the ability of the pathogen to remain colonized.</w:t>
      </w:r>
    </w:p>
    <w:p>
      <w:pPr>
        <w:pStyle w:val="Heading4"/>
        <w:rPr/>
      </w:pPr>
      <w:bookmarkStart w:id="9" w:name="infection-corresponded-with-larger-shifts-in-the-metatranscriptomes-of-communities-that-allowed-sustained-c.-difficile-colonization."/>
      <w:bookmarkEnd w:id="9"/>
      <w:r>
        <w:rPr/>
        <w:t xml:space="preserve">Infection corresponded with larger shifts in the metatranscriptomes of communities that allowed sustained </w:t>
      </w:r>
      <w:r>
        <w:rPr>
          <w:i/>
        </w:rPr>
        <w:t>C. difficile</w:t>
      </w:r>
      <w:r>
        <w:rPr/>
        <w:t xml:space="preserve"> colonization.</w:t>
      </w:r>
    </w:p>
    <w:p>
      <w:pPr>
        <w:pStyle w:val="Normal"/>
        <w:rPr/>
      </w:pPr>
      <w:r>
        <w:rPr/>
        <w:t xml:space="preserve">Despite the strong associations between bacterial community structure and the metabolome with colonization resistance, it was difficult to associate specific populations with changes in those metabolites that were associated with the duration of infection. To gain a more specific understanding of how the microbiota or </w:t>
      </w:r>
      <w:r>
        <w:rPr>
          <w:i/>
        </w:rPr>
        <w:t>C. difficile</w:t>
      </w:r>
      <w:r>
        <w:rPr/>
        <w:t xml:space="preserve"> shaped the metabolic environment, we employed parallel metagenomic and metatranscriptomic shotgun sequencing of the samples collected from the cecal content of the mice used in the previous analyses. To achieve usable concentrations of bacterial mRNA after rRNA depletion, we had to pool the samples within each treatment and infection group. To establish confidence in the results of a pooled analysis, we calculated within-group sample variance among replicates using CFU, OTU relative abundance, and metabolomic relative abundance data (Table S3). These analyses revealed low levels of variance within control and experimental groups. Following sequencing, metagenomic reads from mock-infected cecal communities were assembled </w:t>
      </w:r>
      <w:r>
        <w:rPr>
          <w:i/>
        </w:rPr>
        <w:t>de novo</w:t>
      </w:r>
      <w:r>
        <w:rPr/>
        <w:t xml:space="preserve"> into contigs and putative genes were identified resulting in 234,868 (streptomycin), 83,534 (cefoperazone), and 35,681 (clindamycin) open reading frames in each metagenome. Of these putative genes, 28.5% could be annotated to a known function based on the KEGG database, and many of these annotations were homologs to genes in species that were found in our dataset. Streptomycin pretreatment resulted in a significantly more diverse community than other groups based on 16S rRNA gene sequence data, so a more diverse metagenome was expected (Table S1). Supporting this prediction, 2408 unique functionally annotated genes were detected in the streptomycin pretreatment metagenome, at least 1163 more genes than were found in either the cefoperazone or clindamycin metagenomes (Fig. S4A-D). Metagenome-enabled mapping of the metatranscriptomic reads revealed that we were able to obtain informative depths of sequencing from across the metagenomic libraries (Fig. S4E-F). As expected, genes with any detectable transcript in any metatranscriptome were a subset of their corresponding metagenome. Metatranscriptomic read abundances were normalized to corresponding metagenomic coverage per gene to normalize for the abundance of the contributing bacterial taxa. This step was followed by a final subsampling of reads from each conditions to control for uneven sequencing effort and to identify genes with the largest changes in transcription relative to uninfected animals.</w:t>
      </w:r>
    </w:p>
    <w:p>
      <w:pPr>
        <w:pStyle w:val="TextBody"/>
        <w:rPr/>
      </w:pPr>
      <w:r>
        <w:rPr/>
        <w:t xml:space="preserve">We hypothesized that the degree of change in the metatranscriptome corresponding with </w:t>
      </w:r>
      <w:r>
        <w:rPr>
          <w:i/>
        </w:rPr>
        <w:t>C. difficile</w:t>
      </w:r>
      <w:r>
        <w:rPr/>
        <w:t xml:space="preserve"> colonization would reflect the shifts seen at in the metabolome. As disparate bacterial taxa possess vastly different metabolic capabilities and the antibiotic pretreatments induced distinct species profiles in each community, we tested our hypothesis by delineating the transcriptomic contributions of separate bacterial taxa within each metatranscriptome. Since many genes lack a specific functional annotation in KEGG but retain general taxonomic information, we continued the analysis at the genus level of classification for all genes contributed to each metagenome. Using this approach, we directly compared the normalized transcript abundances for each gene between infected and uninfected states for each antibiotic pretreatment and calculated the Spearman correlation to identify distinct patterns of transcription (Fig. 3). This resulted in 2473 genes that had an average distance of 2.545 units of deviation (UD) associated with streptomycin-pretreatment, 2930 genes at an average distance of 3.854 UD with cefoperazone-pretreatment, and only 727 genes at an average distance of 2.414 UD with clindamycin-pretreatment. Overall, the clindamycin pretreatment was associated with the fewest transcription outliers between uninfected and infection conditions compared with those of the other antibiotic groups. This suggested that the degree to which the metatranscriptome was altered by infection corresponded to prolonged colonization.</w:t>
      </w:r>
    </w:p>
    <w:p>
      <w:pPr>
        <w:pStyle w:val="TextBody"/>
        <w:rPr/>
      </w:pPr>
      <w:r>
        <w:rPr/>
        <w:t xml:space="preserve">This analysis also revealed that outlier genes originated in underrepresented genera. In streptomycin-pretreated mice, 937 genes belonging to </w:t>
      </w:r>
      <w:r>
        <w:rPr>
          <w:i/>
        </w:rPr>
        <w:t>Lactobacillus</w:t>
      </w:r>
      <w:r>
        <w:rPr/>
        <w:t xml:space="preserve"> that higher transcription during </w:t>
      </w:r>
      <w:r>
        <w:rPr>
          <w:i/>
        </w:rPr>
        <w:t>C. difficile</w:t>
      </w:r>
      <w:r>
        <w:rPr/>
        <w:t xml:space="preserve"> infection; </w:t>
      </w:r>
      <w:r>
        <w:rPr>
          <w:i/>
        </w:rPr>
        <w:t>Lactobacillus</w:t>
      </w:r>
      <w:r>
        <w:rPr/>
        <w:t xml:space="preserve"> accounted for 0.42% of the 16S rRNA gene sequences (Fig. 3A). In cefoperazone-pretreated mice, 2290 genes belonging to </w:t>
      </w:r>
      <w:r>
        <w:rPr>
          <w:i/>
        </w:rPr>
        <w:t>Bacteroides</w:t>
      </w:r>
      <w:r>
        <w:rPr/>
        <w:t xml:space="preserve"> had lower transcription during </w:t>
      </w:r>
      <w:r>
        <w:rPr>
          <w:i/>
        </w:rPr>
        <w:t>C. difficile</w:t>
      </w:r>
      <w:r>
        <w:rPr/>
        <w:t xml:space="preserve"> infection; </w:t>
      </w:r>
      <w:r>
        <w:rPr>
          <w:i/>
        </w:rPr>
        <w:t>Bacteroides</w:t>
      </w:r>
      <w:r>
        <w:rPr/>
        <w:t xml:space="preserve"> accounted for 1.49% of the 16S rRNA gene sequences (Fig. 3B). A consistent trend in streptomycin and cefoperazone-pretreated mice was an overrepresentation of highly transcribed genes from genera belonging to </w:t>
      </w:r>
      <w:r>
        <w:rPr>
          <w:i/>
        </w:rPr>
        <w:t>Bacteroidetes</w:t>
      </w:r>
      <w:r>
        <w:rPr/>
        <w:t xml:space="preserve"> during mock infection. The metatransciptomes among mice from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0.334 &amp; </w:t>
      </w:r>
      <w:r>
        <w:rPr>
          <w:i/>
        </w:rPr>
        <w:t>R</w:t>
      </w:r>
      <w:r>
        <w:rPr/>
        <w:t xml:space="preserve"> = 0.031). In clindamycin-pretreated mice the largest difference in transcription was for 510 </w:t>
      </w:r>
      <w:r>
        <w:rPr>
          <w:i/>
        </w:rPr>
        <w:t>Lactobacillus</w:t>
      </w:r>
      <w:r>
        <w:rPr/>
        <w:t xml:space="preserve"> genes with increased transcription during CDI; </w:t>
      </w:r>
      <w:r>
        <w:rPr>
          <w:i/>
        </w:rPr>
        <w:t>Lactobacillus</w:t>
      </w:r>
      <w:r>
        <w:rPr/>
        <w:t xml:space="preserve"> accounted for 2.7% of the 16S rRNA gene sequences (Fig. 3C). Infected and uninfected metatranscriptomes from mice pretreated with clindamycin were more strongly correlated with each other than either of the other pretreatments (</w:t>
      </w:r>
      <w:r>
        <w:rPr>
          <w:i/>
        </w:rPr>
        <w:t>R</w:t>
      </w:r>
      <w:r>
        <w:rPr/>
        <w:t xml:space="preserve"> = 0.864). This suggests that although </w:t>
      </w:r>
      <w:r>
        <w:rPr>
          <w:i/>
        </w:rPr>
        <w:t>C. difficile</w:t>
      </w:r>
      <w:r>
        <w:rPr/>
        <w:t xml:space="preserve"> altered the streptomycin and cefoperazone-pretreated communities in which it was able to remain stably colonized, it had minimal impact on the clindamycin-pretreated community in which it was not able to remain colonized.</w:t>
      </w:r>
    </w:p>
    <w:p>
      <w:pPr>
        <w:pStyle w:val="Heading4"/>
        <w:rPr/>
      </w:pPr>
      <w:bookmarkStart w:id="10" w:name="largest-changes-in-metatranscriptomes-in-response-to-infection-were-concentrated-in-the-minority-taxa-of-each-pretreatment-group."/>
      <w:bookmarkEnd w:id="10"/>
      <w:r>
        <w:rPr/>
        <w:t>Largest changes in metatranscriptomes in response to infection were concentrated in the minority taxa of each pretreatment group.</w:t>
      </w:r>
    </w:p>
    <w:p>
      <w:pPr>
        <w:pStyle w:val="Normal"/>
        <w:rPr/>
      </w:pPr>
      <w:r>
        <w:rPr/>
        <w:t xml:space="preserve">To explore the observation that rare taxa were responsible for the largest differences in transcription in response to infection, we tabulated the absolute difference between mock and </w:t>
      </w:r>
      <w:r>
        <w:rPr>
          <w:i/>
        </w:rPr>
        <w:t>C. difficile</w:t>
      </w:r>
      <w:r>
        <w:rPr/>
        <w:t xml:space="preserve"> infected transcriptomes for each genus in each antibiotic pretreatment. We further normalized these values for the number of genes detected in each genus to adjust for genera that were more successfully assembled or annotated and we eliminated genera where less than 50 genes were detected in the metatranscriptome. Taxa were then stratified into categories based on their relative abundance in each community from 16S rRNA gene sequencing (Fig. 4). This revealed that most change occurred among the rare genera and that the degree of change was inversely correlated with sustained colonization. To this point, minority metatranscriptomic absolute differences were significantly reduced in clindamycin pretreatment (</w:t>
      </w:r>
      <w:r>
        <w:rPr>
          <w:i/>
        </w:rPr>
        <w:t>p</w:t>
      </w:r>
      <w:r>
        <w:rPr/>
        <w:t xml:space="preserve"> &lt; 0.001). Additionally, the proportion of taxa in the lowest relative abundance bracket was similar across pretreatment groups (~88.9%). As a corollary, we predicted that the majority of unique genes or metabolic potential was held within this minority, and when following quantification this proved to be the case (Table S4). As a consequence, the downstream impacts on functionality may affect a disproportionately large effect on the overall environment of the intestine as a function of its collective metabolism.</w:t>
      </w:r>
    </w:p>
    <w:p>
      <w:pPr>
        <w:pStyle w:val="Heading4"/>
        <w:rPr/>
      </w:pPr>
      <w:bookmarkStart w:id="11" w:name="altered-transcription-within-minority-taxa-favors-reduced-nutrient-competition-with-c.-difficile-in-communities-that-permitted-sustained-colonization."/>
      <w:bookmarkEnd w:id="11"/>
      <w:r>
        <w:rPr/>
        <w:t xml:space="preserve">Altered transcription within minority taxa favors reduced nutrient competition with </w:t>
      </w:r>
      <w:r>
        <w:rPr>
          <w:i/>
        </w:rPr>
        <w:t>C. difficile</w:t>
      </w:r>
      <w:r>
        <w:rPr/>
        <w:t xml:space="preserve"> in communities that permitted sustained colonization.</w:t>
      </w:r>
    </w:p>
    <w:p>
      <w:pPr>
        <w:pStyle w:val="Normal"/>
        <w:rPr/>
      </w:pPr>
      <w:r>
        <w:rPr/>
        <w:t xml:space="preserve">Based on our metabolomic and metatranscriptomic results, we hypothesized that pathways with the greatest differences between mock and </w:t>
      </w:r>
      <w:r>
        <w:rPr>
          <w:i/>
        </w:rPr>
        <w:t>C. difficile</w:t>
      </w:r>
      <w:r>
        <w:rPr/>
        <w:t xml:space="preserve">-infected mice would be related to catabolism of metabolites that </w:t>
      </w:r>
      <w:r>
        <w:rPr>
          <w:i/>
        </w:rPr>
        <w:t>C. difficile</w:t>
      </w:r>
      <w:r>
        <w:rPr/>
        <w:t xml:space="preserve"> could use for for growth. To assess these changes, we identified those annotated transcripts that were associated with genera that represented less than 0.1% of the community as measured with our 16S rRNA gene sequence data (Fig. 5). This resulted in the identification of 585 genes that were differentially transcribed between clindamycin-pretreated mice and the streptomycin and cefoperazone-pretreated mice. From this group of genes we filtered the collection to identify those genes that were unique to either the clindamycin-pretreated mice or the streptomycin and cefoperazone-pretreated mice. Finally, we limited our analysis to those genes that were meaningfully different between the mock and </w:t>
      </w:r>
      <w:r>
        <w:rPr>
          <w:i/>
        </w:rPr>
        <w:t>C. difficile</w:t>
      </w:r>
      <w:r>
        <w:rPr/>
        <w:t xml:space="preserve">-infected groups in each antibiotic pretreatment group. This resulted in 34 genes from 11 pathways. These genes and pathways were primarily involved in simple carbohydrate-containing molecule acquisition/utilization (Fig. 5). Interestingly, many of these genes had decreased transcription during infection compared to mock-infected controls. At the pathway-level, many genes associated with galactose and amino sugar acquisition (both </w:t>
      </w:r>
      <w:r>
        <w:rPr>
          <w:i/>
        </w:rPr>
        <w:t>C. difficile</w:t>
      </w:r>
      <w:r>
        <w:rPr/>
        <w:t xml:space="preserve"> growth substrates) were reduced during infection in both streptomycin and cefoperazone-pretreated mice. Conversely, pathways uniquely associated with clindamycin-pretreated communities were related to the metabolism of a diverse array of carbon sources, which may indicate ineffective competition by </w:t>
      </w:r>
      <w:r>
        <w:rPr>
          <w:i/>
        </w:rPr>
        <w:t>C. difficile</w:t>
      </w:r>
      <w:r>
        <w:rPr/>
        <w:t xml:space="preserve"> with this community for any particular growth substrate. Our results indeed suggest that </w:t>
      </w:r>
      <w:r>
        <w:rPr>
          <w:i/>
        </w:rPr>
        <w:t>C. difficile</w:t>
      </w:r>
      <w:r>
        <w:rPr/>
        <w:t xml:space="preserve"> colonization induces a shift transcriptional activity for a minority subset of species, possibly in an effort to segregate a desired nutrient niche, prior to the introduction of the hallmark disease phenotypes associated with CDI.</w:t>
      </w:r>
    </w:p>
    <w:p>
      <w:pPr>
        <w:pStyle w:val="Heading3"/>
        <w:rPr/>
      </w:pPr>
      <w:bookmarkStart w:id="12" w:name="discussion"/>
      <w:bookmarkEnd w:id="12"/>
      <w:r>
        <w:rPr/>
        <w:t>Discussion</w:t>
      </w:r>
    </w:p>
    <w:p>
      <w:pPr>
        <w:pStyle w:val="Normal"/>
        <w:rPr/>
      </w:pPr>
      <w:r>
        <w:rPr/>
        <w:t xml:space="preserve">Our results demonstrate that distinct intestinal ecosystems are differentially impacted by </w:t>
      </w:r>
      <w:r>
        <w:rPr>
          <w:i/>
        </w:rPr>
        <w:t>C. difficile</w:t>
      </w:r>
      <w:r>
        <w:rPr/>
        <w:t xml:space="preserve"> colonization and that these changes to community metabolism could have implications for the ability of the pathogen to persist in those environments. Furthermore, our mutli-omics approach demonstrated that </w:t>
      </w:r>
      <w:r>
        <w:rPr>
          <w:i/>
        </w:rPr>
        <w:t>C. difficile</w:t>
      </w:r>
      <w:r>
        <w:rPr/>
        <w:t xml:space="preserve"> manipulated the niche landscape of the intestinal tract. Instances of active nutrient niche restructuring in the gut have been documented previously for prominent symbiotic bacterial species in gnotobiotic mice (25), but not in a conventionally-reared animal model of infection following antibiotic pretreatment. Interestingly, the taxonomic groups that produced the transcripts that were most altered by </w:t>
      </w:r>
      <w:r>
        <w:rPr>
          <w:i/>
        </w:rPr>
        <w:t>C. difficile</w:t>
      </w:r>
      <w:r>
        <w:rPr/>
        <w:t xml:space="preserve"> colonization were rare in their cecal community. Previous studies have found that rare taxonomic groups, even those at a low abundance as a result of a spontaneous perturbation, may have disproportionate effects on the metabolome of the rest of the community (26). For example, in temperate lakes conditionally rare microbes were found to be far more metabolically active than highly abundant taxa (27). These examples of response to perturbations are interesting models for thinking about the dynamics of bacterial populations recovering from an antibiotic perturbation. As such, </w:t>
      </w:r>
      <w:r>
        <w:rPr>
          <w:i/>
        </w:rPr>
        <w:t>C. difficile</w:t>
      </w:r>
      <w:r>
        <w:rPr/>
        <w:t xml:space="preserve"> may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a pathogen. Other groups have identified potential metabolite markers of </w:t>
      </w:r>
      <w:r>
        <w:rPr>
          <w:i/>
        </w:rPr>
        <w:t>C. difficile</w:t>
      </w:r>
      <w:r>
        <w:rPr/>
        <w:t xml:space="preserve"> infection in patient feces (28), but they were not able to identify associations with changes in community metabolism that were afforded to us by our paired metabolomic and metatranscriptomic analyses. In a recent study, a tick-vectored bacterial pathogen altered the ability of the resident microbiota of the tick by interrupting proper biofilm formation and allowing lasting colonization (29). It was also recently found that bacterial metabolic generalists may be more likely to actively antagonize the growth of other species in an environment that they are colonizing (30). We previously showed that </w:t>
      </w:r>
      <w:r>
        <w:rPr>
          <w:i/>
        </w:rPr>
        <w:t>C. difficile</w:t>
      </w:r>
      <w:r>
        <w:rPr/>
        <w:t xml:space="preserve"> has a wide nutrient niche-space </w:t>
      </w:r>
      <w:r>
        <w:rPr>
          <w:i/>
        </w:rPr>
        <w:t>in vivo</w:t>
      </w:r>
      <w:r>
        <w:rPr/>
        <w:t xml:space="preserve"> and most likely utilizes its role as a metabolic generalist to colonize diverse gut microbiomes (19). The ability to simultaneously antagonize the metabolism of surrounding populations in cecal environments that support persistence would explain the more significant shifts in those metatranscriptome. While we acknowledge that this study may not elucidate the specific mechanism by which this interaction occurs, the combined systems analysis strengthens each individual level of observation. When the results from these approaches are combined reveals a clearer understanding of </w:t>
      </w:r>
      <w:r>
        <w:rPr>
          <w:i/>
        </w:rPr>
        <w:t>C. difficile</w:t>
      </w:r>
      <w:r>
        <w:rPr/>
        <w:t xml:space="preserve">-related microbial ecology.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results across the different methods we used in this study, several limitations should be noted. First, as with all transcriptomic studies, the relative level of mRNA detected for a given gene does not necessarily reflect the amount of functional protein made by a cell or the post-translational modifications that are required to activate the enzymes. Additionally, due to the low relative abundance of </w:t>
      </w:r>
      <w:r>
        <w:rPr>
          <w:i/>
        </w:rPr>
        <w:t>C. difficile</w:t>
      </w:r>
      <w:r>
        <w:rPr/>
        <w:t xml:space="preserve"> in these communities, it was necessary for us to pool samples to generate a large number of reads from each group rather than sampling multiple replicates within each group. Greater transcript read abundance per gene allowed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31–33). Furthermore, the metatranscriptomic data were supported by the 16S rRNA gene sequence and metabolomic data which were collected from individual animals. With respect to the metabolomic data, alternative interpretations of the data also exist. For example, we assumed that metabolites, which did not change in concentration between uninfected and infected conditions were not impacted by </w:t>
      </w:r>
      <w:r>
        <w:rPr>
          <w:i/>
        </w:rPr>
        <w:t>C. difficile</w:t>
      </w:r>
      <w:r>
        <w:rPr/>
        <w:t xml:space="preserve"> colonization. However, it is possible that the metabolism of </w:t>
      </w:r>
      <w:r>
        <w:rPr>
          <w:i/>
        </w:rPr>
        <w:t>C. difficile</w:t>
      </w:r>
      <w:r>
        <w:rPr/>
        <w:t xml:space="preserve"> itself simply substituted for a function that was already present in the uninfected community. The insights gathered from the metatranscriptomic data suggests that this was unlikely. By leveraging multiple methods to test our hypotheses we were able to mediate the weaknesses of any individual method and present a more unified description of the system than any of the methods on their own.</w:t>
      </w:r>
    </w:p>
    <w:p>
      <w:pPr>
        <w:pStyle w:val="TextBody"/>
        <w:rPr/>
      </w:pPr>
      <w:r>
        <w:rPr/>
        <w:t xml:space="preserve">Our study supports the hypothesis that the gut microbiota of healthy individuals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against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Several studies have attempted to identify single bacterial species or consortia that are able to achieve colonization resistance; however, these efforts have only resulted in partially resistance (34–37). Considering the structure and function of the microbiome is intimately connected to colonization resistance against the </w:t>
      </w:r>
      <w:r>
        <w:rPr>
          <w:i/>
        </w:rPr>
        <w:t>C. difficile</w:t>
      </w:r>
      <w:r>
        <w:rPr/>
        <w:t xml:space="preserve">, it has become imperative to understand the ecological factors that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to promote clearance.</w:t>
      </w:r>
    </w:p>
    <w:p>
      <w:pPr>
        <w:pStyle w:val="Heading3"/>
        <w:rPr/>
      </w:pPr>
      <w:bookmarkStart w:id="13" w:name="materials-and-methods"/>
      <w:bookmarkEnd w:id="13"/>
      <w:r>
        <w:rPr/>
        <w:t>Materials and Methods</w:t>
      </w:r>
    </w:p>
    <w:p>
      <w:pPr>
        <w:pStyle w:val="Heading4"/>
        <w:rPr/>
      </w:pPr>
      <w:bookmarkStart w:id="14" w:name="animal-care-and-antibiotic-administration."/>
      <w:bookmarkEnd w:id="14"/>
      <w:r>
        <w:rPr/>
        <w:t>Animal care and antibiotic administration.</w:t>
      </w:r>
    </w:p>
    <w:p>
      <w:pPr>
        <w:pStyle w:val="Normal"/>
        <w:rPr/>
      </w:pPr>
      <w:r>
        <w:rPr/>
        <w:t xml:space="preserve">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 </w:t>
      </w:r>
      <w:r>
        <w:rPr>
          <w:i/>
        </w:rPr>
        <w:t>C. difficile</w:t>
      </w:r>
      <w:r>
        <w:rPr/>
        <w:t xml:space="preserve"> infection (Table S1). A detailed description of these animal models was outlined previously (19). A similar experimental design was implemented for gnotobiotic mice and was performed with the University of Michigan Germfree Mouse Center as described previously (19).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Heading4"/>
        <w:rPr/>
      </w:pPr>
      <w:bookmarkStart w:id="15" w:name="c.-difficile-infection-and-necropsy"/>
      <w:bookmarkEnd w:id="15"/>
      <w:r>
        <w:rPr>
          <w:i/>
        </w:rPr>
        <w:t>C. difficile</w:t>
      </w:r>
      <w:r>
        <w:rPr/>
        <w:t xml:space="preserve"> infection and necropsy</w:t>
      </w:r>
    </w:p>
    <w:p>
      <w:pPr>
        <w:pStyle w:val="Normal"/>
        <w:rPr/>
      </w:pPr>
      <w:r>
        <w:rPr/>
        <w:t>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Heading4"/>
        <w:rPr/>
      </w:pPr>
      <w:bookmarkStart w:id="16" w:name="c.-difficile-cultivation-and-quantification"/>
      <w:bookmarkEnd w:id="16"/>
      <w:r>
        <w:rPr>
          <w:i/>
        </w:rPr>
        <w:t>C. difficile</w:t>
      </w:r>
      <w:r>
        <w:rPr/>
        <w:t xml:space="preserve"> cultivation and quantification</w:t>
      </w:r>
    </w:p>
    <w:p>
      <w:pPr>
        <w:pStyle w:val="Normal"/>
        <w:rPr/>
      </w:pPr>
      <w:r>
        <w:rPr/>
        <w:t xml:space="preserve">Cecal samples were weighed and serially diluted under anaerobic conditions with anaerobic PBS. Differential plating was performed to quantify </w:t>
      </w:r>
      <w:r>
        <w:rPr>
          <w:i/>
        </w:rPr>
        <w:t>C. difficile</w:t>
      </w:r>
      <w:r>
        <w:rPr/>
        <w:t xml:space="preserve"> vegetative cells by plating diluted samples on CCFAE plates (fructose agar plus cycloserine, cefoxitin, and erythromycin) at 37°C for 24 hours under anaerobic conditions (38). Quantification of total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Heading4"/>
        <w:rPr/>
      </w:pPr>
      <w:bookmarkStart w:id="17" w:name="dnarna-extraction-and-sequencing-library-preparation"/>
      <w:bookmarkEnd w:id="17"/>
      <w:r>
        <w:rPr/>
        <w:t>DNA/RNA extraction and sequencing library preparation</w:t>
      </w:r>
    </w:p>
    <w:p>
      <w:pPr>
        <w:pStyle w:val="Normal"/>
        <w:rPr/>
      </w:pPr>
      <w:r>
        <w:rPr/>
        <w:t xml:space="preserve">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(39).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(40).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rRNA Removal Kit (Epidemiology) was then used to deplete prokaryotic and eukaryotic rRNA from the samples according the manufacturer’s protocol (Illumina). </w:t>
      </w:r>
      <w:r>
        <w:rPr>
          <w:u w:val="none"/>
        </w:rPr>
        <w:t>Uns</w:t>
      </w:r>
      <w:r>
        <w:rPr/>
        <w:t>tranded RNA-Seq libraries were made constructed with the TruSeq Total RNA Library Preparation Kit v2, both using the manufacturer’s protocol. Completed libraries were stored at -20°C until time of sequencing.</w:t>
      </w:r>
    </w:p>
    <w:p>
      <w:pPr>
        <w:pStyle w:val="Heading4"/>
        <w:rPr/>
      </w:pPr>
      <w:bookmarkStart w:id="18" w:name="high-throughput-sequencing-and-raw-read-curation"/>
      <w:bookmarkEnd w:id="18"/>
      <w:r>
        <w:rPr/>
        <w:t>High-throughput sequencing and raw read curation</w:t>
      </w:r>
    </w:p>
    <w:p>
      <w:pPr>
        <w:pStyle w:val="Normal"/>
        <w:rPr/>
      </w:pPr>
      <w:r>
        <w:rPr/>
        <w:t xml:space="preserve">Sequencing of 16S rRNA gene amplicon libraries was performed using an Illumina MiSeq sequencer as described previously (39). The 16S rRNA gene sequences were curated using the mothur software package (v1.36) and OTU-based analysis was performed as described in (19). Genus-level classification-based analysis of 16S rRNA gene sequence data was accomplished using the phylotype workflow in mothur and the full SILVA bacterial taxonomy (release 132). Shotgun metagenomic sequencing was performed in 2 phases. Libraries from mock-infected communities, which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 (32).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 and 3’ Illumina adapter sequences were trimmed using CutAdapt (41) on a per library basis. Reads were quality trimmed using Sickle (42)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S4.</w:t>
      </w:r>
    </w:p>
    <w:p>
      <w:pPr>
        <w:pStyle w:val="Heading4"/>
        <w:rPr/>
      </w:pPr>
      <w:bookmarkStart w:id="19" w:name="metagenomic-contig-assembly-and-gene-annotation"/>
      <w:bookmarkEnd w:id="19"/>
      <w:r>
        <w:rPr/>
        <w:t>Metagenomic contig assembly and gene annotation</w:t>
      </w:r>
    </w:p>
    <w:p>
      <w:pPr>
        <w:pStyle w:val="Normal"/>
        <w:rPr/>
      </w:pPr>
      <w:r>
        <w:rPr/>
        <w:t>Metagenomic contigs were assembled using Megahit (43) with the following settings: minimum kmer size of 87, maximum kmer size of 127, and a kmer step size of 10. Prodigal was utilized to to identify putative gene sequences, and were screened for a minimum length of 250 nucleotides. These sequences were translated to amino acids and the predicted peptides were annotated based on the KEGG protein database (44) using Diamond implementation of BLASTp (45). Peptide-level gene annotations were assigned to the corresponding nucleotide sequence, and genes failing to find a match in KEGG were preserved as unannotated genes. Final nucleotide FASTA files with KEGG annotations were then utilized in the construction of Bowtie2 mapping databases from downstream analyses (46).</w:t>
      </w:r>
    </w:p>
    <w:p>
      <w:pPr>
        <w:pStyle w:val="Heading4"/>
        <w:rPr/>
      </w:pPr>
      <w:bookmarkStart w:id="20" w:name="dnacdna-read-mapping-and-normalization"/>
      <w:bookmarkEnd w:id="20"/>
      <w:r>
        <w:rPr/>
        <w:t>DNA/cDNA read mapping and normalization</w:t>
      </w:r>
    </w:p>
    <w:p>
      <w:pPr>
        <w:pStyle w:val="Normal"/>
        <w:rPr/>
      </w:pPr>
      <w:r>
        <w:rPr/>
        <w:t>Mapping of DNA and cDNA reads to the assemblies was accomplished using Bowtie2 and the default stringent settings (46). Optical and PCR duplicates were then removed using Picard MarkDuplicates (</w:t>
      </w:r>
      <w:hyperlink r:id="rId3">
        <w:r>
          <w:rPr>
            <w:rStyle w:val="InternetLink"/>
          </w:rPr>
          <w:t>http://broadinstitute.github.io/picard/</w:t>
        </w:r>
      </w:hyperlink>
      <w:r>
        <w:rPr/>
        <w:t xml:space="preserve">). The remaining mappings were converted to idxstats format using Samtools (47)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Reads contributed by </w:t>
      </w:r>
      <w:r>
        <w:rPr>
          <w:i/>
        </w:rPr>
        <w:t>C. difficile</w:t>
      </w:r>
      <w:r>
        <w:rPr/>
        <w:t xml:space="preserve"> were removed from analysis using Bowtie2 against the </w:t>
      </w:r>
      <w:r>
        <w:rPr>
          <w:i/>
        </w:rPr>
        <w:t>C. difficile</w:t>
      </w:r>
      <w:r>
        <w:rPr/>
        <w:t xml:space="preserve"> str. 630 genome with settings allowing for up to 2 mismatches.X</w:t>
      </w:r>
    </w:p>
    <w:p>
      <w:pPr>
        <w:pStyle w:val="Heading4"/>
        <w:rPr/>
      </w:pPr>
      <w:bookmarkStart w:id="21" w:name="quantification-of-in-vivo-metabolite-relative-concentrations"/>
      <w:bookmarkEnd w:id="21"/>
      <w:r>
        <w:rPr/>
        <w:t xml:space="preserve">Quantification of </w:t>
      </w:r>
      <w:r>
        <w:rPr>
          <w:i/>
        </w:rPr>
        <w:t>in vivo</w:t>
      </w:r>
      <w:r>
        <w:rPr/>
        <w:t xml:space="preserve"> metabolite relative concentrations</w:t>
      </w:r>
    </w:p>
    <w:p>
      <w:pPr>
        <w:pStyle w:val="Normal"/>
        <w:rPr/>
      </w:pPr>
      <w:r>
        <w:rPr/>
        <w:t>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 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Heading4"/>
        <w:rPr/>
      </w:pPr>
      <w:bookmarkStart w:id="22" w:name="statistical-methods"/>
      <w:bookmarkEnd w:id="22"/>
      <w:r>
        <w:rPr/>
        <w:t>Statistical methods</w:t>
      </w:r>
    </w:p>
    <w:p>
      <w:pPr>
        <w:pStyle w:val="Normal"/>
        <w:rPr/>
      </w:pPr>
      <w:r>
        <w:rPr/>
        <w:t>All statistical analyses were performed using R (v.3.2.0) and the vegan package (48). Significant differences of inverse Simpson diversity, CFU, and metabolite concentrations were determined by Wilcoxon signed-rank test with Benjamini-Hochberg correction using a study-wide Type I error rate of 0.05. Undetectable points used the limit of detection for CFU statistical calculations. Dynamic time warping was performed with the dtw package in R (49). Random forest was performed using the AUCRF implementation (22) as well as the standard package (50) in R. Distances of outlier points from center line during metatranscriptomic comparisons was accomplished using 2-dimensional linear geometry.</w:t>
      </w:r>
    </w:p>
    <w:p>
      <w:pPr>
        <w:pStyle w:val="Heading4"/>
        <w:rPr/>
      </w:pPr>
      <w:bookmarkStart w:id="23" w:name="data-availability"/>
      <w:bookmarkEnd w:id="23"/>
      <w:r>
        <w:rPr/>
        <w:t>Data Availability</w:t>
      </w:r>
    </w:p>
    <w:p>
      <w:pPr>
        <w:pStyle w:val="Normal"/>
        <w:rPr/>
      </w:pPr>
      <w:r>
        <w:rPr/>
        <w:t xml:space="preserve">Pooled and quality trimmed </w:t>
      </w:r>
      <w:r>
        <w:rPr>
          <w:i/>
        </w:rPr>
        <w:t>C. difficile</w:t>
      </w:r>
      <w:r>
        <w:rPr/>
        <w:t xml:space="preserve">-infected metatranscriptomes (SRA; PRJNA354635) and 16S rRNA gene amplicon read data (SRA; PRJNA383577) from infection experiments are available through the NCBI Sequence Read Archive. Metagenomic reads and mock-infected metatranscriptomic reads can be found also on the SRA (PRJNA415307). Data processing steps beginning with raw sequence data to the final manuscript are hosted at </w:t>
      </w:r>
      <w:hyperlink r:id="rId4">
        <w:r>
          <w:rPr>
            <w:rStyle w:val="InternetLink"/>
          </w:rPr>
          <w:t>https://github.com/SchlossLab/Jenior_Metatranscriptomics_mSphere_2018</w:t>
        </w:r>
      </w:hyperlink>
      <w:r>
        <w:rPr/>
        <w:t>.X</w:t>
      </w:r>
    </w:p>
    <w:p>
      <w:pPr>
        <w:pStyle w:val="Heading4"/>
        <w:rPr/>
      </w:pPr>
      <w:bookmarkStart w:id="24" w:name="acknowledgments"/>
      <w:bookmarkEnd w:id="24"/>
      <w:r>
        <w:rPr/>
        <w:t>Acknowledgments</w:t>
      </w:r>
    </w:p>
    <w:p>
      <w:pPr>
        <w:pStyle w:val="Normal"/>
        <w:rPr/>
      </w:pPr>
      <w:r>
        <w:rP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w:t>
      </w:r>
    </w:p>
    <w:p>
      <w:pPr>
        <w:pStyle w:val="Heading4"/>
        <w:rPr/>
      </w:pPr>
      <w:bookmarkStart w:id="25" w:name="author-contributions"/>
      <w:bookmarkEnd w:id="25"/>
      <w:r>
        <w:rPr/>
        <w:t>Author Contributions</w:t>
      </w:r>
    </w:p>
    <w:p>
      <w:pPr>
        <w:pStyle w:val="Normal"/>
        <w:rPr/>
      </w:pPr>
      <w:r>
        <w:rPr/>
        <w:t>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Heading3"/>
        <w:rPr/>
      </w:pPr>
      <w:bookmarkStart w:id="26" w:name="references"/>
      <w:bookmarkEnd w:id="26"/>
      <w:r>
        <w:rPr/>
        <w:t>References</w:t>
      </w:r>
    </w:p>
    <w:p>
      <w:pPr>
        <w:pStyle w:val="Normal"/>
        <w:rPr/>
      </w:pPr>
      <w:r>
        <w:rPr/>
        <w:t xml:space="preserve">1. </w:t>
      </w:r>
      <w:r>
        <w:rPr>
          <w:b/>
        </w:rPr>
        <w:t>Vollaard, E. J.</w:t>
      </w:r>
      <w:r>
        <w:rPr/>
        <w:t xml:space="preserve">, and </w:t>
      </w:r>
      <w:r>
        <w:rPr>
          <w:b/>
        </w:rPr>
        <w:t>H. A. L. Clasener</w:t>
      </w:r>
      <w:r>
        <w:rPr/>
        <w:t>. 1994. Colonization resistance. U.S. Patent 3.</w:t>
      </w:r>
    </w:p>
    <w:p>
      <w:pPr>
        <w:pStyle w:val="TextBod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TextBod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TextBod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TextBod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TextBod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TextBod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TextBod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TextBod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TextBody"/>
        <w:rPr/>
      </w:pPr>
      <w:r>
        <w:rPr/>
        <w:t xml:space="preserve">10. </w:t>
      </w:r>
      <w:r>
        <w:rPr>
          <w:b/>
        </w:rPr>
        <w:t>Bignardi, G.</w:t>
      </w:r>
      <w:r>
        <w:rPr/>
        <w:t xml:space="preserve"> 1998. Risk factors for Clostridium difficile infection. Journal of Hospital Infection </w:t>
      </w:r>
      <w:r>
        <w:rPr>
          <w:b/>
        </w:rPr>
        <w:t>40</w:t>
      </w:r>
      <w:r>
        <w:rPr/>
        <w:t>:1–15.</w:t>
      </w:r>
    </w:p>
    <w:p>
      <w:pPr>
        <w:pStyle w:val="TextBod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TextBod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TextBod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TextBod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TextBod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TextBody"/>
        <w:rPr/>
      </w:pPr>
      <w:r>
        <w:rPr/>
        <w:t xml:space="preserve">16. </w:t>
      </w:r>
      <w:r>
        <w:rPr>
          <w:b/>
        </w:rPr>
        <w:t>Perez-Cobas,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TextBod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TextBod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TextBod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TextBody"/>
        <w:rPr/>
      </w:pPr>
      <w:r>
        <w:rPr/>
        <w:t xml:space="preserve">20.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TextBody"/>
        <w:rPr/>
      </w:pPr>
      <w:r>
        <w:rPr/>
        <w:t xml:space="preserve">21.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TextBody"/>
        <w:rPr/>
      </w:pPr>
      <w:r>
        <w:rPr/>
        <w:t xml:space="preserve">22. </w:t>
      </w:r>
      <w:r>
        <w:rPr>
          <w:b/>
        </w:rPr>
        <w:t>Calle, M. L.</w:t>
      </w:r>
      <w:r>
        <w:rPr/>
        <w:t xml:space="preserve">, </w:t>
      </w:r>
      <w:r>
        <w:rPr>
          <w:b/>
        </w:rPr>
        <w:t>V. Urrea</w:t>
      </w:r>
      <w:r>
        <w:rPr/>
        <w:t xml:space="preserve">, </w:t>
      </w:r>
      <w:r>
        <w:rPr>
          <w:b/>
        </w:rPr>
        <w:t>A. L. Boulesteix</w:t>
      </w:r>
      <w:r>
        <w:rPr/>
        <w:t xml:space="preserve">, and </w:t>
      </w:r>
      <w:r>
        <w:rPr>
          <w:b/>
        </w:rPr>
        <w:t>N. Malats</w:t>
      </w:r>
      <w:r>
        <w:rPr/>
        <w:t xml:space="preserve">. 2011. AUC-RF: A new strategy for genomic profiling with random forest. Human Heredity </w:t>
      </w:r>
      <w:r>
        <w:rPr>
          <w:b/>
        </w:rPr>
        <w:t>72</w:t>
      </w:r>
      <w:r>
        <w:rPr/>
        <w:t>:121–132.</w:t>
      </w:r>
    </w:p>
    <w:p>
      <w:pPr>
        <w:pStyle w:val="TextBody"/>
        <w:rPr/>
      </w:pPr>
      <w:r>
        <w:rPr/>
        <w:t xml:space="preserve">23. </w:t>
      </w:r>
      <w:r>
        <w:rPr>
          <w:b/>
        </w:rPr>
        <w:t>Fletcher, J. R.</w:t>
      </w:r>
      <w:r>
        <w:rPr/>
        <w:t xml:space="preserve">, </w:t>
      </w:r>
      <w:r>
        <w:rPr>
          <w:b/>
        </w:rPr>
        <w:t>S. Erwin</w:t>
      </w:r>
      <w:r>
        <w:rPr/>
        <w:t xml:space="preserve">, </w:t>
      </w:r>
      <w:r>
        <w:rPr>
          <w:b/>
        </w:rPr>
        <w:t>C. Lanzas</w:t>
      </w:r>
      <w:r>
        <w:rPr/>
        <w:t xml:space="preserve">, and </w:t>
      </w:r>
      <w:r>
        <w:rPr>
          <w:b/>
        </w:rPr>
        <w:t>C. M. Theriot</w:t>
      </w:r>
      <w:r>
        <w:rPr/>
        <w:t xml:space="preserve">. 2018. Shifts in the Gut Metabolome and Clostridium difficile Transcriptome throughout Colonization and Infection in a Mouse Model. mSphere </w:t>
      </w:r>
      <w:r>
        <w:rPr>
          <w:b/>
        </w:rPr>
        <w:t>3(2)</w:t>
      </w:r>
      <w:r>
        <w:rPr/>
        <w:t>.</w:t>
      </w:r>
    </w:p>
    <w:p>
      <w:pPr>
        <w:pStyle w:val="TextBody"/>
        <w:rPr/>
      </w:pPr>
      <w:r>
        <w:rPr/>
        <w:t xml:space="preserve">24. </w:t>
      </w:r>
      <w:r>
        <w:rPr>
          <w:b/>
        </w:rPr>
        <w:t>Dai, Z.</w:t>
      </w:r>
      <w:r>
        <w:rPr/>
        <w:t xml:space="preserve">, </w:t>
      </w:r>
      <w:r>
        <w:rPr>
          <w:b/>
        </w:rPr>
        <w:t>Z. Wu</w:t>
      </w:r>
      <w:r>
        <w:rPr/>
        <w:t xml:space="preserve">, </w:t>
      </w:r>
      <w:r>
        <w:rPr>
          <w:b/>
        </w:rPr>
        <w:t>S. Hang</w:t>
      </w:r>
      <w:r>
        <w:rPr/>
        <w:t xml:space="preserve">, </w:t>
      </w:r>
      <w:r>
        <w:rPr>
          <w:b/>
        </w:rPr>
        <w:t>W. Zhu</w:t>
      </w:r>
      <w:r>
        <w:rPr/>
        <w:t xml:space="preserve">, and </w:t>
      </w:r>
      <w:r>
        <w:rPr>
          <w:b/>
        </w:rPr>
        <w:t>G. Wu</w:t>
      </w:r>
      <w:r>
        <w:rPr/>
        <w:t xml:space="preserve">. 2015. Amino acid metabolism in intestinal bacteria and its potential implications for mammalian reproduction. Molecular human reproduction </w:t>
      </w:r>
      <w:r>
        <w:rPr>
          <w:b/>
        </w:rPr>
        <w:t>21</w:t>
      </w:r>
      <w:r>
        <w:rPr/>
        <w:t>:389–409.</w:t>
      </w:r>
    </w:p>
    <w:p>
      <w:pPr>
        <w:pStyle w:val="TextBody"/>
        <w:rPr/>
      </w:pPr>
      <w:r>
        <w:rPr/>
        <w:t xml:space="preserve">25.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TextBody"/>
        <w:rPr/>
      </w:pPr>
      <w:r>
        <w:rPr/>
        <w:t xml:space="preserve">26.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TextBody"/>
        <w:rPr/>
      </w:pPr>
      <w:r>
        <w:rPr/>
        <w:t xml:space="preserve">27.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TextBody"/>
        <w:rPr/>
      </w:pPr>
      <w:r>
        <w:rPr/>
        <w:t xml:space="preserve">28.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TextBody"/>
        <w:rPr/>
      </w:pPr>
      <w:r>
        <w:rPr/>
        <w:t xml:space="preserve">29.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TextBody"/>
        <w:rPr/>
      </w:pPr>
      <w:r>
        <w:rPr/>
        <w:t xml:space="preserve">30.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TextBody"/>
        <w:rPr/>
      </w:pPr>
      <w:r>
        <w:rPr/>
        <w:t xml:space="preserve">31.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TextBody"/>
        <w:rPr/>
      </w:pPr>
      <w:r>
        <w:rPr/>
        <w:t xml:space="preserve">32.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TextBody"/>
        <w:rPr/>
      </w:pPr>
      <w:r>
        <w:rPr/>
        <w:t xml:space="preserve">33.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TextBody"/>
        <w:rPr/>
      </w:pPr>
      <w:r>
        <w:rPr/>
        <w:t xml:space="preserve">34.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TextBody"/>
        <w:rPr/>
      </w:pPr>
      <w:r>
        <w:rPr/>
        <w:t xml:space="preserve">35.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TextBody"/>
        <w:rPr/>
      </w:pPr>
      <w:r>
        <w:rPr/>
        <w:t xml:space="preserve">36.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TextBody"/>
        <w:rPr/>
      </w:pPr>
      <w:r>
        <w:rPr/>
        <w:t xml:space="preserve">37.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TextBody"/>
        <w:rPr/>
      </w:pPr>
      <w:r>
        <w:rPr/>
        <w:t xml:space="preserve">38.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TextBody"/>
        <w:rPr/>
      </w:pPr>
      <w:r>
        <w:rPr/>
        <w:t xml:space="preserve">39.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TextBody"/>
        <w:rPr/>
      </w:pPr>
      <w:r>
        <w:rPr/>
        <w:t xml:space="preserve">40.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TextBody"/>
        <w:rPr/>
      </w:pPr>
      <w:r>
        <w:rPr/>
        <w:t xml:space="preserve">41. </w:t>
      </w:r>
      <w:r>
        <w:rPr>
          <w:b/>
        </w:rPr>
        <w:t>Martin, M.</w:t>
      </w:r>
      <w:r>
        <w:rPr/>
        <w:t xml:space="preserve"> 2011. Cutadapt removes adapter sequences from high-throughput sequencing reads. EMBnet </w:t>
      </w:r>
      <w:r>
        <w:rPr>
          <w:b/>
        </w:rPr>
        <w:t>17</w:t>
      </w:r>
      <w:r>
        <w:rPr/>
        <w:t>:10.</w:t>
      </w:r>
    </w:p>
    <w:p>
      <w:pPr>
        <w:pStyle w:val="TextBody"/>
        <w:rPr/>
      </w:pPr>
      <w:r>
        <w:rPr/>
        <w:t xml:space="preserve">42.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TextBody"/>
        <w:rPr/>
      </w:pPr>
      <w:r>
        <w:rPr/>
        <w:t xml:space="preserve">43.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TextBody"/>
        <w:rPr/>
      </w:pPr>
      <w:r>
        <w:rPr/>
        <w:t xml:space="preserve">44.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TextBody"/>
        <w:rPr/>
      </w:pPr>
      <w:r>
        <w:rPr/>
        <w:t xml:space="preserve">45.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TextBody"/>
        <w:rPr/>
      </w:pPr>
      <w:r>
        <w:rPr/>
        <w:t xml:space="preserve">46. </w:t>
      </w:r>
      <w:r>
        <w:rPr>
          <w:b/>
        </w:rPr>
        <w:t>Langmead, B.</w:t>
      </w:r>
      <w:r>
        <w:rPr/>
        <w:t xml:space="preserve">, and </w:t>
      </w:r>
      <w:r>
        <w:rPr>
          <w:b/>
        </w:rPr>
        <w:t>S. L. Salzberg</w:t>
      </w:r>
      <w:r>
        <w:rPr/>
        <w:t xml:space="preserve">. 2012. Fast gapped-read alignment with Bowtie 2. Nature methods </w:t>
      </w:r>
      <w:r>
        <w:rPr>
          <w:b/>
        </w:rPr>
        <w:t>9</w:t>
      </w:r>
      <w:r>
        <w:rPr/>
        <w:t>:357–9.</w:t>
      </w:r>
    </w:p>
    <w:p>
      <w:pPr>
        <w:pStyle w:val="TextBody"/>
        <w:rPr/>
      </w:pPr>
      <w:r>
        <w:rPr/>
        <w:t xml:space="preserve">47.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TextBody"/>
        <w:rPr/>
      </w:pPr>
      <w:r>
        <w:rPr/>
        <w:t xml:space="preserve">48. </w:t>
      </w:r>
      <w:r>
        <w:rPr>
          <w:b/>
        </w:rPr>
        <w:t>Oksanen, J.</w:t>
      </w:r>
      <w:r>
        <w:rPr/>
        <w:t xml:space="preserve">, </w:t>
      </w:r>
      <w:r>
        <w:rPr>
          <w:b/>
        </w:rPr>
        <w:t>F. G. Blanchet</w:t>
      </w:r>
      <w:r>
        <w:rPr/>
        <w:t xml:space="preserve">, </w:t>
      </w:r>
      <w:r>
        <w:rPr>
          <w:b/>
        </w:rPr>
        <w:t>M. Friendly</w:t>
      </w:r>
      <w:r>
        <w:rPr/>
        <w:t xml:space="preserve">, </w:t>
      </w:r>
      <w:r>
        <w:rPr>
          <w:b/>
        </w:rPr>
        <w:t>R. Kindt</w:t>
      </w:r>
      <w:r>
        <w:rPr/>
        <w:t xml:space="preserve">, </w:t>
      </w:r>
      <w:r>
        <w:rPr>
          <w:b/>
        </w:rPr>
        <w:t>P. Legendre</w:t>
      </w:r>
      <w:r>
        <w:rPr/>
        <w:t xml:space="preserve">, </w:t>
      </w:r>
      <w:r>
        <w:rPr>
          <w:b/>
        </w:rPr>
        <w:t>D. McGlinn</w:t>
      </w:r>
      <w:r>
        <w:rPr/>
        <w:t xml:space="preserve">, </w:t>
      </w:r>
      <w:r>
        <w:rPr>
          <w:b/>
        </w:rPr>
        <w:t>P. R. Minchin</w:t>
      </w:r>
      <w:r>
        <w:rPr/>
        <w:t xml:space="preserve">, </w:t>
      </w:r>
      <w:r>
        <w:rPr>
          <w:b/>
        </w:rPr>
        <w:t>R. B. O’Hara</w:t>
      </w:r>
      <w:r>
        <w:rPr/>
        <w:t xml:space="preserve">, </w:t>
      </w:r>
      <w:r>
        <w:rPr>
          <w:b/>
        </w:rPr>
        <w:t>G. L. Simpson</w:t>
      </w:r>
      <w:r>
        <w:rPr/>
        <w:t xml:space="preserve">, </w:t>
      </w:r>
      <w:r>
        <w:rPr>
          <w:b/>
        </w:rPr>
        <w:t>P. Solymos</w:t>
      </w:r>
      <w:r>
        <w:rPr/>
        <w:t xml:space="preserve">, </w:t>
      </w:r>
      <w:r>
        <w:rPr>
          <w:b/>
        </w:rPr>
        <w:t>M. H. H. Stevens</w:t>
      </w:r>
      <w:r>
        <w:rPr/>
        <w:t xml:space="preserve">, </w:t>
      </w:r>
      <w:r>
        <w:rPr>
          <w:b/>
        </w:rPr>
        <w:t>E. Szoecs</w:t>
      </w:r>
      <w:r>
        <w:rPr/>
        <w:t xml:space="preserve">, and </w:t>
      </w:r>
      <w:r>
        <w:rPr>
          <w:b/>
        </w:rPr>
        <w:t>H. Wagner</w:t>
      </w:r>
      <w:r>
        <w:rPr/>
        <w:t>. 2018. vegan: Community Ecology Package.</w:t>
      </w:r>
    </w:p>
    <w:p>
      <w:pPr>
        <w:pStyle w:val="TextBody"/>
        <w:rPr/>
      </w:pPr>
      <w:r>
        <w:rPr/>
        <w:t xml:space="preserve">49. </w:t>
      </w:r>
      <w:r>
        <w:rPr>
          <w:b/>
        </w:rPr>
        <w:t>Giorgino, T.</w:t>
      </w:r>
      <w:r>
        <w:rPr/>
        <w:t xml:space="preserve"> 2009. Computing and Visualizing Dynamic Time Warping Alignments in R : The dtw Package. Journal of Statistical Software </w:t>
      </w:r>
      <w:r>
        <w:rPr>
          <w:b/>
        </w:rPr>
        <w:t>31</w:t>
      </w:r>
      <w:r>
        <w:rPr/>
        <w:t>:1–24.</w:t>
      </w:r>
    </w:p>
    <w:p>
      <w:pPr>
        <w:pStyle w:val="TextBody"/>
        <w:rPr/>
      </w:pPr>
      <w:r>
        <w:rPr/>
        <w:t xml:space="preserve">50. </w:t>
      </w:r>
      <w:r>
        <w:rPr>
          <w:b/>
        </w:rPr>
        <w:t>Breiman, L.</w:t>
      </w:r>
      <w:r>
        <w:rPr/>
        <w:t xml:space="preserve"> 2001. Random forests. Machine Learning </w:t>
      </w:r>
      <w:r>
        <w:rPr>
          <w:b/>
        </w:rPr>
        <w:t>45</w:t>
      </w:r>
      <w:r>
        <w:rPr/>
        <w:t>:5–32.</w:t>
      </w:r>
    </w:p>
    <w:p>
      <w:pPr>
        <w:pStyle w:val="Heading3"/>
        <w:rPr/>
      </w:pPr>
      <w:bookmarkStart w:id="27" w:name="figure-and-table-legends"/>
      <w:bookmarkEnd w:id="27"/>
      <w:r>
        <w:rPr/>
        <w:t>Figure and Table Legends</w:t>
      </w:r>
    </w:p>
    <w:p>
      <w:pPr>
        <w:pStyle w:val="Heading4"/>
        <w:rPr/>
      </w:pPr>
      <w:bookmarkStart w:id="28" w:name="figure-1-distinct-antibiotic-pretreatments-have-differential-impacts-on-c.-difficile-colonization-and-cecal-microbiota-community-structure."/>
      <w:bookmarkEnd w:id="28"/>
      <w:r>
        <w:rPr/>
        <w:t xml:space="preserve">Figure 1 | Distinct antibiotic pretreatments have differential impacts on </w:t>
      </w:r>
      <w:r>
        <w:rPr>
          <w:i/>
        </w:rPr>
        <w:t>C. difficile</w:t>
      </w:r>
      <w:r>
        <w:rPr/>
        <w:t xml:space="preserve"> colonization and cecal microbiota community structure.</w:t>
      </w:r>
    </w:p>
    <w:p>
      <w:pPr>
        <w:pStyle w:val="Normal"/>
        <w:rPr/>
      </w:pPr>
      <w:r>
        <w:rPr>
          <w:b/>
        </w:rPr>
        <w:t>(A)</w:t>
      </w:r>
      <w:r>
        <w:rPr/>
        <w:t xml:space="preserve"> </w:t>
      </w:r>
      <w:r>
        <w:rPr>
          <w:i/>
        </w:rPr>
        <w:t>C. difficile</w:t>
      </w:r>
      <w:r>
        <w:rPr/>
        <w:t xml:space="preserve"> 630 CFU in stool of infected mice following each antibiotic-pretreated group over 10 days of infection. Median and interquartile range are shown for each time point. Both cefoperzone and streptomycin pretreatments had more significantly detectable CFU on the final day of detectable CFU associated with clindamycin-pretreatment (</w:t>
      </w:r>
      <w:r>
        <w:rPr>
          <w:i/>
        </w:rPr>
        <w:t>p</w:t>
      </w:r>
      <w:r>
        <w:rPr/>
        <w:t xml:space="preserve"> &lt; 0.001). </w:t>
      </w:r>
      <w:r>
        <w:rPr>
          <w:b/>
        </w:rPr>
        <w:t>(B)</w:t>
      </w:r>
      <w:r>
        <w:rPr/>
        <w:t xml:space="preserve"> Relative abundance of family-level OTU taxonomic classification in each pretreatment group from 16S rRNA gene sequencing. </w:t>
      </w:r>
      <w:r>
        <w:rPr>
          <w:b/>
        </w:rPr>
        <w:t>(C)</w:t>
      </w:r>
      <w:r>
        <w:rPr/>
        <w:t xml:space="preserve"> Quantification of terminal vegetative </w:t>
      </w:r>
      <w:r>
        <w:rPr>
          <w:i/>
        </w:rPr>
        <w:t>C. difficile</w:t>
      </w:r>
      <w:r>
        <w:rPr/>
        <w:t xml:space="preserve"> CFU in cecal content across 18 hour colonization models. Black lines indicate median values and each pretreatment group had significantly greater detectable CFU than no antibiotic controls. Significant differences in A were determined through permANOVA with dynamic time warping and in C were found by Wilcoxon rank-sum test with Benjamni-Hochberg correction when necessary. The limit of detection was used in place of undetectable values for statistical testing.</w:t>
      </w:r>
    </w:p>
    <w:p>
      <w:pPr>
        <w:pStyle w:val="Heading4"/>
        <w:rPr/>
      </w:pPr>
      <w:bookmarkStart w:id="29" w:name="figure-2-significant-differences-in-cecal-community-structure-and-metabolomes-track-with-downstream-c.-difficile-clearance-across-antibiotic-pretreatment-regimes."/>
      <w:bookmarkEnd w:id="29"/>
      <w:r>
        <w:rPr/>
        <w:t xml:space="preserve">Figure 2 | Significant differences in cecal community structure and metabolomes track with downstream </w:t>
      </w:r>
      <w:r>
        <w:rPr>
          <w:i/>
        </w:rPr>
        <w:t>C. difficile</w:t>
      </w:r>
      <w:r>
        <w:rPr/>
        <w:t xml:space="preserve"> clearance across antibiotic pretreatment regimes.</w:t>
      </w:r>
    </w:p>
    <w:p>
      <w:pPr>
        <w:pStyle w:val="Normal"/>
        <w:rPr/>
      </w:pPr>
      <w:r>
        <w:rPr>
          <w:b/>
        </w:rPr>
        <w:t>(A)</w:t>
      </w:r>
      <w:r>
        <w:rPr/>
        <w:t xml:space="preserve"> NMDS ordination of Bray-Curtis distances of OTU relative abundances between mouse cecal communities that remained colonized by </w:t>
      </w:r>
      <w:r>
        <w:rPr>
          <w:i/>
        </w:rPr>
        <w:t>C. difficile</w:t>
      </w:r>
      <w:r>
        <w:rPr/>
        <w:t xml:space="preserve"> and those that eventually cleared the infection. </w:t>
      </w:r>
      <w:r>
        <w:rPr>
          <w:b/>
        </w:rPr>
        <w:t>(B)</w:t>
      </w:r>
      <w:r>
        <w:rPr/>
        <w:t xml:space="preserve"> Relative abundance of OTUs included the optimal model generated by AUCRF classifying the same groups as in panel A. Species-level identification was obtained using centroid representative sequences for each OTU. </w:t>
      </w:r>
      <w:r>
        <w:rPr>
          <w:b/>
        </w:rPr>
        <w:t>(C)</w:t>
      </w:r>
      <w:r>
        <w:rPr/>
        <w:t xml:space="preserve"> NMDS ordination of Bray-Curtis distances using metabolite intensities between the aforementioned groups of animals. </w:t>
      </w:r>
      <w:r>
        <w:rPr>
          <w:b/>
        </w:rPr>
        <w:t>(D)</w:t>
      </w:r>
      <w:r>
        <w:rPr/>
        <w:t xml:space="preserve"> Scaled intensity of metabolites included the optimal model generated by AUCRF classifying colonized and clearing mouse cecal microbiomes. Differences for ordinations in A &amp; C were calculated using permANOVA. Optimal AUCRF models demonstrated 0% out of bag error, and significant differences in B &amp; D were determined by Wilcoxon rank-sum test with Benjamni-Hochberg correction.</w:t>
      </w:r>
    </w:p>
    <w:p>
      <w:pPr>
        <w:pStyle w:val="Heading4"/>
        <w:rPr/>
      </w:pPr>
      <w:bookmarkStart w:id="30" w:name="figure-3-c.-difficile-colonization-alters-gene-transcription-of-taxonomic-groups-differentially-between-antibiotic-pretreatments."/>
      <w:bookmarkEnd w:id="30"/>
      <w:r>
        <w:rPr/>
        <w:t xml:space="preserve">Figure 3 | </w:t>
      </w:r>
      <w:r>
        <w:rPr>
          <w:i/>
        </w:rPr>
        <w:t>C. difficile</w:t>
      </w:r>
      <w:r>
        <w:rPr/>
        <w:t xml:space="preserve"> colonization alters gene transcription of taxonomic groups differentially between antibiotic pretreatments.</w:t>
      </w:r>
    </w:p>
    <w:p>
      <w:pPr>
        <w:pStyle w:val="Normal"/>
        <w:rPr/>
      </w:pPr>
      <w:r>
        <w:rPr/>
        <w:t>Each point represents a unique gene from the respective metagenomic assembly. Coordinates were determined by the log</w:t>
      </w:r>
      <w:r>
        <w:rPr>
          <w:vertAlign w:val="subscript"/>
        </w:rPr>
        <w:t>2</w:t>
      </w:r>
      <w:r>
        <w:rPr/>
        <w:t xml:space="preserve">-transformed difference in transcription level between </w:t>
      </w:r>
      <w:r>
        <w:rPr>
          <w:i/>
        </w:rPr>
        <w:t>C. difficile</w:t>
      </w:r>
      <w:r>
        <w:rPr/>
        <w:t xml:space="preserve">-infected and mock-infected conditions for each gene. Outliers were defined using linear correlation and a squared residual cutoff of 2. Distance of outliers to the x=y line were also calculated and represented in unites of deviation or UD. The coloring of each point indicates the genus that the transcript originated from and the and the gray points denote those genes with consistent transcription levels between conditions as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Heading4"/>
        <w:rPr/>
      </w:pPr>
      <w:bookmarkStart w:id="31" w:name="figure-4-a-majority-of-metatranscriptomic-changes-are-focused-within-minority-members-of-each-microbiota."/>
      <w:bookmarkEnd w:id="31"/>
      <w:r>
        <w:rPr/>
        <w:t>Figure 4 | A majority of metatranscriptomic changes are focused within minority members of each microbiota.</w:t>
      </w:r>
    </w:p>
    <w:p>
      <w:pPr>
        <w:pStyle w:val="Normal"/>
        <w:rPr/>
      </w:pPr>
      <w:r>
        <w:rPr/>
        <w:t xml:space="preserve">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first panel represent the quantity of genera in each group as some points are obscured.</w:t>
      </w:r>
    </w:p>
    <w:p>
      <w:pPr>
        <w:pStyle w:val="Heading4"/>
        <w:rPr/>
      </w:pPr>
      <w:bookmarkStart w:id="32" w:name="figure-5-metatranscriptomic-changes-due-to-infection-in-certain-metabolic-pathways-are-overrepresented-in-the-minority-taxa."/>
      <w:bookmarkEnd w:id="32"/>
      <w:r>
        <w:rPr/>
        <w:t>Figure 5 | Metatranscriptomic changes due to infection in certain metabolic pathways are overrepresented in the minority taxa.</w:t>
      </w:r>
    </w:p>
    <w:p>
      <w:pPr>
        <w:pStyle w:val="Normal"/>
        <w:rPr/>
      </w:pPr>
      <w:r>
        <w:rPr/>
        <w:t>Log</w:t>
      </w:r>
      <w:r>
        <w:rPr>
          <w:vertAlign w:val="subscript"/>
        </w:rPr>
        <w:t>2</w:t>
      </w:r>
      <w:r>
        <w:rPr/>
        <w:t xml:space="preserve"> metagenome-normalized cDNA abundances for genes with differential transcription during infection belonging to genera that had a relative abundance greater than 0.1%. Double asterisks denotes genes shared between pretreatment groups.</w:t>
      </w:r>
    </w:p>
    <w:p>
      <w:pPr>
        <w:pStyle w:val="Heading4"/>
        <w:rPr/>
      </w:pPr>
      <w:bookmarkStart w:id="33" w:name="supplementary-figure-1-conserved-markers-of-c.-difficile-colonization-susceptibility-in-mouse-cecal-microbiomes."/>
      <w:bookmarkEnd w:id="33"/>
      <w:r>
        <w:rPr/>
        <w:t xml:space="preserve">Supplementary Figure 1 | Conserved markers of </w:t>
      </w:r>
      <w:r>
        <w:rPr>
          <w:i/>
        </w:rPr>
        <w:t>C. difficile</w:t>
      </w:r>
      <w:r>
        <w:rPr/>
        <w:t xml:space="preserve"> colonization susceptibility in mouse cecal microbiomes.</w:t>
      </w:r>
    </w:p>
    <w:p>
      <w:pPr>
        <w:pStyle w:val="Normal"/>
        <w:rPr/>
      </w:pPr>
      <w:r>
        <w:rPr>
          <w:b/>
        </w:rPr>
        <w:t>(A)</w:t>
      </w:r>
      <w:r>
        <w:rPr/>
        <w:t xml:space="preserve"> NMDS ordination of Bray-Curtis distances of OTU relative abundances between mouse cecal communities that are susceptible to colonization by </w:t>
      </w:r>
      <w:r>
        <w:rPr>
          <w:i/>
        </w:rPr>
        <w:t>C. difficile</w:t>
      </w:r>
      <w:r>
        <w:rPr/>
        <w:t xml:space="preserve"> and those that are resistant. </w:t>
      </w:r>
      <w:r>
        <w:rPr>
          <w:b/>
        </w:rPr>
        <w:t>(B)</w:t>
      </w:r>
      <w:r>
        <w:rPr/>
        <w:t xml:space="preserve"> Relative abundance of OTUs included in the optimal model generated by AUCRF classifying the same groups as in panel A, labeled with the finest resolution provided by classifying to the RDP reference database. </w:t>
      </w:r>
      <w:r>
        <w:rPr>
          <w:b/>
        </w:rPr>
        <w:t>(C)</w:t>
      </w:r>
      <w:r>
        <w:rPr/>
        <w:t xml:space="preserve"> NMDS ordination of Bray-Curtis distances between metabolite intensities. </w:t>
      </w:r>
      <w:r>
        <w:rPr>
          <w:b/>
        </w:rPr>
        <w:t>(D)</w:t>
      </w:r>
      <w:r>
        <w:rPr/>
        <w:t xml:space="preserve"> Scaled metabolites relative abundnaces included the optimal model generated by AUCRF classifying resistant and susceptible cecal microbiomes. Significant differences in A &amp; C were also calculated using permANOVA. The AUCRF models generated in this analysis also had 0% out of bag error and significant differences in B &amp; D were calculated as in Figure 2.</w:t>
      </w:r>
    </w:p>
    <w:p>
      <w:pPr>
        <w:pStyle w:val="Heading4"/>
        <w:rPr/>
      </w:pPr>
      <w:bookmarkStart w:id="34" w:name="supplementary-figure-2-signatures-of-infection-effect-on-the-cecal-microbiomes-conserved-across-pretreatment-groups."/>
      <w:bookmarkEnd w:id="34"/>
      <w:r>
        <w:rPr/>
        <w:t>Supplementary Figure 2 | Signatures of infection effect on the cecal microbiomes conserved across pretreatment groups.</w:t>
      </w:r>
    </w:p>
    <w:p>
      <w:pPr>
        <w:pStyle w:val="Normal"/>
        <w:rPr/>
      </w:pPr>
      <w:r>
        <w:rPr>
          <w:b/>
        </w:rPr>
        <w:t>(A)</w:t>
      </w:r>
      <w:r>
        <w:rPr/>
        <w:t xml:space="preserve"> NMDS ordination of Bray-Curtis distances of OTU relative abundances between antibiotic-pretreated mouse cecal communities that are either </w:t>
      </w:r>
      <w:r>
        <w:rPr>
          <w:i/>
        </w:rPr>
        <w:t>C. difficile</w:t>
      </w:r>
      <w:r>
        <w:rPr/>
        <w:t xml:space="preserve">-colonized or mock-infected. </w:t>
      </w:r>
      <w:r>
        <w:rPr>
          <w:b/>
        </w:rPr>
        <w:t>(B)</w:t>
      </w:r>
      <w:r>
        <w:rPr/>
        <w:t xml:space="preserve"> Relative abundance of OTUs included the optimal model generated by AUCRF classifying the same groups as in panel A. </w:t>
      </w:r>
      <w:r>
        <w:rPr>
          <w:b/>
        </w:rPr>
        <w:t>(C)</w:t>
      </w:r>
      <w:r>
        <w:rPr/>
        <w:t xml:space="preserve"> NMDS ordination of Bray-Curtis distances using metabolite intensities between the same classes. </w:t>
      </w:r>
      <w:r>
        <w:rPr>
          <w:b/>
        </w:rPr>
        <w:t>(D)</w:t>
      </w:r>
      <w:r>
        <w:rPr/>
        <w:t xml:space="preserve"> Scaled intensity of metabolites included the optimal model classifying infected and uninfected cecal microbiomes. Statistical differences were performed as in Figure 2.</w:t>
      </w:r>
    </w:p>
    <w:p>
      <w:pPr>
        <w:pStyle w:val="Heading4"/>
        <w:rPr/>
      </w:pPr>
      <w:bookmarkStart w:id="35" w:name="supplementary-figure-3-relative-concentrations-of-select-c.-difficile-stickland-fermentation-metabolites-across-infection-models."/>
      <w:bookmarkEnd w:id="35"/>
      <w:r>
        <w:rPr/>
        <w:t xml:space="preserve">Supplementary Figure 3 | Relative concentrations of select </w:t>
      </w:r>
      <w:r>
        <w:rPr>
          <w:i/>
        </w:rPr>
        <w:t>C. difficile</w:t>
      </w:r>
      <w:r>
        <w:rPr/>
        <w:t xml:space="preserve"> Stickland fermentation metabolites across infection models.</w:t>
      </w:r>
    </w:p>
    <w:p>
      <w:pPr>
        <w:pStyle w:val="Normal"/>
        <w:rPr/>
      </w:pPr>
      <w:r>
        <w:rPr/>
        <w:t xml:space="preserve">Metabolites included in this analysis were chosen based on their previously published interaction with </w:t>
      </w:r>
      <w:r>
        <w:rPr>
          <w:i/>
        </w:rPr>
        <w:t>C. difficile</w:t>
      </w:r>
      <w:r>
        <w:rPr/>
        <w:t xml:space="preserve"> Stickland fermentation: </w:t>
      </w:r>
      <w:r>
        <w:rPr>
          <w:b/>
        </w:rPr>
        <w:t>(A)</w:t>
      </w:r>
      <w:r>
        <w:rPr/>
        <w:t xml:space="preserve"> Proline, </w:t>
      </w:r>
      <w:r>
        <w:rPr>
          <w:b/>
        </w:rPr>
        <w:t>(B)</w:t>
      </w:r>
      <w:r>
        <w:rPr/>
        <w:t xml:space="preserve"> 4-Hydroxyproline, </w:t>
      </w:r>
      <w:r>
        <w:rPr>
          <w:b/>
        </w:rPr>
        <w:t>(C)</w:t>
      </w:r>
      <w:r>
        <w:rPr/>
        <w:t xml:space="preserve"> Glycine, </w:t>
      </w:r>
      <w:r>
        <w:rPr>
          <w:b/>
        </w:rPr>
        <w:t>(D)</w:t>
      </w:r>
      <w:r>
        <w:rPr/>
        <w:t xml:space="preserve"> 5-Aminovalerate. Significant differences were determined by Wilcoxon rank-sum test with Benjamini-Hochberg correction when necessary. Black asterisks in the plotting area represent within group differences, while green asterisks along the top border denote significant differences compared to untreated control.</w:t>
      </w:r>
    </w:p>
    <w:p>
      <w:pPr>
        <w:pStyle w:val="Heading4"/>
        <w:rPr/>
      </w:pPr>
      <w:bookmarkStart w:id="36" w:name="supplementary-figure-4-unique-genes-with-functional-annotation-detectable-within-each-metagenome-and-metatranscriptome."/>
      <w:bookmarkEnd w:id="36"/>
      <w:r>
        <w:rPr/>
        <w:t>Supplementary Figure 4 | Unique genes with functional annotation detectable within each metagenome and metatranscriptome.</w:t>
      </w:r>
    </w:p>
    <w:p>
      <w:pPr>
        <w:pStyle w:val="Normal"/>
        <w:rPr/>
      </w:pPr>
      <w:r>
        <w:rPr/>
        <w:t xml:space="preserve">Genes in each datasets were derived from respective metagenomic assemblies, with only those genes that mapped to a KEGG pathway-level annotation: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 Collector’s curves from rarefaction analysis of reads mapped to genes from </w:t>
      </w:r>
      <w:r>
        <w:rPr>
          <w:b/>
        </w:rPr>
        <w:t>(E)</w:t>
      </w:r>
      <w:r>
        <w:rPr/>
        <w:t xml:space="preserve"> metagenomes and </w:t>
      </w:r>
      <w:r>
        <w:rPr>
          <w:b/>
        </w:rPr>
        <w:t>(F)</w:t>
      </w:r>
      <w:r>
        <w:rPr/>
        <w:t xml:space="preserve"> metatranscriptomes.</w:t>
      </w:r>
    </w:p>
    <w:p>
      <w:pPr>
        <w:pStyle w:val="Heading4"/>
        <w:rPr/>
      </w:pPr>
      <w:bookmarkStart w:id="37" w:name="supplementary-table-1-antibiotic-pretreatment-regime-summaries."/>
      <w:bookmarkEnd w:id="37"/>
      <w:r>
        <w:rPr/>
        <w:t>Supplementary Table 1 | Antibiotic pretreatment regime summaries.</w:t>
      </w:r>
    </w:p>
    <w:p>
      <w:pPr>
        <w:pStyle w:val="Normal"/>
        <w:rPr/>
      </w:pPr>
      <w:r>
        <w:rPr/>
        <w:t>Antibiotic classes, mechanisms, and dosage information for each pretreatment. Quantified effect on alpha- and beta-diversities of the cecal microbiota are also included.</w:t>
      </w:r>
    </w:p>
    <w:p>
      <w:pPr>
        <w:pStyle w:val="Heading4"/>
        <w:rPr/>
      </w:pPr>
      <w:bookmarkStart w:id="38" w:name="supplementary-table-2-summary-of-impact-of-infection-on-cecal-community-structure-and-metabolome."/>
      <w:bookmarkEnd w:id="38"/>
      <w:r>
        <w:rPr/>
        <w:t>Supplementary Table 2 | Summary of impact of infection on cecal community structure and metabolome.</w:t>
      </w:r>
    </w:p>
    <w:p>
      <w:pPr>
        <w:pStyle w:val="Normal"/>
        <w:rPr/>
      </w:pPr>
      <w:r>
        <w:rPr/>
        <w:t>Global effect as well as changes to specific metabolites are included.</w:t>
      </w:r>
    </w:p>
    <w:p>
      <w:pPr>
        <w:pStyle w:val="Heading4"/>
        <w:rPr/>
      </w:pPr>
      <w:bookmarkStart w:id="39" w:name="supplementary-table-3-summary-statistics-for-datasets-containing-replicates-generated-during-this-study."/>
      <w:bookmarkEnd w:id="39"/>
      <w:r>
        <w:rPr/>
        <w:t>Supplementary Table 3 | Summary statistics for datasets containing replicates generated during this study.</w:t>
      </w:r>
    </w:p>
    <w:p>
      <w:pPr>
        <w:pStyle w:val="Heading4"/>
        <w:rPr/>
      </w:pPr>
      <w:bookmarkStart w:id="40" w:name="supplementary-table-4-high-throughput-sequencing-read-counts-and-metagenomic-assembly."/>
      <w:bookmarkEnd w:id="40"/>
      <w:r>
        <w:rPr/>
        <w:t>Supplementary Table 4 | High-throughput sequencing read counts and metagenomic assembly.</w:t>
      </w:r>
    </w:p>
    <w:p>
      <w:pPr>
        <w:pStyle w:val="Normal"/>
        <w:spacing w:before="0" w:after="180"/>
        <w:rPr/>
      </w:pPr>
      <w:r>
        <w:rPr/>
        <w:t>Raw and curated read abundances for both metagenomic and metatranscriptomic sequencing efforts. Raw read curation steps are outlined in Materials &amp; Methods. Metagenomic contig summary statistics reflect the quality of assembly for each group.</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38">
              <wp:simplePos x="0" y="0"/>
              <wp:positionH relativeFrom="margin">
                <wp:align>center</wp:align>
              </wp:positionH>
              <wp:positionV relativeFrom="paragraph">
                <wp:posOffset>635</wp:posOffset>
              </wp:positionV>
              <wp:extent cx="158115" cy="160020"/>
              <wp:effectExtent l="0" t="0" r="0" b="0"/>
              <wp:wrapSquare wrapText="largest"/>
              <wp:docPr id="1" name="Frame1"/>
              <a:graphic xmlns:a="http://schemas.openxmlformats.org/drawingml/2006/main">
                <a:graphicData uri="http://schemas.microsoft.com/office/word/2010/wordprocessingShape">
                  <wps:wsp>
                    <wps:cNvSpPr/>
                    <wps:spPr>
                      <a:xfrm>
                        <a:off x="0" y="0"/>
                        <a:ext cx="157320" cy="1594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23</w:t>
                          </w:r>
                          <w:r>
                            <w:fldChar w:fldCharType="end"/>
                          </w:r>
                        </w:p>
                      </w:txbxContent>
                    </wps:txbx>
                    <wps:bodyPr lIns="0" rIns="0" tIns="0" bIns="0">
                      <a:spAutoFit/>
                    </wps:bodyPr>
                  </wps:wsp>
                </a:graphicData>
              </a:graphic>
            </wp:anchor>
          </w:drawing>
        </mc:Choice>
        <mc:Fallback>
          <w:pict>
            <v:rect id="shape_0" ID="Frame1" stroked="f" style="position:absolute;margin-left:227.8pt;margin-top:0.05pt;width:12.35pt;height:12.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23</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83346"/>
    <w:pPr>
      <w:widowControl/>
      <w:bidi w:val="0"/>
      <w:spacing w:lineRule="auto" w:line="480" w:before="0" w:after="180"/>
      <w:jc w:val="both"/>
    </w:pPr>
    <w:rPr>
      <w:rFonts w:ascii="Arial" w:hAnsi="Arial" w:eastAsia="Cambria" w:cs="" w:cstheme="minorBidi" w:eastAsiaTheme="minorHAnsi"/>
      <w:color w:val="00000A"/>
      <w:sz w:val="22"/>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5a7e3b"/>
    <w:pPr>
      <w:keepNext/>
      <w:keepLines/>
      <w:pageBreakBefore/>
      <w:spacing w:before="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rsid w:val="005a7e3b"/>
    <w:pPr>
      <w:keepNext/>
      <w:keepLines/>
      <w:spacing w:before="300" w:after="0"/>
      <w:outlineLvl w:val="3"/>
    </w:pPr>
    <w:rPr>
      <w:rFonts w:eastAsia="" w:cs="" w:cstheme="majorBidi" w:eastAsiaTheme="majorEastAsia"/>
      <w:b/>
      <w:bCs/>
      <w:color w:val="000000" w:themeColor="text1"/>
    </w:rPr>
  </w:style>
  <w:style w:type="paragraph" w:styleId="Heading5">
    <w:name w:val="Heading 5"/>
    <w:basedOn w:val="Normal"/>
    <w:next w:val="Normal"/>
    <w:uiPriority w:val="9"/>
    <w:unhideWhenUsed/>
    <w:qFormat/>
    <w:rsid w:val="00052907"/>
    <w:pPr>
      <w:keepNext/>
      <w:keepLines/>
      <w:spacing w:before="2000" w:after="0"/>
      <w:outlineLvl w:val="4"/>
    </w:pPr>
    <w:rPr>
      <w:rFonts w:eastAsia="" w:cs="" w:cstheme="majorBidi" w:eastAsiaTheme="majorEastAsia"/>
      <w:b/>
      <w:iCs/>
      <w:color w:val="000000" w:themeColor="text1"/>
    </w:rPr>
  </w:style>
  <w:style w:type="character" w:styleId="DefaultParagraphFont" w:default="1">
    <w:name w:val="Default Paragraph Font"/>
    <w:uiPriority w:val="1"/>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2"/>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2"/>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schloss@umich.edu" TargetMode="External"/><Relationship Id="rId3" Type="http://schemas.openxmlformats.org/officeDocument/2006/relationships/hyperlink" Target="http://broadinstitute.github.io/picard/" TargetMode="External"/><Relationship Id="rId4" Type="http://schemas.openxmlformats.org/officeDocument/2006/relationships/hyperlink" Target="https://github.com/SchlossLab/Jenior_Metatranscriptomics_mSphere_2018"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LibreOffice/5.1.6.2$Linux_X86_64 LibreOffice_project/10m0$Build-2</Application>
  <Pages>37</Pages>
  <Words>9323</Words>
  <Characters>54968</Characters>
  <CharactersWithSpaces>64112</CharactersWithSpaces>
  <Paragraphs>141</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2018-05-10T14:22:36Z</dcterms:created>
  <dc:creator/>
  <dc:description/>
  <dc:language>en-US</dc:language>
  <cp:lastModifiedBy/>
  <dcterms:modified xsi:type="dcterms:W3CDTF">2018-05-18T10:39:00Z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