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pPr>
      <w:bookmarkStart w:id="0" w:name="__DdeLink__27_258085862"/>
      <w:bookmarkStart w:id="1" w:name="__DdeLink__7619_529621234"/>
      <w:bookmarkEnd w:id="0"/>
      <w:bookmarkEnd w:id="1"/>
      <w:r>
        <w:rPr>
          <w:b w:val="false"/>
          <w:bCs w:val="false"/>
          <w:i w:val="false"/>
          <w:iCs w:val="false"/>
          <w:sz w:val="24"/>
          <w:szCs w:val="24"/>
        </w:rPr>
        <w:t xml:space="preserve">Patrick D. Schloss – </w:t>
      </w:r>
      <w:hyperlink r:id="rId2">
        <w:r>
          <w:rPr>
            <w:rStyle w:val="InternetLink"/>
            <w:b w:val="false"/>
            <w:bCs w:val="false"/>
            <w:i w:val="false"/>
            <w:iCs w:val="false"/>
            <w:sz w:val="24"/>
            <w:szCs w:val="24"/>
          </w:rPr>
          <w:t>pschloss@umich.edu</w:t>
        </w:r>
      </w:hyperlink>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Overall,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val="false"/>
          <w:iCs w:val="false"/>
        </w:rPr>
        <w:t>Infection corresponded with metatranscriptomic shifts in numerous catabolic pathways and nutrient acquisition systems across susceptible communities.</w:t>
      </w:r>
      <w:r>
        <w:rPr>
          <w:i w:val="false"/>
          <w:iCs w:val="false"/>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iCs/>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while obtaining sequencing depths that adequately sampled the diversity in metagenomic and metatranscriptomic libraries, we were required to performed a combined sequencing effort for each treatment and infection group. To establish confidence in continuing with pooled analysis, we calculated within-group sample variance in all other assays where replicates were possible (Fig. S5). This revealed extremely low levels of variation within control and experimental groups at multiple level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Of these putative genes, ~30% were able to be annotated with a known function in KEGG, and many of these annotations were homologs between species within the dataset. Streptomycin pretreatment resulted in a significantly more diverse community (Fig. S1A) than other groups, so a more diverse metagenome was expected. This was the case as ~2500 unique functionally annotated genes were detected in the metagenome resulting from strptomycin pretreatment, &gt;1000 more annotated genes than either cefoperazone or clindamycin (Fig. S6).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greatest enrichment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large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of the other pretreatments (Fig. 5B). Within in this group were multiple genes for processing genetic information as well as at least one gene associated with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animals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3">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for cfu and toxin were excluded from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4">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5">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spacing w:before="180" w:after="180"/>
        <w:rPr/>
      </w:pPr>
      <w:r>
        <w:rPr/>
        <w:t xml:space="preserve">56. </w:t>
      </w:r>
      <w:r>
        <w:rPr>
          <w:b/>
        </w:rPr>
        <w:t>Segal, M. R.</w:t>
      </w:r>
      <w:r>
        <w:rPr/>
        <w:t xml:space="preserve"> 2004. Machine Learning Benchmarks and Random Forest Regression. Biostatistics 1–14.</w:t>
      </w:r>
    </w:p>
    <w:p>
      <w:pPr>
        <w:pStyle w:val="TextBody"/>
        <w:spacing w:before="180" w:after="180"/>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All data (besides CFU over time) were collected from the same nine animals per group (n = 9).</w:t>
      </w:r>
    </w:p>
    <w:p>
      <w:pPr>
        <w:pStyle w:val="TextBody"/>
        <w:rPr/>
      </w:pPr>
      <w:r>
        <w:rPr>
          <w:b/>
        </w:rPr>
        <w:t>Supplementary Figure 6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spacing w:before="180" w:after="180"/>
        <w:rPr/>
      </w:pPr>
      <w:r>
        <w:rPr>
          <w:b/>
        </w:rPr>
        <w:t>Supplementary Table 4 | Median scaled intensity of metabolites for each antibiotic pretreatment and infection group</w:t>
      </w:r>
    </w:p>
    <w:sectPr>
      <w:footerReference w:type="default" r:id="rId6"/>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6">
              <wp:simplePos x="0" y="0"/>
              <wp:positionH relativeFrom="margin">
                <wp:align>center</wp:align>
              </wp:positionH>
              <wp:positionV relativeFrom="paragraph">
                <wp:posOffset>635</wp:posOffset>
              </wp:positionV>
              <wp:extent cx="172085" cy="174625"/>
              <wp:effectExtent l="0" t="0" r="0" b="0"/>
              <wp:wrapSquare wrapText="largest"/>
              <wp:docPr id="1" name="Frame1"/>
              <a:graphic xmlns:a="http://schemas.openxmlformats.org/drawingml/2006/main">
                <a:graphicData uri="http://schemas.microsoft.com/office/word/2010/wordprocessingShape">
                  <wps:wsp>
                    <wps:cNvSpPr/>
                    <wps:spPr>
                      <a:xfrm>
                        <a:off x="0" y="0"/>
                        <a:ext cx="1713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45</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45</w:t>
                    </w:r>
                    <w:r>
                      <w:fldChar w:fldCharType="end"/>
                    </w:r>
                  </w:p>
                </w:txbxContent>
              </v:textbox>
            </v:rect>
          </w:pict>
        </mc:Fallback>
      </mc:AlternateContent>
    </w:r>
  </w:p>
</w:ft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roadinstitute.github.io/picard/" TargetMode="External"/><Relationship Id="rId4" Type="http://schemas.openxmlformats.org/officeDocument/2006/relationships/hyperlink" Target="mailto:pschloss@umich.edu" TargetMode="External"/><Relationship Id="rId5" Type="http://schemas.openxmlformats.org/officeDocument/2006/relationships/hyperlink" Target="https://github.com/mjenior/Jenior_Metatranscriptomics_mSphere_2018"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LibreOffice/5.1.6.2$Linux_X86_64 LibreOffice_project/10m0$Build-2</Application>
  <Pages>45</Pages>
  <Words>11363</Words>
  <CharactersWithSpaces>67616</CharactersWithSpaces>
  <Paragraphs>133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2018-02-10T20:03:48Z</dcterms:created>
  <dc:creator/>
  <dc:description/>
  <dc:language>en-US</dc:language>
  <cp:lastModifiedBy/>
  <dcterms:modified xsi:type="dcterms:W3CDTF">2018-02-12T09:48:41Z</dcterms:modified>
  <cp:revision>9</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