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i w:val="false"/>
          <w:i w:val="false"/>
          <w:iCs w:val="false"/>
        </w:rPr>
      </w:pPr>
      <w:bookmarkStart w:id="0" w:name="__DdeLink__7619_529621234"/>
      <w:bookmarkStart w:id="1" w:name="__DdeLink__27_258085862"/>
      <w:bookmarkEnd w:id="0"/>
      <w:bookmarkEnd w:id="1"/>
      <w:r>
        <w:rPr>
          <w:b w:val="false"/>
          <w:bCs w:val="false"/>
          <w:i w:val="false"/>
          <w:iCs w:val="false"/>
          <w:sz w:val="24"/>
          <w:szCs w:val="24"/>
        </w:rPr>
        <w:t>Patrick D. Schloss – pschloss@umich.edu</w:t>
      </w:r>
    </w:p>
    <w:p>
      <w:pPr>
        <w:pStyle w:val="TextBody"/>
        <w:rPr>
          <w:b/>
          <w:b/>
        </w:rPr>
      </w:pPr>
      <w:r>
        <w:rPr/>
      </w:r>
    </w:p>
    <w:p>
      <w:pPr>
        <w:pStyle w:val="TextBody"/>
        <w:rPr>
          <w:b/>
          <w:b/>
        </w:rPr>
      </w:pPr>
      <w:r>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w:t>
      </w:r>
      <w:r>
        <w:rPr/>
        <w:t>previously</w:t>
      </w:r>
      <w:r>
        <w:rPr/>
        <w:t xml:space="preserve">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w:t>
      </w:r>
      <w:r>
        <w:rPr/>
        <w:t>taxonomic</w:t>
      </w:r>
      <w:r>
        <w:rPr/>
        <w:t xml:space="preserve"> units (otu) clustered at 97% </w:t>
      </w:r>
      <w:r>
        <w:rPr/>
        <w:t>similarity</w:t>
      </w:r>
      <w:r>
        <w:rPr/>
        <w:t xml:space="preserve">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w:t>
      </w:r>
      <w:r>
        <w:rPr/>
        <w:t>dissimilarity</w:t>
      </w:r>
      <w:r>
        <w:rPr/>
        <w:t xml:space="preserve">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w:t>
      </w:r>
      <w:r>
        <w:rPr/>
        <w:t>Interestingly</w:t>
      </w:r>
      <w:r>
        <w:rPr/>
        <w:t xml:space="preserve">, these otus are not </w:t>
      </w:r>
      <w:r>
        <w:rPr/>
        <w:t>consistently</w:t>
      </w:r>
      <w:r>
        <w:rPr/>
        <w:t xml:space="preserve">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S1B; </w:t>
      </w:r>
      <w:r>
        <w:rPr>
          <w:i/>
        </w:rPr>
        <w:t>p</w:t>
      </w:r>
      <w:r>
        <w:rPr/>
        <w:t xml:space="preserve"> &lt; 0.</w:t>
      </w:r>
      <w:r>
        <w:rPr/>
        <w:t>001</w:t>
      </w:r>
      <w:r>
        <w:rPr/>
        <w:t xml:space="preserve">). Additionally, multiple members of Clostridia which may also capable of metabolizing amino acids for growth (24) were selected by AUCRF and were significantly decreased during susceptibility (Fig. S1A; </w:t>
      </w:r>
      <w:r>
        <w:rPr>
          <w:i/>
        </w:rPr>
        <w:t>p</w:t>
      </w:r>
      <w:r>
        <w:rPr/>
        <w:t xml:space="preserve"> &lt; 0.</w:t>
      </w:r>
      <w:r>
        <w:rPr/>
        <w:t>001</w:t>
      </w:r>
      <w:r>
        <w:rPr/>
        <w:t xml:space="preserve">).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0.171, 0.082),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corbon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S5).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metbolomic-level. As disparate bacterial taxa possess vastly different metabolic capabilities, and antibiotic induced 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catagories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Table S1). As a </w:t>
      </w:r>
      <w:r>
        <w:rPr/>
        <w:t>corollary</w:t>
      </w:r>
      <w:r>
        <w:rPr/>
        <w:t xml:space="preserve">,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w:t>
      </w:r>
      <w:r>
        <w:rPr/>
        <w:t>usable</w:t>
      </w:r>
      <w:r>
        <w:rPr/>
        <w:t xml:space="preserv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w:t>
      </w:r>
      <w:r>
        <w:rPr/>
        <w:t>received</w:t>
      </w:r>
      <w:r>
        <w:rPr/>
        <w:t xml:space="preserve">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preteatment respectively leaving 37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w:t>
      </w:r>
      <w:r>
        <w:rPr/>
        <w:t>related</w:t>
      </w:r>
      <w:r>
        <w:rPr/>
        <w:t xml:space="preserve">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w:t>
      </w:r>
      <w:r>
        <w:rPr/>
        <w:t>concordant</w:t>
      </w:r>
      <w:r>
        <w:rPr/>
        <w:t xml:space="preserve">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Random forest was performed using the AUCRF implementation (22) as well as the standard package (50)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&amp; C were determined by Wilcoxon rank-sum test with Benjamni-Hochberg correction when necessary. The limit of detection was used in place of undetectable values for statistical testing. </w:t>
      </w:r>
      <w:r>
        <w:rPr>
          <w:b/>
        </w:rPr>
        <w:t>(C)</w:t>
      </w:r>
      <w:r>
        <w:rPr/>
        <w:t xml:space="preserve"> Relative abundance of family-level OTU taxonomic classification in each pretreatment group.</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w:t>
      </w:r>
      <w:r>
        <w:rPr/>
        <w:t>Quantified</w:t>
      </w:r>
      <w:r>
        <w:rPr/>
        <w:t xml:space="preserve"> effect on alpha- and beta-diversities of the cecal microbiota are also included.</w:t>
      </w:r>
    </w:p>
    <w:p>
      <w:pPr>
        <w:pStyle w:val="TextBody"/>
        <w:rPr/>
      </w:pPr>
      <w:r>
        <w:rPr>
          <w:b/>
        </w:rPr>
        <w:t>Supplementary Table 2 | Summary of impact of infection on cecal community structure and met</w:t>
      </w:r>
      <w:r>
        <w:rPr>
          <w:b/>
        </w:rPr>
        <w:t>ab</w:t>
      </w:r>
      <w:r>
        <w:rPr>
          <w:b/>
        </w:rPr>
        <w:t>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w:t>
      </w:r>
      <w:r>
        <w:rPr/>
        <w:t>curation</w:t>
      </w:r>
      <w:r>
        <w:rPr/>
        <w:t xml:space="preserve">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pBdr/>
        <w:spacing w:before="180" w:after="180"/>
        <w:rPr/>
      </w:pPr>
      <w:r>
        <w:rPr/>
        <w:t xml:space="preserve">50.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0">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39</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39</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39</Pages>
  <Words>9775</Words>
  <Characters>57917</Characters>
  <CharactersWithSpaces>67543</CharactersWithSpaces>
  <Paragraphs>117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2018-04-22T14:32:32Z</dcterms:created>
  <dc:creator/>
  <dc:description/>
  <dc:language>en-US</dc:language>
  <cp:lastModifiedBy/>
  <dcterms:modified xsi:type="dcterms:W3CDTF">2018-04-22T11:06:02Z</dcterms:modified>
  <cp:revision>2</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