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0.002)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from the center of 2.545 associated with streptomycin-pretreatment, 2930 genes at an average distance of 3.854 in cefoperazone-pretreatment, and only 727 genes at an average distance of 2.414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low-abundance-taxa-of-each-pretreatment-group."/>
      <w:bookmarkEnd w:id="10"/>
      <w:r>
        <w:rPr/>
        <w:t>Largest changes in metatranscriptomes in response to infection were concentrated in low abundance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Unstranded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and metabolite concentrations were determined by Wilcoxon signed-rank test with Benjamini-Hochberg correction using a study-wide Type I error rate of 0.05. Undetectable points used the limit of detection for CFU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Euclidean distance of outliers to the x=y line was also calculated.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w:t>
      </w:r>
      <w:r>
        <w:rPr/>
        <w:t>, and point colors correspond to those used in Figure 3</w:t>
      </w:r>
      <w:r>
        <w:rPr/>
        <w:t>.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(1X coverage).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8">
              <wp:simplePos x="0" y="0"/>
              <wp:positionH relativeFrom="margin">
                <wp:align>center</wp:align>
              </wp:positionH>
              <wp:positionV relativeFrom="paragraph">
                <wp:posOffset>635</wp:posOffset>
              </wp:positionV>
              <wp:extent cx="157480" cy="160020"/>
              <wp:effectExtent l="0" t="0" r="0" b="0"/>
              <wp:wrapSquare wrapText="largest"/>
              <wp:docPr id="1" name="Frame1"/>
              <a:graphic xmlns:a="http://schemas.openxmlformats.org/drawingml/2006/main">
                <a:graphicData uri="http://schemas.microsoft.com/office/word/2010/wordprocessingShape">
                  <wps:wsp>
                    <wps:cNvSpPr/>
                    <wps:spPr>
                      <a:xfrm>
                        <a:off x="0" y="0"/>
                        <a:ext cx="156960" cy="1594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37</w:t>
                          </w:r>
                          <w:r>
                            <w:fldChar w:fldCharType="end"/>
                          </w:r>
                        </w:p>
                      </w:txbxContent>
                    </wps:txbx>
                    <wps:bodyPr lIns="0" rIns="0" tIns="0" bIns="0">
                      <a:spAutoFit/>
                    </wps:bodyPr>
                  </wps:wsp>
                </a:graphicData>
              </a:graphic>
            </wp:anchor>
          </w:drawing>
        </mc:Choice>
        <mc:Fallback>
          <w:pict>
            <v:rect id="shape_0" ID="Frame1" stroked="f" style="position:absolute;margin-left:227.8pt;margin-top:0.05pt;width:12.3pt;height:12.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37</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00000A"/>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37</Pages>
  <Words>9325</Words>
  <Characters>54984</Characters>
  <CharactersWithSpaces>64130</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2018-05-24T13:23:09Z</dcterms:created>
  <dc:creator/>
  <dc:description/>
  <dc:language>en-US</dc:language>
  <cp:lastModifiedBy/>
  <dcterms:modified xsi:type="dcterms:W3CDTF">2018-05-29T15:52:26Z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