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b w:val="false"/>
          <w:b w:val="false"/>
          <w:bCs w:val="false"/>
        </w:rPr>
      </w:pPr>
      <w:bookmarkStart w:id="0" w:name="__DdeLink__7619_529621234"/>
      <w:bookmarkStart w:id="1" w:name="__DdeLink__27_258085862"/>
      <w:bookmarkEnd w:id="0"/>
      <w:bookmarkEnd w:id="1"/>
      <w:r>
        <w:rPr>
          <w:b w:val="false"/>
          <w:bCs w:val="false"/>
          <w:sz w:val="24"/>
          <w:szCs w:val="24"/>
        </w:rPr>
        <w:t>Patrick D. Schloss – pschloss@umich.edu</w:t>
      </w:r>
    </w:p>
    <w:p>
      <w:pPr>
        <w:pStyle w:val="TextBody"/>
        <w:rPr>
          <w:b/>
          <w:b/>
        </w:rPr>
      </w:pPr>
      <w:r>
        <w:rPr/>
      </w:r>
    </w:p>
    <w:p>
      <w:pPr>
        <w:pStyle w:val="TextBody"/>
        <w:rPr>
          <w:b/>
          <w:b/>
        </w:rPr>
      </w:pPr>
      <w:r>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significantly larger impacts on the metabolic environment across cefoperazone and streptomycin-pretreated mice, which become persistently colonized compared to clindamycin-pretreated mice where infection quickly becomes undetectable. Through metagenome-enabled metatranscriptomics we observed that the infected microbial communities were greatly reduced in transcript for genes associated with carbon and energy acquisition, suggesting niches occupied instead by </w:t>
      </w:r>
      <w:r>
        <w:rPr>
          <w:i/>
        </w:rPr>
        <w:t>C. difficile</w:t>
      </w:r>
      <w:r>
        <w:rPr/>
        <w:t xml:space="preserve">. Furthermore, the largest degree of change in transcription were seen in the least abundant species within the respective groups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expression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as quantified from stool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prior to the onset of detactable inflammation in the epithelium (21).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S1B).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(22),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unified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&gt; 10%).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rPr>
        <w:t>Infection corresponded with large shifts in metatranscriptomic expression that strongly differ across antibiotic pretreatments.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To achieve usable concentrations of bacterial mRNA, and also to obtain informative depths of sequencing that adequately sampled the diversity in metagenomic and metatranscriptomic libraries (Fig. S6E&amp;F), we were required to performed a combined sequencing effort for each treatment and infection group. To establish confidence in continuing pooled analysis, we calculated within-group sample variance replicates from cfu, otu relative abundance, and untargeted metabolomic (Table S5). Despite limited outliers, this revealed low levels in the median and interquartile range of variance within control and experimental groups at multiple levels of biology.</w:t>
      </w:r>
    </w:p>
    <w:p>
      <w:pPr>
        <w:pStyle w:val="TextBody"/>
        <w:rPr/>
      </w:pPr>
      <w:r>
        <w:rPr/>
        <w:t xml:space="preserve">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(Fig. S1A) than other groups, so a more diverse metagenome was expected. 2408 unique functionally annotated genes were detected in the metagenome resulting from strptomycin pretreatment, at least 1163 more genes than either cefoperazone or clindamycin (Fig. S5).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an equal standard of comparison across groups and identify genes with the largest increases in transcription above baseline. To highlight the largest magnitude of difference in transcription, we identified the top 15% genes (Fig. 5A) or pathways (Fig. 5B) in each antibiotic pretreatment group with the highest disparity in normalized cDNA abundance between mock and </w:t>
      </w:r>
      <w:r>
        <w:rPr>
          <w:i/>
        </w:rPr>
        <w:t>C. difficile</w:t>
      </w:r>
      <w:r>
        <w:rPr/>
        <w:t xml:space="preserve">-infected groups and cross-referenced the pretreatments. Based on the metabolomic results we hypothesized that pathways with the greatest differences would be related to catabolism of metabolites in established </w:t>
      </w:r>
      <w:r>
        <w:rPr>
          <w:i/>
        </w:rPr>
        <w:t>C. difficile</w:t>
      </w:r>
      <w:r>
        <w:rPr/>
        <w:t xml:space="preserve"> nutrient niches.</w:t>
      </w:r>
    </w:p>
    <w:p>
      <w:pPr>
        <w:pStyle w:val="TextBody"/>
        <w:rPr/>
      </w:pPr>
      <w:r>
        <w:rPr/>
        <w:t xml:space="preserve">This analysis revealed low levels of conservation of transcriptional changes between the antibiotic pretreatments induced by </w:t>
      </w:r>
      <w:r>
        <w:rPr>
          <w:i/>
        </w:rPr>
        <w:t>C. difficile</w:t>
      </w:r>
      <w:r>
        <w:rPr/>
        <w:t xml:space="preserve"> colonization. This trend is at least partially driven by significant differences in community membership (Fig. 2A), and consequently metagenomic content repertoire available for transcription. The most stark finding was how few genes were among those shared as highly differentially expressed between all pretreatments (Fig. 5A). Interestingly, streptomycin and clindamycin pretreatments shared a large number of altered genes, while cefoperazone-pretreatment shared relatively few with either other susceptible condition. These were again likely due to large differences in community compositions. Upon inspection of those 8 shared genes, a Dps family protein gene is the most varied in transcription among them. The protein product of this gene is associated with DNA protection and iron binding under periods of environmental stress (31). Furthermore, format acetyltransferase and phosphopyruvate hydratase are highly varied in their transcription and are central nodes of metabolism, which lend themselves to the hypothesis that the microbiota must process energy sources differently in the presence of </w:t>
      </w:r>
      <w:r>
        <w:rPr>
          <w:i/>
        </w:rPr>
        <w:t>C. difficile</w:t>
      </w:r>
      <w:r>
        <w:rPr/>
        <w:t xml:space="preserve">. Pathway-level analysis revealed a larger proportion of overlap between pretreatments than at the gene-level (Fig. 5B). Among these differences, the greatest degree of change was in ABC transporter transcription further supported large-scale shifts in nutrient import across the individual communities. More to this point, numerous genes for nutrient transport or utilization were differentially overrepresented between infected and mock-infected conditions across pretreatment groups when compared to untreated/resistant communities (Fig. S4). Following up on other pathways in the shared differences grouping, the KEGG category microbial metabolism in diverse environments is a broad classification that includes genes for not only carbohydrate and amino acid catabolism, but also the degradation and metabolism of xenobiotics. Inclusion of this category supports that the microbiota may be restructuring energy acquisition strategies or dealing with additional metabolites introduced due to pathogen colonization. Parallel to these results, large changes in oxidative phosphorylation as well as starch/sucrose metabolism also indicate modification of nutrient niche segregation between mock and infected states that may drive the ability of </w:t>
      </w:r>
      <w:r>
        <w:rPr>
          <w:i/>
        </w:rPr>
        <w:t>C. difficile</w:t>
      </w:r>
      <w:r>
        <w:rPr/>
        <w:t xml:space="preserve"> to colonize long-term. Altogether, these shifts supported that </w:t>
      </w:r>
      <w:r>
        <w:rPr>
          <w:i/>
        </w:rPr>
        <w:t>C. difficile</w:t>
      </w:r>
      <w:r>
        <w:rPr/>
        <w:t xml:space="preserve"> colonization is associated with substantial changes in the transcription of nutrient acquisition pathways in the microbiota, which vary greatly between antibiotic-induced susceptible states.</w:t>
      </w:r>
    </w:p>
    <w:p>
      <w:pPr>
        <w:pStyle w:val="TextBody"/>
        <w:rPr/>
      </w:pPr>
      <w:r>
        <w:rPr>
          <w:b/>
          <w:i/>
        </w:rPr>
        <w:t>C. difficile</w:t>
      </w:r>
      <w:r>
        <w:rPr>
          <w:b/>
        </w:rPr>
        <w:t xml:space="preserve"> colonization disproportionately impacted the gene transcription of low-abundance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abundance of the contruting bacterial taxa (gene count). We then directly compared the normalized cDNA abundances for each gene between infected and uninfected states for each antibiotic pretreatment and applied Spearman correlation to identify distinct patterns of expression (Fig. 6A-C). This resulted in 2473 outliers at an average distance of 2.545 units of deviation (UD) associated with streptomycin, 2930 outliers at an average distance 3.854 UD with cefoperazone, and only 727 outliers at an average distance of 2.414 UD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ρ</w:t>
      </w:r>
      <w:r>
        <w:rPr/>
        <w:t xml:space="preserve"> = 0.03 &amp; </w:t>
      </w:r>
      <w:r>
        <w:rPr>
          <w:i/>
        </w:rPr>
        <w:t>ρ</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ρ</w:t>
      </w:r>
      <w:r>
        <w:rPr/>
        <w:t xml:space="preserve"> = 0.86). This suggested that the degree to which the metatranscriptome was shifted by infection corresponded to prolonged colonization. We further characterized this by tabulating the absolute difference between mock-infection and CDI in all transcriptomic abundances per genus in each antibiotic pretreatment, normalizing for the number of genes detected in each genera. Taxa were then separated into groups based on their relative abundance in each community based on 16S rRNA gene sequencing (Fig. 6D). This revealed that most change occurred within relatively rare bacterial taxa. As the number and diversity of low abundance taxa was much larger than that of highly abundant groups, the majority of unique genes and metabolic potential was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(32),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(33). For example, this strategy has been observed in temperate lakes where conditionally rare microbes were found to be far more metabolically active than highly abundant taxa (34),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(35),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(36). Furthermore, it was recently found that bacterial metabolic generalists may be more likely to actively antagonize the growth of other species in an environment which they are colonizing (37).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38–40).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41–43). The effect of </w:t>
      </w:r>
      <w:r>
        <w:rPr>
          <w:i/>
        </w:rPr>
        <w:t>C. difficile</w:t>
      </w:r>
      <w:r>
        <w:rPr/>
        <w:t xml:space="preserve"> colonization on community metabolic activity could also be linked to pathogen strain and may offer an explanation to the propensity of some strains to persist over others (44).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(45).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46).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(47).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(48).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(47).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(39).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(49) on a per library basis. Reads were quality trimmed using Sickle (50)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(51)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(52) using Diamond implementation of BLASTp (53). Peptide-level gene annotations were assigned to the corresponding nucleotide sequence, and genes failing to find a match in KEGG were preserved as unannotated genes. Final nucleotide fasta files with KEGG annotations were then utilized in the construction of Bowtie2 (54) mapping databases from downstream analyses.</w:t>
      </w:r>
    </w:p>
    <w:p>
      <w:pPr>
        <w:pStyle w:val="TextBody"/>
        <w:rPr/>
      </w:pPr>
      <w:r>
        <w:rPr>
          <w:b/>
        </w:rPr>
        <w:t>DNA/cDNA read mapping and normalization.</w:t>
      </w:r>
      <w:r>
        <w:rPr/>
        <w:t xml:space="preserve"> Mapping was accomplished using Bowtie2 (54) and the default stringent settings. Optical and PCR duplicates were then removed using Picard MarkDuplicates (</w:t>
      </w:r>
      <w:hyperlink r:id="rId2">
        <w:r>
          <w:rPr>
            <w:rStyle w:val="InternetLink"/>
          </w:rPr>
          <w:t>http://broadinstitute.github.io/picard/</w:t>
        </w:r>
      </w:hyperlink>
      <w:r>
        <w:rPr/>
        <w:t xml:space="preserve">). The remaining mappings were converted to idxstats format using Samtools (55)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(56), with the informative threshold of MDAs greater than the absolute value of the lowest MDA defined by (57). Distances of outlier points from center line during metatranscriptomic comparisons was accomplished using 2-dimensional linear geometry.</w:t>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Ph.D., Jhansi L. Leslie Ph.D.,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p>
    <w:p>
      <w:pPr>
        <w:pStyle w:val="TextBody"/>
        <w:rPr/>
      </w:pPr>
      <w:r>
        <w:rPr/>
        <w:t xml:space="preserve">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Venn diagrams showing the overlap in top 15% of differentially transcribed individual genes </w:t>
      </w:r>
      <w:r>
        <w:rPr>
          <w:b/>
        </w:rPr>
        <w:t>(A)</w:t>
      </w:r>
      <w:r>
        <w:rPr/>
        <w:t xml:space="preserve"> or pathways </w:t>
      </w:r>
      <w:r>
        <w:rPr>
          <w:b/>
        </w:rPr>
        <w:t>(B)</w:t>
      </w:r>
      <w:r>
        <w:rPr/>
        <w:t xml:space="preserve"> respectively in each antibiotic preatretment between CDI and mock infections. Below each venn diagram are the corresponding genes/pathways contained in the central shared regions for all three pretreatments. Solid colored bars indicated </w:t>
      </w:r>
      <w:r>
        <w:rPr>
          <w:i/>
        </w:rPr>
        <w:t>C. difficile</w:t>
      </w:r>
      <w:r>
        <w:rPr/>
        <w:t xml:space="preserve"> infection and dashed bars are mock infected, separate colors denoted sntibiotic pretreatment. Genes/pathways are ranked in terms of decreasing sample variance between all analyzed groups. Genes are also labeled with numbers indicated membership in KEGG pathways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expression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Largest discrete gene and pathway, metatranscriptomic differences between antibiotic pretreatments and resistant microbiota</w:t>
      </w:r>
      <w:r>
        <w:rPr/>
        <w:t xml:space="preserve"> Included are the top 10 genes from unique subsections of venn diagrams from each pretreatment group in Figure 5A-B. Genes/Pathways with the largest disparity compared the metatranscriptome from the cecal community of untreated mice. Panels for gene-level analysis are as follows; </w:t>
      </w:r>
      <w:r>
        <w:rPr>
          <w:b/>
        </w:rPr>
        <w:t>(A)</w:t>
      </w:r>
      <w:r>
        <w:rPr/>
        <w:t xml:space="preserve"> Streptomycin-pretreatment, </w:t>
      </w:r>
      <w:r>
        <w:rPr>
          <w:b/>
        </w:rPr>
        <w:t>(B)</w:t>
      </w:r>
      <w:r>
        <w:rPr/>
        <w:t xml:space="preserve"> Cefoperazone-pretreatment, and </w:t>
      </w:r>
      <w:r>
        <w:rPr>
          <w:b/>
        </w:rPr>
        <w:t>(C)</w:t>
      </w:r>
      <w:r>
        <w:rPr/>
        <w:t xml:space="preserve"> Clindamycin-pretreatment. </w:t>
      </w:r>
      <w:r>
        <w:rPr>
          <w:b/>
        </w:rPr>
        <w:t>(D)</w:t>
      </w:r>
      <w:r>
        <w:rPr/>
        <w:t xml:space="preserve"> Pathway-level annotations for unique groupings in Figure 5B.</w:t>
      </w:r>
    </w:p>
    <w:p>
      <w:pPr>
        <w:pStyle w:val="TextBody"/>
        <w:rPr/>
      </w:pPr>
      <w:r>
        <w:rPr>
          <w:b/>
        </w:rPr>
        <w:t>Supplementary Figure 5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of complete metatranscriptomes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w:t>
      </w:r>
    </w:p>
    <w:p>
      <w:pPr>
        <w:pStyle w:val="TextBody"/>
        <w:rPr/>
      </w:pPr>
      <w:r>
        <w:rPr>
          <w:b/>
        </w:rPr>
        <w:t>Supplementary Table 4 | Median scaled intensity of metabolites for each antibiotic pretreatment and infection group</w:t>
      </w:r>
    </w:p>
    <w:p>
      <w:pPr>
        <w:pStyle w:val="TextBody"/>
        <w:rPr/>
      </w:pPr>
      <w:r>
        <w:rPr>
          <w:b/>
        </w:rPr>
        <w:t>Supplementary Table 5 | Interquartile range of sample variances across datasets with replication generated during this study</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Clostridium sticklandii,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Clostridium difficile.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Clostridium difficile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Clostridium difficile stickland metabolism. Journal of Bacteriology </w:t>
      </w:r>
      <w:r>
        <w:rPr>
          <w:b/>
        </w:rPr>
        <w:t>195</w:t>
      </w:r>
      <w:r>
        <w:rPr/>
        <w:t>:844–854.</w:t>
      </w:r>
    </w:p>
    <w:p>
      <w:pPr>
        <w:pStyle w:val="Bibliography"/>
        <w:rPr/>
      </w:pPr>
      <w:r>
        <w:rPr/>
        <w:t xml:space="preserve">31. </w:t>
      </w:r>
      <w:r>
        <w:rPr>
          <w:b/>
        </w:rPr>
        <w:t>Ilari, A.</w:t>
      </w:r>
      <w:r>
        <w:rPr/>
        <w:t xml:space="preserve">, </w:t>
      </w:r>
      <w:r>
        <w:rPr>
          <w:b/>
        </w:rPr>
        <w:t>S. Stefanini</w:t>
      </w:r>
      <w:r>
        <w:rPr/>
        <w:t xml:space="preserve">, </w:t>
      </w:r>
      <w:r>
        <w:rPr>
          <w:b/>
        </w:rPr>
        <w:t>E. Chiancone</w:t>
      </w:r>
      <w:r>
        <w:rPr/>
        <w:t xml:space="preserve">, and </w:t>
      </w:r>
      <w:r>
        <w:rPr>
          <w:b/>
        </w:rPr>
        <w:t>D. Tsernoglou</w:t>
      </w:r>
      <w:r>
        <w:rPr/>
        <w:t xml:space="preserve">. 2000. The dodecameric ferritin from Listeria innocua contains a novel intersubunit iron-binding site. Nature Structural Biology </w:t>
      </w:r>
      <w:r>
        <w:rPr>
          <w:b/>
        </w:rPr>
        <w:t>7</w:t>
      </w:r>
      <w:r>
        <w:rPr/>
        <w:t>:38–43.</w:t>
      </w:r>
    </w:p>
    <w:p>
      <w:pPr>
        <w:pStyle w:val="Bibliography"/>
        <w:rPr/>
      </w:pPr>
      <w:r>
        <w:rPr/>
        <w:t xml:space="preserve">32.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33.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34.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35.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36.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37.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38.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39.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40.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41.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42.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43.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44.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45.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46.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Clostridium difficile within human intestinal organoids result in disruption of epithelial paracellular barrier function. Infection and Immunity </w:t>
      </w:r>
      <w:r>
        <w:rPr>
          <w:b/>
        </w:rPr>
        <w:t>83</w:t>
      </w:r>
      <w:r>
        <w:rPr/>
        <w:t>:138–145.</w:t>
      </w:r>
    </w:p>
    <w:p>
      <w:pPr>
        <w:pStyle w:val="Bibliography"/>
        <w:rPr/>
      </w:pPr>
      <w:r>
        <w:rPr/>
        <w:t xml:space="preserve">47.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48.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49. </w:t>
      </w:r>
      <w:r>
        <w:rPr>
          <w:b/>
        </w:rPr>
        <w:t>Martin, M.</w:t>
      </w:r>
      <w:r>
        <w:rPr/>
        <w:t xml:space="preserve"> 2011. Cutadapt removes adapter sequences from high-throughput sequencing reads. EMBnet </w:t>
      </w:r>
      <w:r>
        <w:rPr>
          <w:b/>
        </w:rPr>
        <w:t>17</w:t>
      </w:r>
      <w:r>
        <w:rPr/>
        <w:t>:10.</w:t>
      </w:r>
    </w:p>
    <w:p>
      <w:pPr>
        <w:pStyle w:val="Bibliography"/>
        <w:rPr/>
      </w:pPr>
      <w:r>
        <w:rPr/>
        <w:t xml:space="preserve">50.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51.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52.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53.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54.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55.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56. </w:t>
      </w:r>
      <w:r>
        <w:rPr>
          <w:b/>
        </w:rPr>
        <w:t>Breiman, L.</w:t>
      </w:r>
      <w:r>
        <w:rPr/>
        <w:t xml:space="preserve"> 2001. Random forests. Machine Learning </w:t>
      </w:r>
      <w:r>
        <w:rPr>
          <w:b/>
        </w:rPr>
        <w:t>45</w:t>
      </w:r>
      <w:r>
        <w:rPr/>
        <w:t>:5–32.</w:t>
      </w:r>
    </w:p>
    <w:p>
      <w:pPr>
        <w:pStyle w:val="Bibliography"/>
        <w:pBdr/>
        <w:spacing w:before="180" w:after="180"/>
        <w:rPr/>
      </w:pPr>
      <w:r>
        <w:rPr/>
        <w:t xml:space="preserve">57. </w:t>
      </w:r>
      <w:r>
        <w:rPr>
          <w:b/>
        </w:rPr>
        <w:t>Segal, M. R.</w:t>
      </w:r>
      <w:r>
        <w:rPr/>
        <w:t xml:space="preserve"> 2004. Machine Learning Benchmarks and Random Forest Regression. Biostatistics 1–14.</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7">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46</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46</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46</Pages>
  <Words>11441</Words>
  <Characters>68264</Characters>
  <CharactersWithSpaces>79533</CharactersWithSpaces>
  <Paragraphs>134</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2018-03-26T23:11:02Z</dcterms:created>
  <dc:creator/>
  <dc:description/>
  <dc:language>en-US</dc:language>
  <cp:lastModifiedBy/>
  <dcterms:modified xsi:type="dcterms:W3CDTF">2018-03-26T19:11:56Z</dcterms:modified>
  <cp:revision>1</cp:revision>
  <dc:subject/>
  <dc:title>Clostridium difficile alters the structure and metabolism of distinct cecal microbiomes during initial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