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27_258085862"/>
      <w:bookmarkStart w:id="1" w:name="__DdeLink__7619_529621234"/>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iCs/>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iCs/>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iCs/>
        </w:rPr>
        <w:t>C. difficile</w:t>
      </w:r>
      <w:r>
        <w:rPr/>
        <w:t xml:space="preserve">. Untargeted metabolomic analysis revealed that </w:t>
      </w:r>
      <w:r>
        <w:rPr>
          <w:i/>
          <w:iCs/>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iCs/>
        </w:rPr>
        <w:t>C. difficile</w:t>
      </w:r>
      <w:r>
        <w:rPr/>
        <w:t xml:space="preserve">. Furthermore, the largest degree of change in transcription were seen in the least abundant species within the respective groups indicating that </w:t>
      </w:r>
      <w:r>
        <w:rPr>
          <w:i/>
          <w:iCs/>
        </w:rPr>
        <w:t>C. difficile</w:t>
      </w:r>
      <w:r>
        <w:rPr/>
        <w:t xml:space="preserve"> may "attack the loser" in gut environments where sustained infection occurs more readily. Overall, our results suggest that </w:t>
      </w:r>
      <w:r>
        <w:rPr>
          <w:i/>
          <w:iCs/>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repertoire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2085" cy="174625"/>
              <wp:effectExtent l="0" t="0" r="0" b="0"/>
              <wp:wrapSquare wrapText="largest"/>
              <wp:docPr id="1" name="Frame1"/>
              <a:graphic xmlns:a="http://schemas.openxmlformats.org/drawingml/2006/main">
                <a:graphicData uri="http://schemas.microsoft.com/office/word/2010/wordprocessingShape">
                  <wps:wsp>
                    <wps:cNvSpPr/>
                    <wps:spPr>
                      <a:xfrm>
                        <a:off x="0" y="0"/>
                        <a:ext cx="17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46</Pages>
  <Words>11467</Words>
  <Characters>68340</Characters>
  <CharactersWithSpaces>79635</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2018-03-20T19:10:54Z</dcterms:created>
  <dc:creator/>
  <dc:description/>
  <dc:language>en-US</dc:language>
  <cp:lastModifiedBy/>
  <dcterms:modified xsi:type="dcterms:W3CDTF">2018-03-22T18:59:37Z</dcterms:modified>
  <cp:revision>4</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