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sz w:val="24"/>
          <w:szCs w:val="24"/>
        </w:rPr>
        <w:t xml:space="preserve">Clostridium difficile </w:t>
      </w:r>
      <w:r>
        <w:rPr>
          <w:sz w:val="24"/>
          <w:szCs w:val="24"/>
        </w:rPr>
        <w:t>alters the structure and metabolism of distinct cecal microbiomes during initial infection to promote sustained colonization</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b w:val="false"/>
          <w:b w:val="false"/>
          <w:bCs w:val="false"/>
        </w:rPr>
      </w:pPr>
      <w:bookmarkStart w:id="0" w:name="__DdeLink__7619_529621234"/>
      <w:bookmarkStart w:id="1" w:name="__DdeLink__27_258085862"/>
      <w:bookmarkEnd w:id="0"/>
      <w:bookmarkEnd w:id="1"/>
      <w:r>
        <w:rPr>
          <w:b w:val="false"/>
          <w:bCs w:val="false"/>
          <w:sz w:val="24"/>
          <w:szCs w:val="24"/>
        </w:rPr>
        <w:t>Patrick D. Schloss – pschloss@umich.edu</w:t>
      </w:r>
    </w:p>
    <w:p>
      <w:pPr>
        <w:pStyle w:val="TextBody"/>
        <w:rPr>
          <w:b/>
          <w:b/>
        </w:rPr>
      </w:pPr>
      <w:r>
        <w:rPr>
          <w:b/>
        </w:rPr>
      </w:r>
    </w:p>
    <w:p>
      <w:pPr>
        <w:pStyle w:val="TextBody"/>
        <w:rPr>
          <w:b/>
          <w:b/>
        </w:rPr>
      </w:pPr>
      <w:r>
        <w:rPr>
          <w:b/>
        </w:rPr>
      </w:r>
    </w:p>
    <w:p>
      <w:pPr>
        <w:pStyle w:val="TextBody"/>
        <w:rPr/>
      </w:pPr>
      <w:r>
        <w:rPr>
          <w:b/>
        </w:rPr>
        <w:t>Abstract</w:t>
      </w:r>
    </w:p>
    <w:p>
      <w:pPr>
        <w:pStyle w:val="TextBody"/>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larger impacts on the metabolic activity of the microbiota across cefoperazone and streptomycin-pretreated mice, which become persistently colonized compared to clindamycin-pretreated mice in which </w:t>
      </w:r>
      <w:r>
        <w:rPr>
          <w:i/>
        </w:rPr>
        <w:t>C. difficile</w:t>
      </w:r>
      <w:r>
        <w:rPr/>
        <w:t xml:space="preserve"> becomes undetectable in the first 8 days. Through metagenome-enabled metatranscriptomics we observed that the infected microbial communities were depleted in transcript for genes associated with amino acid metabolism, suggesting a niche occupied instead by </w:t>
      </w:r>
      <w:r>
        <w:rPr>
          <w:i/>
        </w:rPr>
        <w:t>C. difficile</w:t>
      </w:r>
      <w:r>
        <w:rPr/>
        <w:t xml:space="preserve">. Furthermore, the largest degree of change in transcription in those pathways was seen in the least abundant species in the respective groups indicating that </w:t>
      </w:r>
      <w:r>
        <w:rPr>
          <w:i/>
        </w:rPr>
        <w:t>C. difficile</w:t>
      </w:r>
      <w:r>
        <w:rPr/>
        <w:t xml:space="preserve"> may “attack the loser” in gut environments where sustained infection occurs more frequently. Overall, our results suggest that </w:t>
      </w:r>
      <w:r>
        <w:rPr>
          <w:i/>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expression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pPr>
      <w:r>
        <w:rPr>
          <w:b/>
        </w:rPr>
        <w:t>Results</w:t>
      </w:r>
    </w:p>
    <w:p>
      <w:pPr>
        <w:pStyle w:val="TextBody"/>
        <w:rPr/>
      </w:pPr>
      <w:r>
        <w:rPr>
          <w:b/>
        </w:rPr>
        <w:t>Distinct antibiotic pretreatments are associated with different patterns of clearance and virulence factor expression.</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(Fig. 1A)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(all </w:t>
      </w:r>
      <w:r>
        <w:rPr>
          <w:i/>
        </w:rPr>
        <w:t>p</w:t>
      </w:r>
      <w:r>
        <w:rPr/>
        <w:t xml:space="preserve"> &lt; 0.001; Fig. S1A), as well as differential patterns of </w:t>
      </w:r>
      <w:r>
        <w:rPr>
          <w:i/>
        </w:rPr>
        <w:t>C. difficile</w:t>
      </w:r>
      <w:r>
        <w:rPr/>
        <w:t xml:space="preserve"> str. 630 clearance following initial infection as quantified from stool (Fig. 1B). In each antibiotic pretreatment model, we observed equally high levels of </w:t>
      </w:r>
      <w:r>
        <w:rPr>
          <w:i/>
        </w:rPr>
        <w:t>C. difficile</w:t>
      </w:r>
      <w:r>
        <w:rPr/>
        <w:t xml:space="preserve"> colonization on the day after infection. Out of the three pretreatments regimes however, </w:t>
      </w:r>
      <w:r>
        <w:rPr>
          <w:i/>
        </w:rPr>
        <w:t>C. difficile</w:t>
      </w:r>
      <w:r>
        <w:rPr/>
        <w:t xml:space="preserve"> fell below the limit of detection in only clindamycin-pretreated mice over the subsequent 8 days while the other two pretreatments remained highly colonized.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Previous work has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(20). Despite having similar vegetative </w:t>
      </w:r>
      <w:r>
        <w:rPr>
          <w:i/>
        </w:rPr>
        <w:t>C. difficile</w:t>
      </w:r>
      <w:r>
        <w:rPr/>
        <w:t xml:space="preserve"> load, varying levels of both cfu due to spores and toxin titer were observed across each of the antibiotic pretreatments prior to the onset of detactable inflammation in the epithelium (21). These results suggested that despite high initial </w:t>
      </w:r>
      <w:r>
        <w:rPr>
          <w:i/>
        </w:rPr>
        <w:t>C. difficile</w:t>
      </w:r>
      <w:r>
        <w:rPr/>
        <w:t xml:space="preserve"> colonization, the microbiomes across pretreatments may vary in available nutrients or profiles of competitors for those niches. In order to maintain consistency for our investigation of these communities, we performed all subsequent analysis utilizing cecal content collected during the previously described experiments.</w:t>
      </w:r>
    </w:p>
    <w:p>
      <w:pPr>
        <w:pStyle w:val="TextBody"/>
        <w:rPr/>
      </w:pPr>
      <w:r>
        <w:rPr>
          <w:b/>
          <w:i/>
        </w:rPr>
        <w:t>C. difficile</w:t>
      </w:r>
      <w:r>
        <w:rPr>
          <w:b/>
        </w:rPr>
        <w:t xml:space="preserve"> colonization corresponded with significantly altered cecal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S1B).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(22),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enrichment of alternative </w:t>
      </w:r>
      <w:r>
        <w:rPr>
          <w:b/>
          <w:i/>
        </w:rPr>
        <w:t>C. difficile</w:t>
      </w:r>
      <w:r>
        <w:rPr>
          <w:b/>
        </w:rPr>
        <w:t xml:space="preserve"> nutrient niches.</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3). These results demonstrated that each pretreatment lead to distinct susceptible metabolomic environments.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(23)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pretreatment. This molecule is a by-product of amino acid catabolism and is typically oxidized under normal conditions back into glycine (24). These data support the hypothesis that amino acid catabolism is disrupted at a community-level following antibiotic pretreatment and may suggest open nutrient niches for </w:t>
      </w:r>
      <w:r>
        <w:rPr>
          <w:i/>
        </w:rPr>
        <w:t>C. difficile</w:t>
      </w:r>
      <w:r>
        <w:rPr/>
        <w:t xml:space="preserve">, a known fermenter of peptides (25).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(26)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permitted survival of separate bacterial groups, likely with varied nutrient catabolism strategies, that each may compete with </w:t>
      </w:r>
      <w:r>
        <w:rPr>
          <w:i/>
        </w:rPr>
        <w:t>C. difficile</w:t>
      </w:r>
      <w:r>
        <w:rPr/>
        <w:t xml:space="preserve"> along different axes.</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(27) and whose bioconversion by the microbiota has been implicated as a driver of colonization resistance (28).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induced distinct metabolomic changes of each pretreatment group.</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unified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(29). </w:t>
      </w:r>
      <w:r>
        <w:rPr>
          <w:i/>
        </w:rPr>
        <w:t>C. difficile</w:t>
      </w:r>
      <w:r>
        <w:rPr/>
        <w:t xml:space="preserve"> is able to catabolize proline along with glycine through a set of paired biochemical reactions known as Stickland fermentation (30).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&gt; 10%).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rPr>
        <w:t>Infection corresponded with large shifts in metatranscriptomic expression that strongly differ across antibiotic pretreatments.</w:t>
      </w:r>
      <w:r>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To achieve usable concentrations of bacterial mRNA, and also to obtain informative depths of sequencing that adequately sampled the diversity in metagenomic and metatranscriptomic libraries (Fig. S6E&amp;F), we were required to performed a combined sequencing effort for each treatment and infection group. To establish confidence in continuing pooled analysis, we calculated within-group sample variance replicates from cfu, otu relative abundance, and untargeted metabolomic (Table S5). Despite limited outliers, this revealed low levels in the median and interquartile range of variance within control and experimental groups at multiple levels of biology.</w:t>
      </w:r>
    </w:p>
    <w:p>
      <w:pPr>
        <w:pStyle w:val="TextBody"/>
        <w:rPr/>
      </w:pPr>
      <w:r>
        <w:rPr/>
        <w:t xml:space="preserve">Following sequencing, metagenomic reads from mock-infected cecal communities were assembled </w:t>
      </w:r>
      <w:r>
        <w:rPr>
          <w:i/>
        </w:rPr>
        <w:t>de novo</w:t>
      </w:r>
      <w:r>
        <w:rPr/>
        <w:t xml:space="preserve"> into contigs and putative genes were identified resulting in 234,868 (streptomycin), 83,534 (cefoperazone), and 35,681 (clindamycin) likely open reading frames in each metagenome. Of these putative genes, 28.5% were able to be annotated with known function KEGG, and many of these annotations were homologs among species within the dataset. Streptomycin pretreatment resulted in a significantly more diverse community (Fig. S1A) than other groups, so a more diverse metagenome was expected. 2408 unique functionally annotated genes were detected in the metagenome resulting from strptomycin pretreatment, at least 1163 more genes than either cefoperazone or clindamycin (Fig. S5). Also, as expected genes with any detectable transcript in any metatranscriptome were a subset of their corresponding metagenome. Metatranscriptomic read abundances were normalized to corresponding metagenomic coverage per gene followed by even subsampling of reads between conditions in order to create </w:t>
      </w:r>
      <w:r>
        <w:rPr/>
        <w:t>an equal standard of comparison across groups and identify genes with the largest increases in transcription above baseline</w:t>
      </w:r>
      <w:r>
        <w:rPr/>
        <w:t xml:space="preserve">. To highlight the largest magnitude of difference in transcription, we identified the top 15% genes (Fig. 5A) or pathways (Fig. 5B) in each antibiotic pretreatment group with the highest disparity in normalized cDNA abundance between mock and </w:t>
      </w:r>
      <w:r>
        <w:rPr>
          <w:i/>
        </w:rPr>
        <w:t>C. difficile</w:t>
      </w:r>
      <w:r>
        <w:rPr/>
        <w:t xml:space="preserve">-infected groups and cross-referenced the pretreatments. Based on the metabolomic results we hypothesized that pathways with the greatest differences would be related to catabolism of metabolites in established </w:t>
      </w:r>
      <w:r>
        <w:rPr>
          <w:i/>
        </w:rPr>
        <w:t>C. difficile</w:t>
      </w:r>
      <w:r>
        <w:rPr/>
        <w:t xml:space="preserve"> nutrient niches.</w:t>
      </w:r>
    </w:p>
    <w:p>
      <w:pPr>
        <w:pStyle w:val="TextBody"/>
        <w:rPr/>
      </w:pPr>
      <w:r>
        <w:rPr/>
        <w:t xml:space="preserve">This analysis revealed low levels of conservation of transcriptional changes between the antibiotic pretreatments induced by </w:t>
      </w:r>
      <w:r>
        <w:rPr>
          <w:i/>
        </w:rPr>
        <w:t>C. difficile</w:t>
      </w:r>
      <w:r>
        <w:rPr/>
        <w:t xml:space="preserve"> colonization. This trend is at least partially driven by significant differences in community membership (Fig. 2A), and consequently metagenomic content repertoire available for transcription. The most stark finding was how few genes were among those shared as highly differentially expressed between all pretreatments (Fig. 5A). Interestingly, streptomycin and clindamycin pretreatments shared a large number of altered genes, while cefoperazone-pretreatment shared relatively few with either other susceptible condition. These were again likely due to large differences in community compositions. Upon inspection of those 8 shared genes, a Dps family protein gene is the most varied in transcription among them. The protein product of this gene is associated with DNA protection and iron binding under periods of environmental stress (31). Furthermore, format acetyltransferase and phosphopyruvate hydratase are highly varied in their transcription and are central nodes of metabolism, which lend themselves to the hypothesis that the microbiota must process energy sources differently in the presence of </w:t>
      </w:r>
      <w:r>
        <w:rPr>
          <w:i/>
        </w:rPr>
        <w:t>C. difficile</w:t>
      </w:r>
      <w:r>
        <w:rPr/>
        <w:t xml:space="preserve">. Pathway-level analysis revealed a larger proportion of overlap between pretreatments than at the gene-level (Fig. 5B). Among these differences, the greatest degree of change was in ABC transporter transcription further supported large-scale shifts in nutrient import across the individual communities. More to this point, numerous genes for transport of simple carbohydrates and glycolysis were also differentially overrepresented in infected conditions across pretreatment groups when compared to mock infection of untreated/resistant communities (Fig. S4). Following up on other pathways in the shared differences grouping, the KEGG category microbial metabolism in diverse environments is a broad classification that includes genes for not only carbohydrate and amino acid catabolism, but also the degradation and metabolism of xenobiotics. Inclusion of this category supports that the microbiota may be restructuring energy acquisition strategies or dealing with additional metabolites introduced due to pathogen colonization. Parallel to these results, large changes in oxidative phosphorylation as well as starch/sucrose metabolism also indicate modification of nutrient niche segregation between mock and infected states that may drive the ability of </w:t>
      </w:r>
      <w:r>
        <w:rPr>
          <w:i/>
        </w:rPr>
        <w:t>C. difficile</w:t>
      </w:r>
      <w:r>
        <w:rPr/>
        <w:t xml:space="preserve"> to colonize long-term. Altogether, these shifts supported that </w:t>
      </w:r>
      <w:r>
        <w:rPr>
          <w:i/>
        </w:rPr>
        <w:t>C. difficile</w:t>
      </w:r>
      <w:r>
        <w:rPr/>
        <w:t xml:space="preserve"> colonization is associated with substantial changes in the transcription of nutrient acquisition pathways in the microbiota, which vary greatly between antibiotic-induced susceptible states.</w:t>
      </w:r>
    </w:p>
    <w:p>
      <w:pPr>
        <w:pStyle w:val="TextBody"/>
        <w:rPr/>
      </w:pPr>
      <w:r>
        <w:rPr>
          <w:b/>
          <w:i/>
        </w:rPr>
        <w:t>C. difficile</w:t>
      </w:r>
      <w:r>
        <w:rPr>
          <w:b/>
        </w:rPr>
        <w:t xml:space="preserve"> colonization disproportionately impacted the gene transcription of low-abundance bacterial taxa.</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Final metatranscriptomic abundances were then obtained by dividing the cDNA totals of each gene by its metagenomic coverage in order to normalize for taxa abundance. We then directly compared the normalized cDNA abundances for each gene between infected and uninfected states for each antibiotic pretreatment and applied Spearman correlation to identify distinct patterns of expression (Fig. 6A-C). This resulted in 2473 outliers at an average distance of 2.545 units of deviation (UD) associated with streptomycin, 2930 outliers at an average distance 3.854 UD with cefoperazone, and only 727 outliers at an average distance of 2.414 UD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t xml:space="preserve">Since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with increased expression during </w:t>
      </w:r>
      <w:r>
        <w:rPr>
          <w:i/>
        </w:rPr>
        <w:t>C. difficile</w:t>
      </w:r>
      <w:r>
        <w:rPr/>
        <w:t xml:space="preserve"> infection (Fig. 6A). In cefoperazone-pretreated mice 2290 genes belonging to </w:t>
      </w:r>
      <w:r>
        <w:rPr>
          <w:i/>
        </w:rPr>
        <w:t>Bacteroides</w:t>
      </w:r>
      <w:r>
        <w:rPr/>
        <w:t xml:space="preserve"> had higher transcription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ρ</w:t>
      </w:r>
      <w:r>
        <w:rPr/>
        <w:t xml:space="preserve"> = 0.03 &amp; </w:t>
      </w:r>
      <w:r>
        <w:rPr>
          <w:i/>
        </w:rPr>
        <w:t>ρ</w:t>
      </w:r>
      <w:r>
        <w:rPr/>
        <w:t xml:space="preserve"> = 0.03). In clindamycin-pretreated mice the largest difference in transcription was for 510 </w:t>
      </w:r>
      <w:r>
        <w:rPr>
          <w:i/>
        </w:rPr>
        <w:t>Lactobacillus</w:t>
      </w:r>
      <w:r>
        <w:rPr/>
        <w:t xml:space="preserve"> genes with increased transcription during CDI (Fig. 6C). Infected and uninfected metatranscriptomes associated with this antibiotic more strongly correlated than either other pretreatment (</w:t>
      </w:r>
      <w:r>
        <w:rPr>
          <w:i/>
        </w:rPr>
        <w:t>ρ</w:t>
      </w:r>
      <w:r>
        <w:rPr/>
        <w:t xml:space="preserve"> = 0.86). This suggested that the degree to which the metatranscriptome was shifted by infection corresponded to prolonged colonization. We further characterized this by tabulating the absolute difference between mock-infection and CDI in all transcriptomic abundances per genus in each antibiotic pretreatment, normalizing for the number of genes detected in each genera. Taxa were then separated into groups based on their relative abundance in each community based on 16S rRNA gene sequencing (Fig. 6D). This revealed that most change occurred within relatively rare bacterial taxa. As the number and diversity of low abundance taxa was much larger than that of highly abundant groups, the majority of unique genes and metabolic potential was held within the minority of each community. Consequently, the metatranscriptomic differences in these groups may drive a disproportionately large change in the overall environment of the intestine as a function of their collective metabolism.</w:t>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 </w:t>
      </w:r>
      <w:r>
        <w:rPr>
          <w:i/>
        </w:rPr>
        <w:t>C. difficile</w:t>
      </w:r>
      <w:r>
        <w:rPr/>
        <w:t xml:space="preserve"> manipulates the niche landscape of the intestinal tract in order to better maintain long-term colonization even prior to the onset of toxin-mediated inflammation. This hypothesis is best supported by the disparity of community-level phenotypes between the clindamycin and cefoperazone or streptomycin pretreatment models. Only in the clindamycin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(32),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(33). For example, this strategy has been observed in temperate lakes where conditionally rare microbes were found to be far more metabolically active than highly abundant taxa (34),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a pathogen. Other groups have identified potential metabolite markers of </w:t>
      </w:r>
      <w:r>
        <w:rPr>
          <w:i/>
        </w:rPr>
        <w:t>C. difficile</w:t>
      </w:r>
      <w:r>
        <w:rPr/>
        <w:t xml:space="preserve"> infection in patient feces (35),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(36). Furthermore, it was recently found that bacterial metabolic generalists may be more likely to actively antagonize the growth of other species in an environment which they are colonizing (37).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38–40).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(28, 41–43). The effect of </w:t>
      </w:r>
      <w:r>
        <w:rPr>
          <w:i/>
        </w:rPr>
        <w:t>C. difficile</w:t>
      </w:r>
      <w:r>
        <w:rPr/>
        <w:t xml:space="preserve"> colonization on community metabolic activity could also be linked to pathogen strain and may offer an explanation to the propensity of some strains to persist over others (44).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against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pPr>
      <w:r>
        <w:rPr>
          <w:b/>
        </w:rPr>
        <w:t>Materials and Methods</w:t>
      </w:r>
    </w:p>
    <w:p>
      <w:pPr>
        <w:pStyle w:val="TextBody"/>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(45). In parallel, undiluted samples were heated at 60°C for 30 minutes to eliminate vegetative cells and enrich for spores (27).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(ATCC CCL-81) rounding assay was performed as described elsewhere (19, 46).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(47).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(48).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(47).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 (39).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(49) on a per library basis. Reads were quality trimmed using Sickle (50)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(51)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(52) using Diamond implementation of BLASTp (53). Peptide-level gene annotations were assigned to the corresponding nucleotide sequence, and genes failing to find a match in KEGG were preserved as unannotated genes. Final nucleotide fasta files with KEGG annotations were then utilized in the construction of Bowtie2 (54) mapping databases from downstream analyses.</w:t>
      </w:r>
    </w:p>
    <w:p>
      <w:pPr>
        <w:pStyle w:val="TextBody"/>
        <w:rPr/>
      </w:pPr>
      <w:r>
        <w:rPr>
          <w:b/>
        </w:rPr>
        <w:t>DNA/cDNA read mapping and normalization.</w:t>
      </w:r>
      <w:r>
        <w:rPr/>
        <w:t xml:space="preserve"> Mapping was accomplished using Bowtie2 (54) and the default stringent settings. Optical and PCR duplicates were then removed using Picard MarkDuplicates (</w:t>
      </w:r>
      <w:hyperlink r:id="rId2">
        <w:r>
          <w:rPr>
            <w:rStyle w:val="InternetLink"/>
          </w:rPr>
          <w:t>http://broadinstitute.github.io/picard/</w:t>
        </w:r>
      </w:hyperlink>
      <w:r>
        <w:rPr/>
        <w:t xml:space="preserve">). The remaining mappings were converted to idxstats format using Samtools (55)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expression value for each gene was calculated. Reads contributed by </w:t>
      </w:r>
      <w:r>
        <w:rPr>
          <w:i/>
        </w:rPr>
        <w:t>C. difficile</w:t>
      </w:r>
      <w:r>
        <w:rPr/>
        <w:t xml:space="preserve"> were removed from analysis using Bowtie2 against the </w:t>
      </w:r>
      <w:r>
        <w:rPr>
          <w:i/>
        </w:rPr>
        <w:t>C. difficile</w:t>
      </w:r>
      <w:r>
        <w:rPr/>
        <w:t xml:space="preserve"> str. 630 genome with settings allowing for up to 2 mismatches.</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(56), with the informative threshold of MDAs greater than the absolute value of the lowest MDA defined by (57). Distances of outlier points from center line during metatranscriptomic comparisons was accomplished using 2-dimensional linear geometry.</w:t>
      </w:r>
    </w:p>
    <w:p>
      <w:pPr>
        <w:pStyle w:val="TextBody"/>
        <w:rPr/>
      </w:pPr>
      <w:r>
        <w:rPr>
          <w:b/>
        </w:rPr>
        <w:t>Acknowledgments</w:t>
      </w:r>
    </w:p>
    <w:p>
      <w:pPr>
        <w:pStyle w:val="TextBody"/>
        <w:rPr/>
      </w:pPr>
      <w:r>
        <w:rP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Thank you also to Greg Medlock and Maureen Carey for input on details of the analysis.</w:t>
      </w:r>
    </w:p>
    <w:p>
      <w:pPr>
        <w:pStyle w:val="TextBody"/>
        <w:rPr/>
      </w:pPr>
      <w:r>
        <w:rPr>
          <w:b/>
        </w:rPr>
        <w:t>Author Affiliations</w:t>
      </w:r>
      <w:r>
        <w:rPr/>
        <w:t xml:space="preserve"> </w:t>
      </w:r>
      <w:r>
        <w:rPr>
          <w:b/>
        </w:rPr>
        <w:t>Department of Microbiology and Immunology, University of Michigan, Ann Arbor, Michigan.</w:t>
      </w:r>
      <w:r>
        <w:rPr/>
        <w:t xml:space="preserve"> Matthew L. Jenior Ph.D., Jhansi L. Leslie Ph.D.,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3">
        <w:r>
          <w:rPr>
            <w:rStyle w:val="InternetLink"/>
          </w:rPr>
          <w:t>Patrick D. Schloss</w:t>
        </w:r>
      </w:hyperlink>
    </w:p>
    <w:p>
      <w:pPr>
        <w:pStyle w:val="TextBody"/>
        <w:rPr/>
      </w:pPr>
      <w:r>
        <w:rPr>
          <w:b/>
        </w:rPr>
        <w:t>Data Availability</w:t>
      </w:r>
    </w:p>
    <w:p>
      <w:pPr>
        <w:pStyle w:val="TextBody"/>
        <w:rPr/>
      </w:pPr>
      <w:r>
        <w:rPr/>
        <w:t xml:space="preserve">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4">
        <w:r>
          <w:rPr>
            <w:rStyle w:val="InternetLink"/>
          </w:rPr>
          <w:t>https://github.com/mjenior/Jenior_Metatranscriptomics_mSphere_2018</w:t>
        </w:r>
      </w:hyperlink>
      <w:r>
        <w:rPr/>
        <w:t>.</w:t>
      </w:r>
    </w:p>
    <w:p>
      <w:pPr>
        <w:pStyle w:val="TextBody"/>
        <w:rPr/>
      </w:pPr>
      <w:r>
        <w:rPr>
          <w:b/>
        </w:rPr>
        <w:t>Figure and Table Legends</w:t>
      </w:r>
    </w:p>
    <w:p>
      <w:pPr>
        <w:pStyle w:val="TextBody"/>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 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 Points below the limit of detection were excluded from statistical testing. Nine mice were used in each experimental and control group and samples from these animals were used for all downstream analyses.</w:t>
      </w:r>
    </w:p>
    <w:p>
      <w:pPr>
        <w:pStyle w:val="TextBody"/>
        <w:rPr/>
      </w:pPr>
      <w:r>
        <w:rPr>
          <w:b/>
        </w:rPr>
        <w:t xml:space="preserve">Figure 2 | Impact of </w:t>
      </w:r>
      <w:r>
        <w:rPr>
          <w:b/>
          <w:i/>
        </w:rPr>
        <w:t>C. difficile</w:t>
      </w:r>
      <w:r>
        <w:rPr>
          <w:b/>
        </w:rPr>
        <w:t xml:space="preserve"> colonization on gut microbiota community composition.</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b/>
        </w:rPr>
        <w:t>Figure 3 | Metabolomic markers of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b/>
        </w:rPr>
        <w:t>Figure 4 | Differential effects of CDI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Figure 5 | Genes and pathways with largest degree of change in metatranscriptome associated with CDI.</w:t>
      </w:r>
      <w:r>
        <w:rPr/>
        <w:t xml:space="preserve"> Venn diagrams showing the overlap in top 15% of differentially transcribed individual genes </w:t>
      </w:r>
      <w:r>
        <w:rPr>
          <w:b/>
        </w:rPr>
        <w:t>(A)</w:t>
      </w:r>
      <w:r>
        <w:rPr/>
        <w:t xml:space="preserve"> or pathways </w:t>
      </w:r>
      <w:r>
        <w:rPr>
          <w:b/>
        </w:rPr>
        <w:t>(B)</w:t>
      </w:r>
      <w:r>
        <w:rPr/>
        <w:t xml:space="preserve"> respectively in each antibiotic preatretment between CDI and mock infections. Below each venn diagram are the corresponding genes/pathways contained in the central shared regions for all three pretreatments. Solid colored bars indicated </w:t>
      </w:r>
      <w:r>
        <w:rPr>
          <w:i/>
        </w:rPr>
        <w:t>C. difficile</w:t>
      </w:r>
      <w:r>
        <w:rPr/>
        <w:t xml:space="preserve"> infection and dashed bars are mock infected, separate colors denoted sntibiotic pretreatment. Genes/pathways are ranked in terms of decreasing sample variance between all analyzed groups. Genes are also labeled with numbers indicated membership in KEGG pathways (pathway legend below).</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w:t>
      </w:r>
      <w:r>
        <w:rPr>
          <w:b/>
        </w:rPr>
        <w:t>(A-C)</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expression between conditions (defined by outlier analysis). Antibiotic pretreatments; (A) Streptomycin-pretreated, (B) Cefoperazone-pretreated, and (C) Clindamycin-pretreated. </w:t>
      </w:r>
      <w:r>
        <w:rPr>
          <w:b/>
        </w:rPr>
        <w:t>(D)</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≤0.1% panel represent the quantity of genera in each group as some points are obscured.</w:t>
      </w:r>
    </w:p>
    <w:p>
      <w:pPr>
        <w:pStyle w:val="TextBody"/>
        <w:rPr/>
      </w:pPr>
      <w:r>
        <w:rPr>
          <w:b/>
        </w:rPr>
        <w:t xml:space="preserve">Supplementary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Gene-level expression for each community compared to the level expressed in resistant mice for each gene</w:t>
      </w:r>
      <w:r>
        <w:rPr/>
        <w:t xml:space="preserve"> Murine cecal metatransctipromic sequencing results. Both reads and genes atributed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Supplementary Figure 5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 Collector’s curves from rarefaction analysis of reads mapped to genes from </w:t>
      </w:r>
      <w:r>
        <w:rPr>
          <w:b/>
        </w:rPr>
        <w:t>(E)</w:t>
      </w:r>
      <w:r>
        <w:rPr/>
        <w:t xml:space="preserve"> metagenomes and </w:t>
      </w:r>
      <w:r>
        <w:rPr>
          <w:b/>
        </w:rPr>
        <w:t>(F)</w:t>
      </w:r>
      <w:r>
        <w:rPr/>
        <w:t xml:space="preserve"> metatranscriptomes.</w:t>
      </w:r>
    </w:p>
    <w:p>
      <w:pPr>
        <w:pStyle w:val="TextBody"/>
        <w:rPr/>
      </w:pPr>
      <w:r>
        <w:rPr>
          <w:b/>
        </w:rPr>
        <w:t>Supplementary Table 1 | Chosen antibiotic pretreatment regimes</w:t>
      </w:r>
      <w:r>
        <w:rPr/>
        <w:t xml:space="preserve"> Antibiotic classes, mechanisms, and dosage information for each pretreatment.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of complete metatranscriptomes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w:t>
      </w:r>
    </w:p>
    <w:p>
      <w:pPr>
        <w:pStyle w:val="TextBody"/>
        <w:rPr/>
      </w:pPr>
      <w:r>
        <w:rPr>
          <w:b/>
        </w:rPr>
        <w:t>Supplementary Table 4 | Median scaled intensity of metabolites for each antibiotic pretreatment and infection group</w:t>
      </w:r>
    </w:p>
    <w:p>
      <w:pPr>
        <w:pStyle w:val="TextBody"/>
        <w:rPr/>
      </w:pPr>
      <w:r>
        <w:rPr>
          <w:b/>
        </w:rPr>
        <w:t>Supplementary Table 5 | Interquartile range of sample variances across datasets with replication generated during this study</w:t>
      </w:r>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Bibliography"/>
        <w:rPr/>
      </w:pPr>
      <w:r>
        <w:rPr/>
        <w:t xml:space="preserve">10. </w:t>
      </w:r>
      <w:r>
        <w:rPr>
          <w:b/>
        </w:rPr>
        <w:t>Bignardi, G.</w:t>
      </w:r>
      <w:r>
        <w:rPr/>
        <w:t xml:space="preserve"> 1998. Risk factors for Clostridium difficile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Bibliography"/>
        <w:rPr/>
      </w:pPr>
      <w:r>
        <w:rPr/>
        <w:t xml:space="preserve">16. </w:t>
      </w:r>
      <w:r>
        <w:rPr>
          <w:b/>
        </w:rPr>
        <w:t>Perez-Cobas,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Bibliography"/>
        <w:rPr/>
      </w:pPr>
      <w:r>
        <w:rPr/>
        <w:t xml:space="preserve">22. </w:t>
      </w:r>
      <w:r>
        <w:rPr>
          <w:b/>
        </w:rPr>
        <w:t>Segata, N.</w:t>
      </w:r>
      <w:r>
        <w:rPr/>
        <w:t xml:space="preserve">, </w:t>
      </w:r>
      <w:r>
        <w:rPr>
          <w:b/>
        </w:rPr>
        <w:t>J. Izard</w:t>
      </w:r>
      <w:r>
        <w:rPr/>
        <w:t xml:space="preserve">, </w:t>
      </w:r>
      <w:r>
        <w:rPr>
          <w:b/>
        </w:rPr>
        <w:t>L. Waldron</w:t>
      </w:r>
      <w:r>
        <w:rPr/>
        <w:t xml:space="preserve">, </w:t>
      </w:r>
      <w:r>
        <w:rPr>
          <w:b/>
        </w:rPr>
        <w:t>D. Gevers</w:t>
      </w:r>
      <w:r>
        <w:rPr/>
        <w:t xml:space="preserve">, </w:t>
      </w:r>
      <w:r>
        <w:rPr>
          <w:b/>
        </w:rPr>
        <w:t>L. Miropolsky</w:t>
      </w:r>
      <w:r>
        <w:rPr/>
        <w:t xml:space="preserve">, </w:t>
      </w:r>
      <w:r>
        <w:rPr>
          <w:b/>
        </w:rPr>
        <w:t>W. S. Garrett</w:t>
      </w:r>
      <w:r>
        <w:rPr/>
        <w:t xml:space="preserve">, and </w:t>
      </w:r>
      <w:r>
        <w:rPr>
          <w:b/>
        </w:rPr>
        <w:t>C. Huttenhower</w:t>
      </w:r>
      <w:r>
        <w:rPr/>
        <w:t xml:space="preserve">. 2011. Metagenomic biomarker discovery and explanation. Genome Biology </w:t>
      </w:r>
      <w:r>
        <w:rPr>
          <w:b/>
        </w:rPr>
        <w:t>12</w:t>
      </w:r>
      <w:r>
        <w:rPr/>
        <w:t>:R60.</w:t>
      </w:r>
    </w:p>
    <w:p>
      <w:pPr>
        <w:pStyle w:val="Bibliography"/>
        <w:rPr/>
      </w:pPr>
      <w:r>
        <w:rPr/>
        <w:t xml:space="preserve">23. </w:t>
      </w:r>
      <w:r>
        <w:rPr>
          <w:b/>
        </w:rPr>
        <w:t>Liaw, a</w:t>
      </w:r>
      <w:r>
        <w:rPr/>
        <w:t xml:space="preserve">, and </w:t>
      </w:r>
      <w:r>
        <w:rPr>
          <w:b/>
        </w:rPr>
        <w:t>M. Wiener</w:t>
      </w:r>
      <w:r>
        <w:rPr/>
        <w:t xml:space="preserve">. 2002. Classification and Regression by randomForest. R news </w:t>
      </w:r>
      <w:r>
        <w:rPr>
          <w:b/>
        </w:rPr>
        <w:t>2</w:t>
      </w:r>
      <w:r>
        <w:rPr/>
        <w:t>:18–22.</w:t>
      </w:r>
    </w:p>
    <w:p>
      <w:pPr>
        <w:pStyle w:val="Bibliography"/>
        <w:rPr/>
      </w:pPr>
      <w:r>
        <w:rPr/>
        <w:t xml:space="preserve">24. </w:t>
      </w:r>
      <w:r>
        <w:rPr>
          <w:b/>
        </w:rPr>
        <w:t>Goyer, A.</w:t>
      </w:r>
      <w:r>
        <w:rPr/>
        <w:t xml:space="preserve">, </w:t>
      </w:r>
      <w:r>
        <w:rPr>
          <w:b/>
        </w:rPr>
        <w:t>T. L. Johnson</w:t>
      </w:r>
      <w:r>
        <w:rPr/>
        <w:t xml:space="preserve">, </w:t>
      </w:r>
      <w:r>
        <w:rPr>
          <w:b/>
        </w:rPr>
        <w:t>L. J. Olsen</w:t>
      </w:r>
      <w:r>
        <w:rPr/>
        <w:t xml:space="preserve">, </w:t>
      </w:r>
      <w:r>
        <w:rPr>
          <w:b/>
        </w:rPr>
        <w:t>E. Collakova</w:t>
      </w:r>
      <w:r>
        <w:rPr/>
        <w:t xml:space="preserve">, </w:t>
      </w:r>
      <w:r>
        <w:rPr>
          <w:b/>
        </w:rPr>
        <w:t>Y. Shachar-Hill</w:t>
      </w:r>
      <w:r>
        <w:rPr/>
        <w:t xml:space="preserve">, </w:t>
      </w:r>
      <w:r>
        <w:rPr>
          <w:b/>
        </w:rPr>
        <w:t>D. Rhodes</w:t>
      </w:r>
      <w:r>
        <w:rPr/>
        <w:t xml:space="preserve">, and </w:t>
      </w:r>
      <w:r>
        <w:rPr>
          <w:b/>
        </w:rPr>
        <w:t>A. D. Hanson</w:t>
      </w:r>
      <w:r>
        <w:rPr/>
        <w:t xml:space="preserve">. 2004. Characterization and Metabolic Function of a Peroxisomal Sarcosine and Pipecolate Oxidase from Arabidopsis. Journal of Biological Chemistry </w:t>
      </w:r>
      <w:r>
        <w:rPr>
          <w:b/>
        </w:rPr>
        <w:t>279</w:t>
      </w:r>
      <w:r>
        <w:rPr/>
        <w:t>:16947–16953.</w:t>
      </w:r>
    </w:p>
    <w:p>
      <w:pPr>
        <w:pStyle w:val="Bibliography"/>
        <w:rPr/>
      </w:pPr>
      <w:r>
        <w:rPr/>
        <w:t xml:space="preserve">25. </w:t>
      </w:r>
      <w:r>
        <w:rPr>
          <w:b/>
        </w:rPr>
        <w:t>Fonknechten, N.</w:t>
      </w:r>
      <w:r>
        <w:rPr/>
        <w:t xml:space="preserve">, </w:t>
      </w:r>
      <w:r>
        <w:rPr>
          <w:b/>
        </w:rPr>
        <w:t>S. Chaussonnerie</w:t>
      </w:r>
      <w:r>
        <w:rPr/>
        <w:t xml:space="preserve">, </w:t>
      </w:r>
      <w:r>
        <w:rPr>
          <w:b/>
        </w:rPr>
        <w:t>S. Tricot</w:t>
      </w:r>
      <w:r>
        <w:rPr/>
        <w:t xml:space="preserve">, </w:t>
      </w:r>
      <w:r>
        <w:rPr>
          <w:b/>
        </w:rPr>
        <w:t>A. Lajus</w:t>
      </w:r>
      <w:r>
        <w:rPr/>
        <w:t xml:space="preserve">, </w:t>
      </w:r>
      <w:r>
        <w:rPr>
          <w:b/>
        </w:rPr>
        <w:t>J. R. Andreesen</w:t>
      </w:r>
      <w:r>
        <w:rPr/>
        <w:t xml:space="preserve">, </w:t>
      </w:r>
      <w:r>
        <w:rPr>
          <w:b/>
        </w:rPr>
        <w:t>N. Perchat</w:t>
      </w:r>
      <w:r>
        <w:rPr/>
        <w:t xml:space="preserve">, </w:t>
      </w:r>
      <w:r>
        <w:rPr>
          <w:b/>
        </w:rPr>
        <w:t>E. Pelletier</w:t>
      </w:r>
      <w:r>
        <w:rPr/>
        <w:t xml:space="preserve">, </w:t>
      </w:r>
      <w:r>
        <w:rPr>
          <w:b/>
        </w:rPr>
        <w:t>M. Gouyvenoux</w:t>
      </w:r>
      <w:r>
        <w:rPr/>
        <w:t xml:space="preserve">, </w:t>
      </w:r>
      <w:r>
        <w:rPr>
          <w:b/>
        </w:rPr>
        <w:t>V. Barbe</w:t>
      </w:r>
      <w:r>
        <w:rPr/>
        <w:t xml:space="preserve">, </w:t>
      </w:r>
      <w:r>
        <w:rPr>
          <w:b/>
        </w:rPr>
        <w:t>M. Salanoubat</w:t>
      </w:r>
      <w:r>
        <w:rPr/>
        <w:t xml:space="preserve">, </w:t>
      </w:r>
      <w:r>
        <w:rPr>
          <w:b/>
        </w:rPr>
        <w:t>D. Le Paslier</w:t>
      </w:r>
      <w:r>
        <w:rPr/>
        <w:t xml:space="preserve">, </w:t>
      </w:r>
      <w:r>
        <w:rPr>
          <w:b/>
        </w:rPr>
        <w:t>J. Weissenbach</w:t>
      </w:r>
      <w:r>
        <w:rPr/>
        <w:t xml:space="preserve">, </w:t>
      </w:r>
      <w:r>
        <w:rPr>
          <w:b/>
        </w:rPr>
        <w:t>G. N. Cohen</w:t>
      </w:r>
      <w:r>
        <w:rPr/>
        <w:t xml:space="preserve">, and </w:t>
      </w:r>
      <w:r>
        <w:rPr>
          <w:b/>
        </w:rPr>
        <w:t>A. Kreimeyer</w:t>
      </w:r>
      <w:r>
        <w:rPr/>
        <w:t xml:space="preserve">. 2010. Clostridium sticklandii, a specialist in amino acid degradation:revisiting its metabolism through its genome sequence. BMC genomics </w:t>
      </w:r>
      <w:r>
        <w:rPr>
          <w:b/>
        </w:rPr>
        <w:t>11</w:t>
      </w:r>
      <w:r>
        <w:rPr/>
        <w:t>:555.</w:t>
      </w:r>
    </w:p>
    <w:p>
      <w:pPr>
        <w:pStyle w:val="Bibliography"/>
        <w:rPr/>
      </w:pPr>
      <w:r>
        <w:rPr/>
        <w:t xml:space="preserve">26. </w:t>
      </w:r>
      <w:r>
        <w:rPr>
          <w:b/>
        </w:rPr>
        <w:t>Nakamura, S.</w:t>
      </w:r>
      <w:r>
        <w:rPr/>
        <w:t xml:space="preserve">, </w:t>
      </w:r>
      <w:r>
        <w:rPr>
          <w:b/>
        </w:rPr>
        <w:t>S. Nakashio</w:t>
      </w:r>
      <w:r>
        <w:rPr/>
        <w:t xml:space="preserve">, </w:t>
      </w:r>
      <w:r>
        <w:rPr>
          <w:b/>
        </w:rPr>
        <w:t>K. Yamakawa</w:t>
      </w:r>
      <w:r>
        <w:rPr/>
        <w:t xml:space="preserve">, </w:t>
      </w:r>
      <w:r>
        <w:rPr>
          <w:b/>
        </w:rPr>
        <w:t>N. Tanabe</w:t>
      </w:r>
      <w:r>
        <w:rPr/>
        <w:t xml:space="preserve">, and </w:t>
      </w:r>
      <w:r>
        <w:rPr>
          <w:b/>
        </w:rPr>
        <w:t>S. Nishida</w:t>
      </w:r>
      <w:r>
        <w:rPr/>
        <w:t xml:space="preserve">. 1982. Carbohydrate Fermentation by Clostridium difficile. Microbiology and Immunology </w:t>
      </w:r>
      <w:r>
        <w:rPr>
          <w:b/>
        </w:rPr>
        <w:t>26</w:t>
      </w:r>
      <w:r>
        <w:rPr/>
        <w:t>:107–111.</w:t>
      </w:r>
    </w:p>
    <w:p>
      <w:pPr>
        <w:pStyle w:val="Bibliography"/>
        <w:rPr/>
      </w:pPr>
      <w:r>
        <w:rPr/>
        <w:t xml:space="preserve">27. </w:t>
      </w:r>
      <w:r>
        <w:rPr>
          <w:b/>
        </w:rPr>
        <w:t>Sorg, J. A.</w:t>
      </w:r>
      <w:r>
        <w:rPr/>
        <w:t xml:space="preserve">, and </w:t>
      </w:r>
      <w:r>
        <w:rPr>
          <w:b/>
        </w:rPr>
        <w:t>A. L. Sonenshein</w:t>
      </w:r>
      <w:r>
        <w:rPr/>
        <w:t xml:space="preserve">. 2010. Inhibiting the initiation of Clostridium difficile spore germination using analogs of chenodeoxycholic acid, a bile acid. Journal of Bacteriology </w:t>
      </w:r>
      <w:r>
        <w:rPr>
          <w:b/>
        </w:rPr>
        <w:t>192</w:t>
      </w:r>
      <w:r>
        <w:rPr/>
        <w:t>:4983–4990.</w:t>
      </w:r>
    </w:p>
    <w:p>
      <w:pPr>
        <w:pStyle w:val="Bibliography"/>
        <w:rPr/>
      </w:pPr>
      <w:r>
        <w:rPr/>
        <w:t xml:space="preserve">28.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Bibliography"/>
        <w:rPr/>
      </w:pPr>
      <w:r>
        <w:rPr/>
        <w:t xml:space="preserve">29. </w:t>
      </w:r>
      <w:r>
        <w:rPr>
          <w:b/>
        </w:rPr>
        <w:t>Neumann-Schaal, M.</w:t>
      </w:r>
      <w:r>
        <w:rPr/>
        <w:t xml:space="preserve">, </w:t>
      </w:r>
      <w:r>
        <w:rPr>
          <w:b/>
        </w:rPr>
        <w:t>J. D. Hofmann</w:t>
      </w:r>
      <w:r>
        <w:rPr/>
        <w:t xml:space="preserve">, </w:t>
      </w:r>
      <w:r>
        <w:rPr>
          <w:b/>
        </w:rPr>
        <w:t>S. E. Will</w:t>
      </w:r>
      <w:r>
        <w:rPr/>
        <w:t xml:space="preserve">, and </w:t>
      </w:r>
      <w:r>
        <w:rPr>
          <w:b/>
        </w:rPr>
        <w:t>D. Schomburg</w:t>
      </w:r>
      <w:r>
        <w:rPr/>
        <w:t>. 2015.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281.</w:t>
      </w:r>
    </w:p>
    <w:p>
      <w:pPr>
        <w:pStyle w:val="Bibliography"/>
        <w:rPr/>
      </w:pPr>
      <w:r>
        <w:rPr/>
        <w:t xml:space="preserve">30. </w:t>
      </w:r>
      <w:r>
        <w:rPr>
          <w:b/>
        </w:rPr>
        <w:t>Bouillaut, L.</w:t>
      </w:r>
      <w:r>
        <w:rPr/>
        <w:t xml:space="preserve">, </w:t>
      </w:r>
      <w:r>
        <w:rPr>
          <w:b/>
        </w:rPr>
        <w:t>W. T. Self</w:t>
      </w:r>
      <w:r>
        <w:rPr/>
        <w:t xml:space="preserve">, and </w:t>
      </w:r>
      <w:r>
        <w:rPr>
          <w:b/>
        </w:rPr>
        <w:t>A. L. Sonenshein</w:t>
      </w:r>
      <w:r>
        <w:rPr/>
        <w:t xml:space="preserve">. 2013. Proline-dependent regulation of Clostridium difficile stickland metabolism. Journal of Bacteriology </w:t>
      </w:r>
      <w:r>
        <w:rPr>
          <w:b/>
        </w:rPr>
        <w:t>195</w:t>
      </w:r>
      <w:r>
        <w:rPr/>
        <w:t>:844–854.</w:t>
      </w:r>
    </w:p>
    <w:p>
      <w:pPr>
        <w:pStyle w:val="Bibliography"/>
        <w:rPr/>
      </w:pPr>
      <w:r>
        <w:rPr/>
        <w:t xml:space="preserve">31. </w:t>
      </w:r>
      <w:r>
        <w:rPr>
          <w:b/>
        </w:rPr>
        <w:t>Ilari, A.</w:t>
      </w:r>
      <w:r>
        <w:rPr/>
        <w:t xml:space="preserve">, </w:t>
      </w:r>
      <w:r>
        <w:rPr>
          <w:b/>
        </w:rPr>
        <w:t>S. Stefanini</w:t>
      </w:r>
      <w:r>
        <w:rPr/>
        <w:t xml:space="preserve">, </w:t>
      </w:r>
      <w:r>
        <w:rPr>
          <w:b/>
        </w:rPr>
        <w:t>E. Chiancone</w:t>
      </w:r>
      <w:r>
        <w:rPr/>
        <w:t xml:space="preserve">, and </w:t>
      </w:r>
      <w:r>
        <w:rPr>
          <w:b/>
        </w:rPr>
        <w:t>D. Tsernoglou</w:t>
      </w:r>
      <w:r>
        <w:rPr/>
        <w:t xml:space="preserve">. 2000. The dodecameric ferritin from Listeria innocua contains a novel intersubunit iron-binding site. Nature Structural Biology </w:t>
      </w:r>
      <w:r>
        <w:rPr>
          <w:b/>
        </w:rPr>
        <w:t>7</w:t>
      </w:r>
      <w:r>
        <w:rPr/>
        <w:t>:38–43.</w:t>
      </w:r>
    </w:p>
    <w:p>
      <w:pPr>
        <w:pStyle w:val="Bibliography"/>
        <w:rPr/>
      </w:pPr>
      <w:r>
        <w:rPr/>
        <w:t xml:space="preserve">32.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33.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34.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35.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36.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37.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38.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39.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40.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41.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Bibliography"/>
        <w:rPr/>
      </w:pPr>
      <w:r>
        <w:rPr/>
        <w:t xml:space="preserve">42.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Bibliography"/>
        <w:rPr/>
      </w:pPr>
      <w:r>
        <w:rPr/>
        <w:t xml:space="preserve">43.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Bibliography"/>
        <w:rPr/>
      </w:pPr>
      <w:r>
        <w:rPr/>
        <w:t xml:space="preserve">44.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Bibliography"/>
        <w:rPr/>
      </w:pPr>
      <w:r>
        <w:rPr/>
        <w:t xml:space="preserve">45.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Bibliography"/>
        <w:rPr/>
      </w:pPr>
      <w:r>
        <w:rPr/>
        <w:t xml:space="preserve">46.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Clostridium difficile within human intestinal organoids result in disruption of epithelial paracellular barrier function. Infection and Immunity </w:t>
      </w:r>
      <w:r>
        <w:rPr>
          <w:b/>
        </w:rPr>
        <w:t>83</w:t>
      </w:r>
      <w:r>
        <w:rPr/>
        <w:t>:138–145.</w:t>
      </w:r>
    </w:p>
    <w:p>
      <w:pPr>
        <w:pStyle w:val="Bibliography"/>
        <w:rPr/>
      </w:pPr>
      <w:r>
        <w:rPr/>
        <w:t xml:space="preserve">47.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48.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49. </w:t>
      </w:r>
      <w:r>
        <w:rPr>
          <w:b/>
        </w:rPr>
        <w:t>Martin, M.</w:t>
      </w:r>
      <w:r>
        <w:rPr/>
        <w:t xml:space="preserve"> 2011. Cutadapt removes adapter sequences from high-throughput sequencing reads. EMBnet </w:t>
      </w:r>
      <w:r>
        <w:rPr>
          <w:b/>
        </w:rPr>
        <w:t>17</w:t>
      </w:r>
      <w:r>
        <w:rPr/>
        <w:t>:10.</w:t>
      </w:r>
    </w:p>
    <w:p>
      <w:pPr>
        <w:pStyle w:val="Bibliography"/>
        <w:rPr/>
      </w:pPr>
      <w:r>
        <w:rPr/>
        <w:t xml:space="preserve">50.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51.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52.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53.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54.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55.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56. </w:t>
      </w:r>
      <w:r>
        <w:rPr>
          <w:b/>
        </w:rPr>
        <w:t>Breiman, L.</w:t>
      </w:r>
      <w:r>
        <w:rPr/>
        <w:t xml:space="preserve"> 2001. Random forests. Machine Learning </w:t>
      </w:r>
      <w:r>
        <w:rPr>
          <w:b/>
        </w:rPr>
        <w:t>45</w:t>
      </w:r>
      <w:r>
        <w:rPr/>
        <w:t>:5–32.</w:t>
      </w:r>
    </w:p>
    <w:p>
      <w:pPr>
        <w:pStyle w:val="Bibliography"/>
        <w:spacing w:before="180" w:after="180"/>
        <w:rPr/>
      </w:pPr>
      <w:r>
        <w:rPr/>
        <w:t xml:space="preserve">57. </w:t>
      </w:r>
      <w:r>
        <w:rPr>
          <w:b/>
        </w:rPr>
        <w:t>Segal, M. R.</w:t>
      </w:r>
      <w:r>
        <w:rPr/>
        <w:t xml:space="preserve"> 2004. Machine Learning Benchmarks and Random Forest Regression. Biostatistics 1–14.</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7">
              <wp:simplePos x="0" y="0"/>
              <wp:positionH relativeFrom="margin">
                <wp:align>center</wp:align>
              </wp:positionH>
              <wp:positionV relativeFrom="paragraph">
                <wp:posOffset>635</wp:posOffset>
              </wp:positionV>
              <wp:extent cx="171450" cy="174625"/>
              <wp:effectExtent l="0" t="0" r="0" b="0"/>
              <wp:wrapSquare wrapText="largest"/>
              <wp:docPr id="1" name="Frame1"/>
              <a:graphic xmlns:a="http://schemas.openxmlformats.org/drawingml/2006/main">
                <a:graphicData uri="http://schemas.microsoft.com/office/word/2010/wordprocessingShape">
                  <wps:wsp>
                    <wps:cNvSpPr/>
                    <wps:spPr>
                      <a:xfrm>
                        <a:off x="0" y="0"/>
                        <a:ext cx="17064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46</w:t>
                          </w:r>
                          <w:r>
                            <w:fldChar w:fldCharType="end"/>
                          </w:r>
                        </w:p>
                      </w:txbxContent>
                    </wps:txbx>
                    <wps:bodyPr lIns="0" rIns="0" tIns="0" bIns="0">
                      <a:spAutoFit/>
                    </wps:bodyPr>
                  </wps:wsp>
                </a:graphicData>
              </a:graphic>
            </wp:anchor>
          </w:drawing>
        </mc:Choice>
        <mc:Fallback>
          <w:pict>
            <v:rect id="shape_0" ID="Frame1" stroked="f" style="position:absolute;margin-left:227.25pt;margin-top:0.05pt;width:13.4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46</w:t>
                    </w:r>
                    <w:r>
                      <w:fldChar w:fldCharType="end"/>
                    </w:r>
                  </w:p>
                </w:txbxContent>
              </v:textbox>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roadinstitute.github.io/picard/" TargetMode="External"/><Relationship Id="rId3" Type="http://schemas.openxmlformats.org/officeDocument/2006/relationships/hyperlink" Target="mailto:pschloss@umich.edu" TargetMode="External"/><Relationship Id="rId4" Type="http://schemas.openxmlformats.org/officeDocument/2006/relationships/hyperlink" Target="https://github.com/mjenior/Jenior_Metatranscriptomics_mSphere_2018"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LibreOffice/5.1.6.2$Linux_X86_64 LibreOffice_project/10m0$Build-2</Application>
  <Pages>46</Pages>
  <Words>11477</Words>
  <Characters>68351</Characters>
  <CharactersWithSpaces>79656</CharactersWithSpaces>
  <Paragraphs>134</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2018-03-20T19:10:54Z</dcterms:created>
  <dc:creator/>
  <dc:description/>
  <dc:language>en-US</dc:language>
  <cp:lastModifiedBy/>
  <dcterms:modified xsi:type="dcterms:W3CDTF">2018-03-22T10:13:45Z</dcterms:modified>
  <cp:revision>3</cp:revision>
  <dc:subject/>
  <dc:title>Clostridium difficile alters the structure and metabolism of distinct cecal microbiomes during initial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