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7619_529621234"/>
      <w:bookmarkStart w:id="1" w:name="__DdeLink__27_258085862"/>
      <w:bookmarkEnd w:id="0"/>
      <w:bookmarkEnd w:id="1"/>
      <w:r>
        <w:rPr>
          <w:b w:val="false"/>
          <w:bCs w:val="false"/>
          <w:sz w:val="24"/>
          <w:szCs w:val="24"/>
        </w:rPr>
        <w:t>Patrick D. Schloss – pschloss@umich.edu</w:t>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lowest overall abundance species in the respective groups indicating that </w:t>
      </w:r>
      <w:r>
        <w:rPr>
          <w:i/>
        </w:rPr>
        <w:t>C. difficile</w:t>
      </w:r>
      <w:r>
        <w:rPr/>
        <w:t xml:space="preserve"> may “attack the loser” in gut environments where sustained infection occurs more frequently. </w:t>
      </w:r>
      <w:bookmarkStart w:id="2" w:name="__DdeLink__1508_1315116434"/>
      <w:r>
        <w:rPr/>
        <w:t>Overall,</w:t>
      </w:r>
      <w:bookmarkEnd w:id="2"/>
      <w:r>
        <w:rPr/>
        <w:t xml:space="preserve"> o</w:t>
      </w:r>
      <w:r>
        <w:rPr/>
        <w:t xml:space="preserve">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collective effect was significantly more pronounced in communities where </w:t>
      </w:r>
      <w:r>
        <w:rPr>
          <w:i/>
        </w:rPr>
        <w:t>C. difficile</w:t>
      </w:r>
      <w:r>
        <w:rPr/>
        <w:t xml:space="preserve"> was able to maintain colonization over the observation period in two separate pretreatment groups. Conversely in mice that dropped below the limit of detection, and despite shifts in species abundance, the metatrascriptome and metabolome changed very little. Our data further indicated that each antibiotic yielded distinct nutrient niches as well as reinforced the importance of Stickland fermentation as a primary metabolic strategy of </w:t>
      </w:r>
      <w:r>
        <w:rPr>
          <w:i/>
        </w:rPr>
        <w:t>C. difficile</w:t>
      </w:r>
      <w:r>
        <w:rPr/>
        <w:t xml:space="preserve"> for success </w:t>
      </w:r>
      <w:r>
        <w:rPr>
          <w:i/>
        </w:rPr>
        <w:t>in vivo</w:t>
      </w:r>
      <w:r>
        <w:rPr/>
        <w:t xml:space="preserve">.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possible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val="false"/>
          <w:iCs w:val="false"/>
        </w:rPr>
        <w:t>Infection corresponded with metatranscriptomic shifts in numerous catabolic pathways and nutrient acquisition systems across susceptible communities.</w:t>
      </w:r>
      <w:r>
        <w:rPr>
          <w:i w:val="false"/>
          <w:iCs w:val="false"/>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iCs/>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likely open reading frames in each metagenome. Of these putative genes, ~30% were able to be annotated with a known function in KEGG, and many of these annotations were homologs between species within the dataset. Streptomycin pretreatment resulted in a significantly more diverse community (Fig. S1A) than other groups, so a more diverse metagenome was expected. This was the case as ~2500 unique functionally annotated genes were detected in the metagenome of this pretreatment, &gt;1000 more annotated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rPr/>
        <w:t>-infected groups. Based on the metabolomic results, we hypothesized that pathways with the greatest differences would include those involved in the metabolism of carbohydrates and amino acids.</w:t>
      </w:r>
    </w:p>
    <w:p>
      <w:pPr>
        <w:pStyle w:val="TextBody"/>
        <w:rPr/>
      </w:pPr>
      <w:r>
        <w:rPr/>
        <w:t xml:space="preserve">Across all pretreatments the was greatest enrichment for change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top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rP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other pretreatment (Fig. 5B). Within in this group were multiple genes for processing genetic information as well as at least one gene associated the breakdown of complex carbohydrates. Included in genes with increased community-level transcription in the presence of </w:t>
      </w:r>
      <w:r>
        <w:rPr>
          <w:i/>
        </w:rPr>
        <w:t>C. difficile</w:t>
      </w:r>
      <w:r>
        <w:rP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(resistant) communities (Fig. S4). Together these shifts suggested that the microbiota associated separate antibiotic pretreatments differentially adapt carbon metabolism pathways in response to colonization of </w:t>
      </w:r>
      <w:r>
        <w:rPr>
          <w:i/>
        </w:rPr>
        <w:t>C. difficile</w:t>
      </w:r>
      <w:r>
        <w:rPr/>
        <w:t>.</w:t>
      </w:r>
    </w:p>
    <w:p>
      <w:pPr>
        <w:pStyle w:val="TextBody"/>
        <w:rPr/>
      </w:pPr>
      <w:r>
        <w:rPr>
          <w:b/>
        </w:rPr>
        <w:t>Large-scale changes in gene transcription of low-abundance bacterial taxa occurred during CDI.</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overly abundant taxa appearing as though transcription of their genes were disproportionately active. We then directly compared the normalized cDNA abundances for each gene between infected and uninfected states for each antibiotic pretreatment and applied Spearman linear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0.86), suggesting that the degree to which the metatranscriptome is shifted by infection somehow corresponds to prolonged colonization. We further characterized this by tabulating the absolute difference between mock-infection and CDI in all transcriptomic abundances per genus in each antibiotic pretreatment, then normalized to the number of genes detected in each genera to again correct for disproportionate coverage of abundant groups. Taxa were then separated into groups based on their relative abundance in each community based on 16S rRNA gene sequencing (Fig. 6D). This revealed the largest amounts of changes occurring within relatively rare bacterial groups. As the number and diversity of low abundance taxa are much larger than that of highly abundant groups, the majority of unique genes and metabolic potential is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metatranscriptomic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infection. Other groups have identified potential metabolite markers of </w:t>
      </w:r>
      <w:r>
        <w:rPr>
          <w:i/>
        </w:rPr>
        <w:t>C. difficile</w:t>
      </w:r>
      <w:r>
        <w:rP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rP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obtain necessary coverage (38).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pPr>
        <w:pStyle w:val="TextBody"/>
        <w:rPr/>
      </w:pPr>
      <w:r>
        <w:rPr>
          <w:b/>
        </w:rPr>
        <w:t>DNA/cDNA read mapping and normalization.</w:t>
      </w:r>
      <w:r>
        <w:rPr/>
        <w:t xml:space="preserve"> Mapping was accomplished using Bowtie2 (53) and the default stringent settings. Optical and PCR duplicates were then removed using Picard MarkDuplicates (</w:t>
      </w:r>
      <w:hyperlink r:id="rId2">
        <w:r>
          <w:rPr>
            <w:rStyle w:val="InternetLink"/>
          </w:rPr>
          <w:t>http://roadinstitute.github.io/picard/</w:t>
        </w:r>
      </w:hyperlink>
      <w:r>
        <w:rPr/>
        <w:t xml:space="preserve">). The remaining mappings were converted to idxstats format using Samtools (54)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w:t>
      </w:r>
      <w:r>
        <w:rPr>
          <w:i/>
          <w:iCs/>
        </w:rPr>
        <w:t xml:space="preserve">Clostridium difficile </w:t>
      </w:r>
      <w:r>
        <w:rPr/>
        <w:t xml:space="preserve">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w:t>
      </w:r>
      <w:r>
        <w:rPr>
          <w:i/>
          <w:iCs/>
        </w:rPr>
        <w:t>Clostridium difficile</w:t>
      </w:r>
      <w:r>
        <w:rPr/>
        <w:t xml:space="preserv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iCs/>
        </w:rPr>
        <w:t xml:space="preserve">Clostridium difficile </w:t>
      </w:r>
      <w:r>
        <w:rPr/>
        <w:t xml:space="preserve">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w:t>
      </w:r>
      <w:r>
        <w:rPr>
          <w:i/>
          <w:iCs/>
        </w:rPr>
        <w:t>Clostridium difficile</w:t>
      </w:r>
      <w:r>
        <w:rPr/>
        <w:t xml:space="preserv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w:t>
      </w:r>
      <w:r>
        <w:rPr>
          <w:i/>
          <w:iCs/>
        </w:rPr>
        <w:t>Clostridium difficile</w:t>
      </w:r>
      <w:r>
        <w:rPr/>
        <w:t xml:space="preserve"> infection. Antimicrobial Agents and Chemotherapy </w:t>
      </w:r>
      <w:r>
        <w:rPr>
          <w:b/>
        </w:rPr>
        <w:t>57</w:t>
      </w:r>
      <w:r>
        <w:rPr/>
        <w:t>:2326–2332.</w:t>
      </w:r>
    </w:p>
    <w:p>
      <w:pPr>
        <w:pStyle w:val="Bibliography"/>
        <w:rPr/>
      </w:pPr>
      <w:r>
        <w:rPr/>
        <w:t xml:space="preserve">10. </w:t>
      </w:r>
      <w:r>
        <w:rPr>
          <w:b/>
        </w:rPr>
        <w:t>Bignardi, G.</w:t>
      </w:r>
      <w:r>
        <w:rPr/>
        <w:t xml:space="preserve"> 1998. Risk factors for </w:t>
      </w:r>
      <w:r>
        <w:rPr>
          <w:i/>
          <w:iCs/>
        </w:rPr>
        <w:t>Clostridium difficile</w:t>
      </w:r>
      <w:r>
        <w:rPr/>
        <w:t xml:space="preserv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w:t>
      </w:r>
      <w:r>
        <w:rPr>
          <w:i/>
          <w:iCs/>
        </w:rPr>
        <w:t>Clostridium difficile</w:t>
      </w:r>
      <w:r>
        <w:rPr/>
        <w:t xml:space="preserv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w:t>
      </w:r>
      <w:r>
        <w:rPr>
          <w:i/>
          <w:iCs/>
        </w:rPr>
        <w:t>Clostridium difficile</w:t>
      </w:r>
      <w:r>
        <w:rPr/>
        <w:t xml:space="preserv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w:t>
      </w:r>
      <w:r>
        <w:rPr>
          <w:i/>
          <w:iCs/>
        </w:rPr>
        <w:t>Clostridium difficile</w:t>
      </w:r>
      <w:r>
        <w:rPr/>
        <w:t xml:space="preserv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w:t>
      </w:r>
      <w:r>
        <w:rPr>
          <w:i/>
          <w:iCs/>
        </w:rPr>
        <w:t>Clostridium difficile</w:t>
      </w:r>
      <w:r>
        <w:rPr/>
        <w:t xml:space="preserv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iCs/>
        </w:rPr>
        <w:t>Clostridium difficile</w:t>
      </w:r>
      <w:r>
        <w:rPr/>
        <w:t xml:space="preserv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w:t>
      </w:r>
      <w:r>
        <w:rPr>
          <w:i/>
          <w:iCs/>
        </w:rPr>
        <w:t>Clostridium difficile</w:t>
      </w:r>
      <w:r>
        <w:rPr/>
        <w:t xml:space="preserv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w:t>
      </w:r>
      <w:r>
        <w:rPr>
          <w:i/>
          <w:iCs/>
        </w:rPr>
        <w:t>Clostridium difficile</w:t>
      </w:r>
      <w:r>
        <w:rPr/>
        <w:t xml:space="preserv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iCs/>
        </w:rPr>
        <w:t>Clostridium difficile</w:t>
      </w:r>
      <w:r>
        <w:rPr/>
        <w:t xml:space="preserv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w:t>
      </w:r>
      <w:r>
        <w:rPr>
          <w:i/>
          <w:iCs/>
        </w:rPr>
        <w:t>Clostridium sticklandii</w:t>
      </w:r>
      <w:r>
        <w:rPr/>
        <w:t xml:space="preserve">,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w:t>
      </w:r>
      <w:r>
        <w:rPr>
          <w:i/>
          <w:iCs/>
        </w:rPr>
        <w:t>Clostridium difficile</w:t>
      </w:r>
      <w:r>
        <w:rPr/>
        <w:t xml:space="preserv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w:t>
      </w:r>
      <w:r>
        <w:rPr>
          <w:i/>
          <w:iCs/>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w:t>
      </w:r>
      <w:r>
        <w:rPr>
          <w:i/>
          <w:iCs/>
        </w:rPr>
        <w:t>Clostridium difficile</w:t>
      </w:r>
      <w:r>
        <w:rPr/>
        <w:t xml:space="preserv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w:t>
      </w:r>
      <w:r>
        <w:rPr>
          <w:i/>
          <w:iCs/>
        </w:rPr>
        <w:t>Clostridium difficile</w:t>
      </w:r>
      <w:r>
        <w:rPr/>
        <w:t xml:space="preserve"> stickland metabolism. Journal of Bacteriology </w:t>
      </w:r>
      <w:r>
        <w:rPr>
          <w:b/>
        </w:rPr>
        <w:t>195</w:t>
      </w:r>
      <w:r>
        <w:rPr/>
        <w:t>:844–854.</w:t>
      </w:r>
    </w:p>
    <w:p>
      <w:pPr>
        <w:pStyle w:val="Bibliography"/>
        <w:rPr/>
      </w:pPr>
      <w:r>
        <w:rPr/>
        <w:t xml:space="preserve">31.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32.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33.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34.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35.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36.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37.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38.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39.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40.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w:t>
      </w:r>
      <w:r>
        <w:rPr>
          <w:i/>
          <w:iCs/>
        </w:rPr>
        <w:t>Clostridium difficile</w:t>
      </w:r>
      <w:r>
        <w:rPr/>
        <w:t xml:space="preserve"> in the gastrointestinal tracts of germfree mice inoculated with a murine isolate from the family Lachnospiraceae. Infection and Immunity </w:t>
      </w:r>
      <w:r>
        <w:rPr>
          <w:b/>
        </w:rPr>
        <w:t>80</w:t>
      </w:r>
      <w:r>
        <w:rPr/>
        <w:t>:3786–3794.</w:t>
      </w:r>
    </w:p>
    <w:p>
      <w:pPr>
        <w:pStyle w:val="Bibliography"/>
        <w:rPr/>
      </w:pPr>
      <w:r>
        <w:rPr/>
        <w:t xml:space="preserve">41.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w:t>
      </w:r>
      <w:r>
        <w:rPr>
          <w:i/>
          <w:iCs/>
        </w:rPr>
        <w:t>Clostridium difficile</w:t>
      </w:r>
      <w:r>
        <w:rPr/>
        <w:t xml:space="preserve"> Disease in Mice. PLoS Pathogens </w:t>
      </w:r>
      <w:r>
        <w:rPr>
          <w:b/>
        </w:rPr>
        <w:t>8</w:t>
      </w:r>
      <w:r>
        <w:rPr/>
        <w:t>.</w:t>
      </w:r>
    </w:p>
    <w:p>
      <w:pPr>
        <w:pStyle w:val="Bibliography"/>
        <w:rPr/>
      </w:pPr>
      <w:r>
        <w:rPr/>
        <w:t xml:space="preserve">42.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w:t>
      </w:r>
      <w:r>
        <w:rPr>
          <w:i/>
          <w:iCs/>
        </w:rPr>
        <w:t>Clostridium difficile</w:t>
      </w:r>
      <w:r>
        <w:rPr/>
        <w:t xml:space="preserve"> infection: ‘RePOOPulating’ the gut. Microbiome </w:t>
      </w:r>
      <w:r>
        <w:rPr>
          <w:b/>
        </w:rPr>
        <w:t>1</w:t>
      </w:r>
      <w:r>
        <w:rPr/>
        <w:t>:3.</w:t>
      </w:r>
    </w:p>
    <w:p>
      <w:pPr>
        <w:pStyle w:val="Bibliography"/>
        <w:rPr/>
      </w:pPr>
      <w:r>
        <w:rPr/>
        <w:t xml:space="preserve">43.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w:t>
      </w:r>
      <w:r>
        <w:rPr>
          <w:i/>
          <w:iCs/>
        </w:rPr>
        <w:t>Clostridium difficile</w:t>
      </w:r>
      <w:r>
        <w:rPr/>
        <w:t xml:space="preserve"> strains as long-term gut colonizers in healthy infants. Journal of Clinical Microbiology </w:t>
      </w:r>
      <w:r>
        <w:rPr>
          <w:b/>
        </w:rPr>
        <w:t>52</w:t>
      </w:r>
      <w:r>
        <w:rPr/>
        <w:t>:173–179.</w:t>
      </w:r>
    </w:p>
    <w:p>
      <w:pPr>
        <w:pStyle w:val="Bibliography"/>
        <w:rPr/>
      </w:pPr>
      <w:r>
        <w:rPr/>
        <w:t xml:space="preserve">44.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iCs/>
        </w:rPr>
        <w:t>Clostridium difficile</w:t>
      </w:r>
      <w:r>
        <w:rPr/>
        <w:t xml:space="preserve">. Journal of Clinical Microbiology </w:t>
      </w:r>
      <w:r>
        <w:rPr>
          <w:b/>
        </w:rPr>
        <w:t>15</w:t>
      </w:r>
      <w:r>
        <w:rPr/>
        <w:t>:443–446.</w:t>
      </w:r>
    </w:p>
    <w:p>
      <w:pPr>
        <w:pStyle w:val="Bibliography"/>
        <w:rPr/>
      </w:pPr>
      <w:r>
        <w:rPr/>
        <w:t xml:space="preserve">45.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iCs/>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46.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48. </w:t>
      </w:r>
      <w:r>
        <w:rPr>
          <w:b/>
        </w:rPr>
        <w:t>Martin, M.</w:t>
      </w:r>
      <w:r>
        <w:rPr/>
        <w:t xml:space="preserve"> 2011. Cutadapt removes adapter sequences from high-throughput sequencing reads. EMBnet </w:t>
      </w:r>
      <w:r>
        <w:rPr>
          <w:b/>
        </w:rPr>
        <w:t>17</w:t>
      </w:r>
      <w:r>
        <w:rPr/>
        <w:t>:10.</w:t>
      </w:r>
    </w:p>
    <w:p>
      <w:pPr>
        <w:pStyle w:val="Bibliography"/>
        <w:rPr/>
      </w:pPr>
      <w:r>
        <w:rPr/>
        <w:t xml:space="preserve">49.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50.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51.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52.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53.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Breiman, L.</w:t>
      </w:r>
      <w:r>
        <w:rPr/>
        <w:t xml:space="preserve"> 2001. Random forests. Machine Learning </w:t>
      </w:r>
      <w:r>
        <w:rPr>
          <w:b/>
        </w:rPr>
        <w:t>45</w:t>
      </w:r>
      <w:r>
        <w:rPr/>
        <w:t>:5–32.</w:t>
      </w:r>
    </w:p>
    <w:p>
      <w:pPr>
        <w:pStyle w:val="Bibliography"/>
        <w:rPr/>
      </w:pPr>
      <w:r>
        <w:rPr/>
        <w:t xml:space="preserve">56. </w:t>
      </w:r>
      <w:r>
        <w:rPr>
          <w:b/>
        </w:rPr>
        <w:t>Segal, M. R.</w:t>
      </w:r>
      <w:r>
        <w:rPr/>
        <w:t xml:space="preserve"> 2004. Machine Learning Benchmarks and Random Forest Regression. Biostatistics 1–14.</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Metatranscriptomic (cDNA) read abundances associated with each gene were normalized to their associated metaganomic (DNA) coverage, resulting in values that reflect increased transcription. </w:t>
      </w:r>
      <w:r>
        <w:rPr>
          <w:b/>
        </w:rPr>
        <w:t>(A-C)</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diagonal center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p>
    <w:p>
      <w:pPr>
        <w:pStyle w:val="TextBody"/>
        <w:rPr/>
      </w:pPr>
      <w:r>
        <w:rPr>
          <w:b/>
        </w:rPr>
        <w:t>Supplementary Figure 6 | Within-group sample variance across datasets with replicates.</w:t>
      </w:r>
      <w:r>
        <w:rPr/>
        <w:t xml:space="preserve"> </w:t>
      </w:r>
      <w:r>
        <w:rPr>
          <w:b/>
        </w:rPr>
        <w:t>(A)</w:t>
      </w:r>
      <w:r>
        <w:rPr/>
        <w:t xml:space="preserve"> Variances for OTU relative abundances for each sample within all treatment groups. </w:t>
      </w:r>
      <w:r>
        <w:rPr>
          <w:b/>
        </w:rPr>
        <w:t>(B)</w:t>
      </w:r>
      <w:r>
        <w:rP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spacing w:before="180" w:after="120"/>
        <w:rPr/>
      </w:pPr>
      <w:r>
        <w:rPr>
          <w:b/>
        </w:rPr>
        <w:t>Supplementary Table 4 | Median scaled intensity of metabolites for each antibiotic pretreatment and infection group</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6">
              <wp:simplePos x="0" y="0"/>
              <wp:positionH relativeFrom="margin">
                <wp:align>center</wp:align>
              </wp:positionH>
              <wp:positionV relativeFrom="paragraph">
                <wp:posOffset>635</wp:posOffset>
              </wp:positionV>
              <wp:extent cx="172720" cy="174625"/>
              <wp:effectExtent l="0" t="0" r="0" b="0"/>
              <wp:wrapSquare wrapText="largest"/>
              <wp:docPr id="1" name="Frame1"/>
              <a:graphic xmlns:a="http://schemas.openxmlformats.org/drawingml/2006/main">
                <a:graphicData uri="http://schemas.microsoft.com/office/word/2010/wordprocessingShape">
                  <wps:wsp>
                    <wps:cNvSpPr/>
                    <wps:spPr>
                      <a:xfrm>
                        <a:off x="0" y="0"/>
                        <a:ext cx="17208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45</w:t>
                          </w:r>
                          <w:r>
                            <w:fldChar w:fldCharType="end"/>
                          </w:r>
                        </w:p>
                      </w:txbxContent>
                    </wps:txbx>
                    <wps:bodyPr lIns="0" rIns="0" tIns="0" bIns="0">
                      <a:spAutoFit/>
                    </wps:bodyPr>
                  </wps:wsp>
                </a:graphicData>
              </a:graphic>
            </wp:anchor>
          </w:drawing>
        </mc:Choice>
        <mc:Fallback>
          <w:pict>
            <v:rect id="shape_0" ID="Frame1" stroked="f" style="position:absolute;margin-left:227.2pt;margin-top:0.05pt;width:13.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45</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45</Pages>
  <Words>11351</Words>
  <Characters>67515</Characters>
  <CharactersWithSpaces>78697</CharactersWithSpaces>
  <Paragraphs>132</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2018-02-05T21:23:21Z</dcterms:created>
  <dc:creator/>
  <dc:description/>
  <dc:language>en-US</dc:language>
  <cp:lastModifiedBy/>
  <dcterms:modified xsi:type="dcterms:W3CDTF">2018-02-08T09:13:09Z</dcterms:modified>
  <cp:revision>5</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