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Title:</w:t>
      </w:r>
      <w:r>
        <w:rPr>
          <w:rFonts w:ascii="Arial" w:hAnsi="Arial"/>
          <w:sz w:val="24"/>
          <w:szCs w:val="24"/>
        </w:rPr>
        <w:t xml:space="preserve"> Clostridium difficile differentially alters the structure and metabolism of distinct cecal microbiomes to promote persistent colonization during infection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Shortened Title:</w:t>
      </w: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i/>
          <w:iCs/>
          <w:sz w:val="24"/>
          <w:szCs w:val="24"/>
        </w:rPr>
        <w:t>Clostridium difficile</w:t>
      </w:r>
      <w:r>
        <w:rPr>
          <w:rFonts w:ascii="Arial" w:hAnsi="Arial"/>
          <w:sz w:val="24"/>
          <w:szCs w:val="24"/>
        </w:rPr>
        <w:t xml:space="preserve"> infection and gut microbiome meta-omics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Corresponding Author:</w:t>
      </w:r>
      <w:r>
        <w:rPr>
          <w:rFonts w:ascii="Arial" w:hAnsi="Arial"/>
          <w:sz w:val="24"/>
          <w:szCs w:val="24"/>
        </w:rPr>
        <w:t xml:space="preserve"> Patrick D. Schloss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1</Pages>
  <Words>93</Words>
  <Characters>657</Characters>
  <CharactersWithSpaces>745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2017-11-06T15:04:27Z</dcterms:modified>
  <cp:revision>2</cp:revision>
  <dc:subject/>
  <dc:title/>
</cp:coreProperties>
</file>