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since CodY has been associated with adaptive expression of phosphotransferase systems (PTS) and ABC transporters with many known differences in substrate specificities.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42</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7,43</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44,45</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46</w:t>
      </w:r>
      <w:r>
        <w:t xml:space="preserve">). Interestingly, the capacity for bacteria to catabolize the amino sugar N-acetylneurminate is highly distributed among species that inhabit the mammalian gut</w:t>
      </w:r>
      <w:r>
        <w:rPr>
          <w:vertAlign w:val="superscript"/>
        </w:rPr>
        <w:t xml:space="preserve">47</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48</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49</w:t>
      </w:r>
      <w:r>
        <w:t xml:space="preserve">, eventually leading through the intermediate 3−hydroxybutanoyl−CoA ultimately toward the production of butyrate</w:t>
      </w:r>
      <w:r>
        <w:rPr>
          <w:vertAlign w:val="superscript"/>
        </w:rPr>
        <w:t xml:space="preserve">50</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51</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52</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53</w:t>
      </w:r>
      <w:r>
        <w:t xml:space="preserve">. Increased reactive oxygen species may be induced by residual antibiotic affect host or other bacterial cells</w:t>
      </w:r>
      <w:r>
        <w:rPr>
          <w:b/>
          <w:vertAlign w:val="superscript"/>
        </w:rPr>
        <w:t xml:space="preserve">???</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b/>
          <w:vertAlign w:val="superscript"/>
        </w:rPr>
        <w:t xml:space="preserve">???</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58</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59</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 Clostridium difficile 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 Clostridium difficile 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43.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44.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45.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46.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47.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50.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51.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52.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53.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d4965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