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grown to be the most prevalent cause of hospital acquired infection in the United States. Susceptibility to CDI is induced by recent antibiotic exposure, which are known to alter the structure of the gut microbiome and to affect the availability of growth nutrients in the gut. We hypothesized that</w:t>
      </w:r>
      <w:r>
        <w:t xml:space="preserve"> </w:t>
      </w:r>
      <w:r>
        <w:rPr>
          <w:i/>
        </w:rPr>
        <w:t xml:space="preserve">C. difficile</w:t>
      </w:r>
      <w:r>
        <w:t xml:space="preserve"> </w:t>
      </w:r>
      <w:r>
        <w:t xml:space="preserve">is a generalist that adapts its physiology to the nutrients available within the gut. We orally challenged C57BL/6 mice that previously received one of four antibiotics with</w:t>
      </w:r>
      <w:r>
        <w:t xml:space="preserve"> </w:t>
      </w:r>
      <w:r>
        <w:rPr>
          <w:i/>
        </w:rPr>
        <w:t xml:space="preserve">C. difficile</w:t>
      </w:r>
      <w:r>
        <w:t xml:space="preserve"> </w:t>
      </w:r>
      <w:r>
        <w:t xml:space="preserve">and demonstrated that it was able to colonize the cecum within 18 hours of infection. However, levels of both spore and toxin production, which are known to be affected by nutrient availability, varied between each antibiotic treatment group. To more closely investigate the specific responses of</w:t>
      </w:r>
      <w:r>
        <w:t xml:space="preserve"> </w:t>
      </w:r>
      <w:r>
        <w:rPr>
          <w:i/>
        </w:rPr>
        <w:t xml:space="preserve">C. difficile</w:t>
      </w:r>
      <w:r>
        <w:t xml:space="preserve"> </w:t>
      </w:r>
      <w:r>
        <w:t xml:space="preserve">as it colonized the cecum, we performed</w:t>
      </w:r>
      <w:r>
        <w:t xml:space="preserve"> </w:t>
      </w:r>
      <w:r>
        <w:rPr>
          <w:i/>
        </w:rPr>
        <w:t xml:space="preserve">in vivo</w:t>
      </w:r>
      <w:r>
        <w:t xml:space="preserve"> </w:t>
      </w:r>
      <w:r>
        <w:t xml:space="preserve">transcriptional analysis of</w:t>
      </w:r>
      <w:r>
        <w:t xml:space="preserve"> </w:t>
      </w:r>
      <w:r>
        <w:rPr>
          <w:i/>
        </w:rPr>
        <w:t xml:space="preserve">C. difficile</w:t>
      </w:r>
      <w:r>
        <w:t xml:space="preserve"> </w:t>
      </w:r>
      <w:r>
        <w:t xml:space="preserve">from cecal content of infected mice. This approach revealed variation in expression of genes that drive life-cycle switches as well as metabolic pathways associated with catabolizing a variety of carbon sources such as carbohydrates, amino acids, and amino sugars. To assess which substrates</w:t>
      </w:r>
      <w:r>
        <w:t xml:space="preserve"> </w:t>
      </w:r>
      <w:r>
        <w:rPr>
          <w:i/>
        </w:rPr>
        <w:t xml:space="preserve">C. difficile</w:t>
      </w:r>
      <w:r>
        <w:t xml:space="preserve"> </w:t>
      </w:r>
      <w:r>
        <w:t xml:space="preserve">was most likely exploiting in each antibiotic-perturbed microbiome, we developed a novel metabolite scoring algorithm within the genome-scale bipartite metabolic network of</w:t>
      </w:r>
      <w:r>
        <w:t xml:space="preserve"> </w:t>
      </w:r>
      <w:r>
        <w:rPr>
          <w:i/>
        </w:rPr>
        <w:t xml:space="preserve">C. difficile</w:t>
      </w:r>
      <w:r>
        <w:t xml:space="preserve"> </w:t>
      </w:r>
      <w:r>
        <w:t xml:space="preserve">that incorporated both network topology and transcript abundance to infer the likelihood that a given metabolite was acquired from the environment. Applying this approach, we found that</w:t>
      </w:r>
      <w:r>
        <w:t xml:space="preserve"> </w:t>
      </w:r>
      <w:r>
        <w:rPr>
          <w:i/>
        </w:rPr>
        <w:t xml:space="preserve">C. difficile</w:t>
      </w:r>
      <w:r>
        <w:t xml:space="preserve"> </w:t>
      </w:r>
      <w:r>
        <w:t xml:space="preserve">indeed occupies alternative nutrient niches across each antibiotic-perturbed microbiome and that the highlighted metabolites support significant growth,</w:t>
      </w:r>
      <w:r>
        <w:t xml:space="preserve"> </w:t>
      </w:r>
      <w:r>
        <w:rPr>
          <w:i/>
        </w:rPr>
        <w:t xml:space="preserve">in vitro</w:t>
      </w:r>
      <w:r>
        <w:t xml:space="preserve">. Results from this analysis support the hypothesis that consumption of N-acetyl-D-glucosamine and Stickland fermentation substrates are central components of</w:t>
      </w:r>
      <w:r>
        <w:t xml:space="preserve"> </w:t>
      </w:r>
      <w:r>
        <w:rPr>
          <w:i/>
        </w:rPr>
        <w:t xml:space="preserve">C. difficile</w:t>
      </w:r>
      <w:r>
        <w:t xml:space="preserve">'s metabolic strategy and pathogenesis.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to prevent</w:t>
      </w:r>
      <w:r>
        <w:t xml:space="preserve"> </w:t>
      </w:r>
      <w:r>
        <w:rPr>
          <w:i/>
        </w:rPr>
        <w:t xml:space="preserve">C. difficile</w:t>
      </w:r>
      <w:r>
        <w:t xml:space="preserve"> </w:t>
      </w:r>
      <w:r>
        <w:t xml:space="preserve">colonization including potential pre- or probiotic therapies.</w:t>
      </w:r>
    </w:p>
    <w:p>
      <w:pPr>
        <w:pStyle w:val="Heading3"/>
      </w:pPr>
      <w:bookmarkStart w:id="22" w:name="introduction"/>
      <w:bookmarkEnd w:id="22"/>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rPr>
          <w:vertAlign w:val="superscript"/>
        </w:rP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rPr>
          <w:vertAlign w:val="superscript"/>
        </w:rP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rPr>
          <w:vertAlign w:val="superscript"/>
        </w:rP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rPr>
          <w:vertAlign w:val="superscript"/>
        </w:rP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rPr>
          <w:vertAlign w:val="superscript"/>
        </w:rP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has been shown to result in varied levels of</w:t>
      </w:r>
      <w:r>
        <w:t xml:space="preserve"> </w:t>
      </w:r>
      <w:r>
        <w:rPr>
          <w:i/>
        </w:rPr>
        <w:t xml:space="preserve">C. difficile</w:t>
      </w:r>
      <w:r>
        <w:t xml:space="preserve"> </w:t>
      </w:r>
      <w:r>
        <w:t xml:space="preserve">colonization</w:t>
      </w:r>
      <w:r>
        <w:rPr>
          <w:vertAlign w:val="superscript"/>
        </w:rPr>
        <w:t xml:space="preserve">6–8</w:t>
      </w:r>
      <w:r>
        <w:t xml:space="preserve">. Additionally, 18 hours after being introduced to a cefoperazone treated mouse,</w:t>
      </w:r>
      <w:r>
        <w:t xml:space="preserve"> </w:t>
      </w:r>
      <w:r>
        <w:rPr>
          <w:i/>
        </w:rPr>
        <w:t xml:space="preserve">C. difficile</w:t>
      </w:r>
      <w:r>
        <w:t xml:space="preserve"> </w:t>
      </w:r>
      <w:r>
        <w:t xml:space="preserve">reached its maximum vegetative cell density in the cecum</w:t>
      </w:r>
      <w:r>
        <w:rPr>
          <w:vertAlign w:val="superscript"/>
        </w:rP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rPr>
          <w:vertAlign w:val="superscript"/>
        </w:rPr>
        <w:t xml:space="preserve">7,10–12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rPr>
          <w:vertAlign w:val="superscript"/>
        </w:rPr>
        <w:t xml:space="preserve">13,14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rPr>
          <w:vertAlign w:val="superscript"/>
        </w:rP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 and sporulation</w:t>
      </w:r>
      <w:r>
        <w:rPr>
          <w:vertAlign w:val="superscript"/>
        </w:rPr>
        <w:t xml:space="preserve">18,19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rPr>
          <w:vertAlign w:val="superscript"/>
        </w:rPr>
        <w:t xml:space="preserve">20,21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rPr>
          <w:vertAlign w:val="superscript"/>
        </w:rPr>
        <w:t xml:space="preserve">22,23</w:t>
      </w:r>
      <w:r>
        <w:t xml:space="preserve">, with some work characterizing transcription during colonization of germfree mice</w:t>
      </w:r>
      <w:r>
        <w:rPr>
          <w:vertAlign w:val="superscript"/>
        </w:rPr>
        <w:t xml:space="preserve">24,25</w:t>
      </w:r>
      <w:r>
        <w:t xml:space="preserve">. More relevant to nutrient acquisition,</w:t>
      </w:r>
      <w:r>
        <w:t xml:space="preserve"> </w:t>
      </w:r>
      <w:r>
        <w:rPr>
          <w:i/>
        </w:rPr>
        <w:t xml:space="preserve">C. difficile</w:t>
      </w:r>
      <w:r>
        <w:t xml:space="preserve"> </w:t>
      </w:r>
      <w:r>
        <w:t xml:space="preserve">up-regulated several phosphotransferase systems (PTS) and ABC transporters in germfree mice, alluding to metabolic adaptation to nutrient availability</w:t>
      </w:r>
      <w:r>
        <w:t xml:space="preserve"> </w:t>
      </w:r>
      <w:r>
        <w:rPr>
          <w:i/>
        </w:rPr>
        <w:t xml:space="preserve">in vivo</w:t>
      </w:r>
      <w:r>
        <w:rPr>
          <w:vertAlign w:val="superscript"/>
        </w:rP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rPr>
          <w:vertAlign w:val="superscript"/>
        </w:rPr>
        <w:t xml:space="preserve">7,12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rPr>
          <w:vertAlign w:val="superscript"/>
        </w:rP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Based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rPr>
          <w:vertAlign w:val="superscript"/>
        </w:rPr>
        <w:t xml:space="preserve">8</w:t>
      </w:r>
      <w:r>
        <w:t xml:space="preserve">. Each has also been shown to alter the gut metabolome relative to untreated animals</w:t>
      </w:r>
      <w:r>
        <w:rPr>
          <w:vertAlign w:val="superscript"/>
        </w:rPr>
        <w:t xml:space="preserve">7,10,12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monoassociated germfree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3" w:name="results"/>
      <w:bookmarkEnd w:id="23"/>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germfree mice.</w:t>
      </w:r>
    </w:p>
    <w:p>
      <w:pPr>
        <w:pStyle w:val="BodyText"/>
      </w:pP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(Fig. 1). There was not a significant difference in the number of vegetative cells between any susceptible condition tested (Fig. 2a).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ex-germfree mice than in the antibiotic treated mice (Fig. 2b). The spore densities in both streptomycin and clindamycin-treated mice were also generally higher than that in cefoperazone-treated mice. There was significantly more toxin activity in ex-germfree animals than any other colonized group (</w:t>
      </w:r>
      <w:r>
        <w:rPr>
          <w:i/>
        </w:rPr>
        <w:t xml:space="preserve">P</w:t>
      </w:r>
      <w:r>
        <w:t xml:space="preserve"> </w:t>
      </w:r>
      <w:r>
        <w:t xml:space="preserve">= 0.002, 0.002, 0.001), but toxin titer also varied between antibiotic treatment groups (Fig. 2c).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rPr>
          <w:vertAlign w:val="superscript"/>
        </w:rPr>
        <w:t xml:space="preserve">29–32</w:t>
      </w:r>
      <w:r>
        <w:t xml:space="preserve"> </w:t>
      </w:r>
      <w:r>
        <w:t xml:space="preserve">(Fig. 3a). Across the four conditions where</w:t>
      </w:r>
      <w:r>
        <w:t xml:space="preserve"> </w:t>
      </w:r>
      <w:r>
        <w:rPr>
          <w:i/>
        </w:rPr>
        <w:t xml:space="preserve">C. difficile</w:t>
      </w:r>
      <w:r>
        <w:t xml:space="preserve"> </w:t>
      </w:r>
      <w:r>
        <w:t xml:space="preserve">colonized, we observed transcriptional profiles consistent with observed spore levels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 procuts of these genes are involved in suppressing expression of genes found later in the sporulation pathway</w:t>
      </w:r>
      <w:r>
        <w:rPr>
          <w:vertAlign w:val="superscript"/>
        </w:rPr>
        <w:t xml:space="preserve">33</w:t>
      </w:r>
      <w:r>
        <w:t xml:space="preserve">. Streptomycin-treated mice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 in several strains</w:t>
      </w:r>
      <w:r>
        <w:rPr>
          <w:vertAlign w:val="superscript"/>
        </w:rPr>
        <w:t xml:space="preserve">34,35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We next focused on the regulators of metabolic pathways. Sigma factors are master regulators and a subset have been shown to integrate signals from intra- and extracellular nutrient concentrations</w:t>
      </w:r>
      <w:r>
        <w:rPr>
          <w:vertAlign w:val="superscript"/>
        </w:rPr>
        <w:t xml:space="preserve">20,21,31,36</w:t>
      </w:r>
      <w:r>
        <w:t xml:space="preserve">. The transcription of the global repressor</w:t>
      </w:r>
      <w:r>
        <w:t xml:space="preserve"> </w:t>
      </w:r>
      <w:r>
        <w:rPr>
          <w:i/>
        </w:rPr>
        <w:t xml:space="preserve">codY</w:t>
      </w:r>
      <w:r>
        <w:t xml:space="preserve"> </w:t>
      </w:r>
      <w:r>
        <w:t xml:space="preserve">is responsive to intracellular concentrations of GTP and certain amino acids, which are</w:t>
      </w:r>
      <w:r>
        <w:t xml:space="preserve"> </w:t>
      </w:r>
      <w:r>
        <w:rPr>
          <w:i/>
        </w:rPr>
        <w:t xml:space="preserve">C. difficile</w:t>
      </w:r>
      <w:r>
        <w:t xml:space="preserve"> </w:t>
      </w:r>
      <w:r>
        <w:t xml:space="preserve">energy sources</w:t>
      </w:r>
      <w:r>
        <w:rPr>
          <w:vertAlign w:val="superscript"/>
        </w:rPr>
        <w:t xml:space="preserve">37</w:t>
      </w:r>
      <w:r>
        <w:t xml:space="preserve">. Highest transcription for this gene was found in cefoperazone-treated and GF mice (Fig 3d). The regulation networks of CodyY and CcpA are highly interconnected, with the expression of</w:t>
      </w:r>
      <w:r>
        <w:t xml:space="preserve"> </w:t>
      </w:r>
      <w:r>
        <w:rPr>
          <w:i/>
        </w:rPr>
        <w:t xml:space="preserve">ccpA</w:t>
      </w:r>
      <w:r>
        <w:t xml:space="preserve"> </w:t>
      </w:r>
      <w:r>
        <w:t xml:space="preserve">specifically linked to local concentration of rapidly metabolizable carbon sources</w:t>
      </w:r>
      <w:r>
        <w:rPr>
          <w:vertAlign w:val="superscript"/>
        </w:rPr>
        <w:t xml:space="preserve">38</w:t>
      </w:r>
      <w:r>
        <w:t xml:space="preserve">.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spo0A</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spo0A</w:t>
      </w:r>
      <w:r>
        <w:t xml:space="preserve"> </w:t>
      </w:r>
      <w:r>
        <w:t xml:space="preserve">were highly abundant in all conditions tested except for clindamycin-treated mice, where it was still moderately detectable. The sig-family of sigma factors is under the control of spo0A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control pathogenicity by regulating toxin production (Fig.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S1a). We then focused on general differences in carbohydrate (Fig. S1b) and amino acid (Fig. S1c)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germfree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total expression between antibiotic-treated conditions for each gene (Fig 4). We then identified the condition in which each gene was most highly transcribed and adjusted the size of the corresponding point relative to the largest transcipt abundance (Fig 4a). This demonstrated that genes involved in amino acid catabolism had the greatest amount of expression overall, relative to other gene sets. This category includes those enzymes involved in Stickland fermentation (</w:t>
      </w:r>
      <w:r>
        <w:rPr>
          <w:i/>
        </w:rPr>
        <w:t xml:space="preserve">arg</w:t>
      </w:r>
      <w:r>
        <w:t xml:space="preserve">,</w:t>
      </w:r>
      <w:r>
        <w:t xml:space="preserve"> </w:t>
      </w:r>
      <w:r>
        <w:rPr>
          <w:i/>
        </w:rPr>
        <w:t xml:space="preserve">fdh</w:t>
      </w:r>
      <w:r>
        <w:t xml:space="preserve">,</w:t>
      </w:r>
      <w:r>
        <w:t xml:space="preserve"> </w:t>
      </w:r>
      <w:r>
        <w:rPr>
          <w:i/>
        </w:rPr>
        <w:t xml:space="preserve">grd</w:t>
      </w:r>
      <w:r>
        <w:t xml:space="preserve">, and</w:t>
      </w:r>
      <w:r>
        <w:t xml:space="preserve"> </w:t>
      </w:r>
      <w:r>
        <w:rPr>
          <w:i/>
        </w:rPr>
        <w:t xml:space="preserve">prd</w:t>
      </w:r>
      <w:r>
        <w:t xml:space="preserve"> </w:t>
      </w:r>
      <w:r>
        <w:t xml:space="preserve">loci) as well as several general peptidases (</w:t>
      </w:r>
      <w:r>
        <w:rPr>
          <w:i/>
        </w:rPr>
        <w:t xml:space="preserve">pep</w:t>
      </w:r>
      <w:r>
        <w:t xml:space="preserve"> </w:t>
      </w:r>
      <w:r>
        <w:t xml:space="preserve">family). These results indicated that catabolizing environmental amino acids may be important for the growth of</w:t>
      </w:r>
      <w:r>
        <w:t xml:space="preserve"> </w:t>
      </w:r>
      <w:r>
        <w:rPr>
          <w:i/>
        </w:rPr>
        <w:t xml:space="preserve">C. difficile</w:t>
      </w:r>
      <w:r>
        <w:t xml:space="preserve"> </w:t>
      </w:r>
      <w:r>
        <w:t xml:space="preserve">during infection.</w:t>
      </w:r>
    </w:p>
    <w:p>
      <w:pPr>
        <w:pStyle w:val="BodyText"/>
      </w:pPr>
      <w:r>
        <w:t xml:space="preserve">To more clearly indetify associations of gene sets with each condition, we also analyzed each set separately. First, we found that the expression of genes associated with amino acid catabolism were expressed at nearly consistent levels across the conditions (Fig. 4b).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(Fig. 4c). Along similar lines with related molecules, a number of genes for certain monosaccharides entering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and leading through glycolysis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catabolism of the polysaccharides trehalose and cellibiose (</w:t>
      </w:r>
      <w:r>
        <w:rPr>
          <w:i/>
        </w:rPr>
        <w:t xml:space="preserve">treA</w:t>
      </w:r>
      <w:r>
        <w:t xml:space="preserve"> </w:t>
      </w:r>
      <w:r>
        <w:t xml:space="preserve">and</w:t>
      </w:r>
      <w:r>
        <w:t xml:space="preserve"> </w:t>
      </w:r>
      <w:r>
        <w:rPr>
          <w:i/>
        </w:rPr>
        <w:t xml:space="preserve">celG</w:t>
      </w:r>
      <w:r>
        <w:t xml:space="preserve">) were expressed relatively evenly between each condition (Fig. 4d &amp; 4e).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since CodY has been associated with adaptive expression of phosphotransferase systems (PTS) and ABC transporters with many known differences in substrate specificities. Among the genes classified as PTS transporters (Fig. 4f) were overrepresented in both clindamycin and streptomycin-treated mice, while ABC sugar transporters (Fig. 4g) were overrepresented in the cefoparazone-treated mice. The most stark differences were seen in transcription for genes involved in sugar alcohol catabolism (Fig. 4h).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(Fig. 4i) and polysaccharide degradation (Fig. 4e).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(Fig. 4i).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(Fig. 4e). Together these patterns support polysaccharide fermentation in this condition. More subtle differences were seen in those gene associated with glycolysis (Fig. 4d). This category includes genes for not only the steps of glycolysis, but also several genes that mediate entry points of monosaccharides to this pathway.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of</w:t>
      </w:r>
      <w:r>
        <w:t xml:space="preserve"> </w:t>
      </w:r>
      <w:r>
        <w:rPr>
          <w:i/>
        </w:rPr>
        <w:t xml:space="preserve">C. difficile</w:t>
      </w:r>
      <w:r>
        <w:t xml:space="preserve"> </w:t>
      </w:r>
      <w:r>
        <w:t xml:space="preserve">generated for this study (Table S2). In biological terms, BC reflects the amount of influence a given hub has on the overall flow of metabolism through the network</w:t>
      </w:r>
      <w:r>
        <w:rPr>
          <w:vertAlign w:val="superscript"/>
        </w:rPr>
        <w:t xml:space="preserve">39</w:t>
      </w:r>
      <w:r>
        <w:t xml:space="preserve"> </w:t>
      </w:r>
      <w:r>
        <w:t xml:space="preserve">and OCCI indicates those enzymes and substrates that are the most central components of the organism’s metabolism</w:t>
      </w:r>
      <w:r>
        <w:rPr>
          <w:vertAlign w:val="superscript"/>
        </w:rPr>
        <w:t xml:space="preserve">40</w:t>
      </w:r>
      <w:r>
        <w:t xml:space="preserve">. For both enzymes and substrates, the 18 of top 20 nodes with the highest BC values were involved in glycolysis, fermentation, and amino acid synthesis. In agreement, almost all nodes with the largest OCCI values were involved in glycolysis and amino acid synthesis as well. Enzymes that scored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obtaining from its environment in each condition. To accomplish this we mapped normalized transcript abundances to the enzyme nodes in the network.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were then able to create a confidence interval of scores for each metabolite that would likely result from random noise</w:t>
      </w:r>
      <w:r>
        <w:rPr>
          <w:vertAlign w:val="superscript"/>
        </w:rPr>
        <w:t xml:space="preserve">41</w:t>
      </w:r>
      <w:r>
        <w:t xml:space="preserv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To identify the core metabolites that are essential to</w:t>
      </w:r>
      <w:r>
        <w:t xml:space="preserve"> </w:t>
      </w:r>
      <w:r>
        <w:rPr>
          <w:i/>
        </w:rPr>
        <w:t xml:space="preserve">C. difficile</w:t>
      </w:r>
      <w:r>
        <w:t xml:space="preserve"> </w:t>
      </w:r>
      <w:r>
        <w:t xml:space="preserve">in any condition, we compared the highest 50 scoring, significant metabolites from each treatment group (</w:t>
      </w:r>
      <w:r>
        <w:rPr>
          <w:i/>
        </w:rPr>
        <w:t xml:space="preserve">P</w:t>
      </w:r>
      <w:r>
        <w:t xml:space="preserve"> </w:t>
      </w:r>
      <w:r>
        <w:t xml:space="preserve">&lt; 0.05) (Fig. 6a). The host derived amino sugar N-acetyl-D-glucosamine was found to be consistently important, indicating that it may be an integral component of the nutrient niche for</w:t>
      </w:r>
      <w:r>
        <w:t xml:space="preserve"> </w:t>
      </w:r>
      <w:r>
        <w:rPr>
          <w:i/>
        </w:rPr>
        <w:t xml:space="preserve">C. difficile</w:t>
      </w:r>
      <w:r>
        <w:t xml:space="preserve"> </w:t>
      </w:r>
      <w:r>
        <w:t xml:space="preserve">under any condition or that it is always available in the cecum. Additionally, acetate was found to be important in all conditions, but was just below the significance cutoff in germfree mice (Table S3). It has been shown that</w:t>
      </w:r>
      <w:r>
        <w:t xml:space="preserve"> </w:t>
      </w:r>
      <w:r>
        <w:rPr>
          <w:i/>
        </w:rPr>
        <w:t xml:space="preserve">C. difficile</w:t>
      </w:r>
      <w:r>
        <w:t xml:space="preserve"> </w:t>
      </w:r>
      <w:r>
        <w:t xml:space="preserve">produces acetate during fermentation and metabolizes it effectively to utilize in glycolysis</w:t>
      </w:r>
      <w:r>
        <w:rPr>
          <w:vertAlign w:val="superscript"/>
        </w:rPr>
        <w:t xml:space="preserve">42</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S3) suggesting that</w:t>
      </w:r>
      <w:r>
        <w:t xml:space="preserve"> </w:t>
      </w:r>
      <w:r>
        <w:rPr>
          <w:i/>
        </w:rPr>
        <w:t xml:space="preserve">C. difficile</w:t>
      </w:r>
      <w:r>
        <w:t xml:space="preserve"> </w:t>
      </w:r>
      <w:r>
        <w:t xml:space="preserve">was utilizing acetate in the cecum.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Each group of metabolites contained at least one known carbohydrate growth substrate of</w:t>
      </w:r>
      <w:r>
        <w:t xml:space="preserve"> </w:t>
      </w:r>
      <w:r>
        <w:rPr>
          <w:i/>
        </w:rPr>
        <w:t xml:space="preserve">C. difficile</w:t>
      </w:r>
      <w:r>
        <w:rPr>
          <w:vertAlign w:val="superscript"/>
        </w:rPr>
        <w:t xml:space="preserve">7,43</w:t>
      </w:r>
      <w:r>
        <w:t xml:space="preserve">. This included close analogs of D-fructose, mannitol, N-acetylneuraminic acid, and salicin. Furthermore, in GF mice where no other competitors are present, our model indicated that</w:t>
      </w:r>
      <w:r>
        <w:t xml:space="preserve"> </w:t>
      </w:r>
      <w:r>
        <w:rPr>
          <w:i/>
        </w:rPr>
        <w:t xml:space="preserve">C. difficile</w:t>
      </w:r>
      <w:r>
        <w:t xml:space="preserve"> </w:t>
      </w:r>
      <w:r>
        <w:t xml:space="preserve">was more likely to acquires several amino acids (lysine, leucine, and isoleucine)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Carbon sources sources predicted to be important using network-based approach support</w:t>
      </w:r>
      <w:r>
        <w:rPr>
          <w:b/>
        </w:rPr>
        <w:t xml:space="preserve"> </w:t>
      </w:r>
      <w:r>
        <w:rPr>
          <w:i/>
          <w:b/>
        </w:rPr>
        <w:t xml:space="preserve">C. difficile</w:t>
      </w:r>
      <w:r>
        <w:rPr>
          <w:b/>
        </w:rPr>
        <w:t xml:space="preserve"> </w:t>
      </w:r>
      <w:r>
        <w:rPr>
          <w:b/>
        </w:rPr>
        <w:t xml:space="preserve">differential 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a modified defined</w:t>
      </w:r>
      <w:r>
        <w:t xml:space="preserve"> </w:t>
      </w:r>
      <w:r>
        <w:rPr>
          <w:i/>
        </w:rPr>
        <w:t xml:space="preserve">C. difficile</w:t>
      </w:r>
      <w:r>
        <w:t xml:space="preserve"> </w:t>
      </w:r>
      <w:r>
        <w:t xml:space="preserve">minimal media</w:t>
      </w:r>
      <w:r>
        <w:rPr>
          <w:vertAlign w:val="superscript"/>
        </w:rP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can use amino acids for growth through Stickland fermentation, but is auxotrophic for several amino acids, it was necessary to include amino acids in the minimal media. This meant that the most effective negative control was growth in media lacking carbohydrates but containing amino acids (Max OD</w:t>
      </w:r>
      <w:r>
        <w:rPr>
          <w:vertAlign w:val="subscript"/>
        </w:rPr>
        <w:t xml:space="preserve">600</w:t>
      </w:r>
      <w:r>
        <w:t xml:space="preserve"> </w:t>
      </w:r>
      <w:r>
        <w:t xml:space="preserve">= 0.212).</w:t>
      </w:r>
    </w:p>
    <w:p>
      <w:pPr>
        <w:pStyle w:val="BodyText"/>
      </w:pPr>
      <w:r>
        <w:t xml:space="preserve">N-acetyl-D-glucosamine was shown to be important to</w:t>
      </w:r>
      <w:r>
        <w:t xml:space="preserve"> </w:t>
      </w:r>
      <w:r>
        <w:rPr>
          <w:i/>
        </w:rPr>
        <w:t xml:space="preserve">C. difficile</w:t>
      </w:r>
      <w:r>
        <w:t xml:space="preserve"> </w:t>
      </w:r>
      <w:r>
        <w:t xml:space="preserve">in each condition tested (Fig. 6b). When tested for improved growth, significantly more growth (Max OD</w:t>
      </w:r>
      <w:r>
        <w:rPr>
          <w:vertAlign w:val="subscript"/>
        </w:rPr>
        <w:t xml:space="preserve">600</w:t>
      </w:r>
      <w:r>
        <w:t xml:space="preserve"> </w:t>
      </w:r>
      <w:r>
        <w:t xml:space="preserve">= 0.774) was observed compared to no carbohydrate controls (</w:t>
      </w:r>
      <w:r>
        <w:rPr>
          <w:i/>
        </w:rPr>
        <w:t xml:space="preserve">P</w:t>
      </w:r>
      <w:r>
        <w:t xml:space="preserve"> </w:t>
      </w:r>
      <w:r>
        <w:t xml:space="preserve">&lt;&lt;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Trehalose was also shown to be important in each condition and supported</w:t>
      </w:r>
      <w:r>
        <w:t xml:space="preserve"> </w:t>
      </w:r>
      <w:r>
        <w:rPr>
          <w:i/>
        </w:rPr>
        <w:t xml:space="preserve">C. difficile</w:t>
      </w:r>
      <w:r>
        <w:t xml:space="preserve"> </w:t>
      </w:r>
      <w:r>
        <w:t xml:space="preserve">significant growth (</w:t>
      </w:r>
      <w:r>
        <w:rPr>
          <w:i/>
        </w:rPr>
        <w:t xml:space="preserve">P</w:t>
      </w:r>
      <w:r>
        <w:t xml:space="preserve"> </w:t>
      </w:r>
      <w:r>
        <w:t xml:space="preserve">&lt;&lt; 0.001; Max OD</w:t>
      </w:r>
      <w:r>
        <w:rPr>
          <w:vertAlign w:val="subscript"/>
        </w:rPr>
        <w:t xml:space="preserve">600</w:t>
      </w:r>
      <w:r>
        <w:t xml:space="preserve"> </w:t>
      </w:r>
      <w:r>
        <w:t xml:space="preserve">= 0.559), but was more likely provided by the diet than from the host. Furthermore, at least one carbohydrate highlighted as distinctly more important in each of the antibiotic treatment groups provided high levels of</w:t>
      </w:r>
      <w:r>
        <w:t xml:space="preserve"> </w:t>
      </w:r>
      <w:r>
        <w:rPr>
          <w:i/>
        </w:rPr>
        <w:t xml:space="preserve">C. difficile</w:t>
      </w:r>
      <w:r>
        <w:t xml:space="preserve"> </w:t>
      </w:r>
      <w:r>
        <w:t xml:space="preserve">growth relative to control wells (</w:t>
      </w:r>
      <w:r>
        <w:rPr>
          <w:i/>
        </w:rPr>
        <w:t xml:space="preserve">P</w:t>
      </w:r>
      <w:r>
        <w:t xml:space="preserve"> </w:t>
      </w:r>
      <w:r>
        <w:t xml:space="preserve">&lt;&lt; 0.001). This included D-fructose (streptomycin; Max OD</w:t>
      </w:r>
      <w:r>
        <w:rPr>
          <w:vertAlign w:val="subscript"/>
        </w:rPr>
        <w:t xml:space="preserve">600</w:t>
      </w:r>
      <w:r>
        <w:t xml:space="preserve"> </w:t>
      </w:r>
      <w:r>
        <w:t xml:space="preserve">= 0.671),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Because it was not possible to test aminofructose directly, we instead chose to test fructose, an immediate breakdown byproduct of aminofructose catabolism. We also tested both starch and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neither should any improvement over No Carbohydrate control (Fig. S4). Maximum growth rate analysis for each carbohydrate also indicated potential hierarchy of growth nutrient preference (Table S4). The progression is as follows: D-fructose (slope = 0.089), N-acetyl-D-glucosamine (slope = 0.085), salicin (slope = 0.077), mannitol (slope = 0.044) / trehalose (slope = 0.044), and finally N-acetylneuriminate (slope = 0.024). This suggested that</w:t>
      </w:r>
      <w:r>
        <w:t xml:space="preserve"> </w:t>
      </w:r>
      <w:r>
        <w:rPr>
          <w:i/>
        </w:rPr>
        <w:t xml:space="preserve">C. difficile</w:t>
      </w:r>
      <w:r>
        <w:t xml:space="preserve"> </w:t>
      </w:r>
      <w:r>
        <w:t xml:space="preserve">was most well-suited to metabolize the nutrient source that is most likely to be present in all susceptible mouse ceca.</w:t>
      </w:r>
    </w:p>
    <w:p>
      <w:pPr>
        <w:pStyle w:val="Heading3"/>
      </w:pPr>
      <w:bookmarkStart w:id="24" w:name="discussion"/>
      <w:bookmarkEnd w:id="24"/>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Mice treated with different antibiotics harbored distinct microbial communities and when</w:t>
      </w:r>
      <w:r>
        <w:t xml:space="preserve"> </w:t>
      </w:r>
      <w:r>
        <w:rPr>
          <w:i/>
        </w:rPr>
        <w:t xml:space="preserve">C. difficile</w:t>
      </w:r>
      <w:r>
        <w:t xml:space="preserve"> </w:t>
      </w:r>
      <w:r>
        <w:t xml:space="preserve">colonized these communities it altered its gene expression. Mapping this gene expression onto a metabolic network model for</w:t>
      </w:r>
      <w:r>
        <w:t xml:space="preserve"> </w:t>
      </w:r>
      <w:r>
        <w:rPr>
          <w:i/>
        </w:rPr>
        <w:t xml:space="preserve">C. difficile</w:t>
      </w:r>
      <w:r>
        <w:t xml:space="preserve"> </w:t>
      </w:r>
      <w:r>
        <w:t xml:space="preserve">allowed us to quantify the importance of different metabolites acquired from its environment. That the most important metabolites differed between antibiotic treatment groups indicated a shift in</w:t>
      </w:r>
      <w:r>
        <w:t xml:space="preserve"> </w:t>
      </w:r>
      <w:r>
        <w:rPr>
          <w:i/>
        </w:rPr>
        <w:t xml:space="preserve">C. difficile</w:t>
      </w:r>
      <w:r>
        <w:t xml:space="preserve"> </w:t>
      </w:r>
      <w:r>
        <w:t xml:space="preserve">metabolism. Furthermore, we validated these results by growing</w:t>
      </w:r>
      <w:r>
        <w:t xml:space="preserve"> </w:t>
      </w:r>
      <w:r>
        <w:rPr>
          <w:i/>
        </w:rPr>
        <w:t xml:space="preserve">C. difficile</w:t>
      </w:r>
      <w:r>
        <w:t xml:space="preserve"> </w:t>
      </w:r>
      <w:r>
        <w:t xml:space="preserve">in media where important metabolites were the sole carbohydrate and observed robust growth. These results give insight to the adaptive strategies that</w:t>
      </w:r>
      <w:r>
        <w:t xml:space="preserve"> </w:t>
      </w:r>
      <w:r>
        <w:rPr>
          <w:i/>
        </w:rPr>
        <w:t xml:space="preserve">C. difficile</w:t>
      </w:r>
      <w:r>
        <w:t xml:space="preserve"> </w:t>
      </w:r>
      <w:r>
        <w:t xml:space="preserve">can use to colonize diverse human microbiota.</w:t>
      </w:r>
    </w:p>
    <w:p>
      <w:pPr>
        <w:pStyle w:val="BodyText"/>
      </w:pPr>
      <w:r>
        <w:t xml:space="preserve">By integrating multiple levels of data into a transcriptome-enabled, genome-scale model of</w:t>
      </w:r>
      <w:r>
        <w:t xml:space="preserve"> </w:t>
      </w:r>
      <w:r>
        <w:rPr>
          <w:i/>
        </w:rPr>
        <w:t xml:space="preserve">C. difficile</w:t>
      </w:r>
      <w:r>
        <w:t xml:space="preserve"> </w:t>
      </w:r>
      <w:r>
        <w:t xml:space="preserve">metabolism we were able to obtain a deeper understanding of the pathogen’s behavior in different contexts of infection. Comparative studies on gene content alone enabled us to identify core genomic elements and putative colonization factors</w:t>
      </w:r>
      <w:r>
        <w:rPr>
          <w:vertAlign w:val="superscript"/>
        </w:rPr>
        <w:t xml:space="preserve">44,45</w:t>
      </w:r>
      <w:r>
        <w:t xml:space="preserve">. Although these are important steps in directing future research, they lack an expression component to identify when these functions are likely to be produced by a cell. Transcriptomic analysis is more informative than a genome, since it allows one to quantify the differential expression of genes under distinct conditions and can uncover patterns of adaptation</w:t>
      </w:r>
      <w:r>
        <w:rPr>
          <w:vertAlign w:val="superscript"/>
        </w:rPr>
        <w:t xml:space="preserve">24</w:t>
      </w:r>
      <w:r>
        <w:t xml:space="preserve">. Transcriptomic analysis has traditionally been limited since the scope is typically the expression of single gene families or pathways without concern for how they interact with other pathways. Our network-based approach instead focused on uncovering those resources that</w:t>
      </w:r>
      <w:r>
        <w:t xml:space="preserve"> </w:t>
      </w:r>
      <w:r>
        <w:rPr>
          <w:i/>
        </w:rPr>
        <w:t xml:space="preserve">C. difficile</w:t>
      </w:r>
      <w:r>
        <w:t xml:space="preserve"> </w:t>
      </w:r>
      <w:r>
        <w:t xml:space="preserve">acquires from the environment using an integrative approach in which all reactions that are annotated to interact with a given metabolite are incorporated into the importance of that metabolite at the time point measured. In this way we were able to amplify the signal of demand for each metabolite and more reliably identify what resources a bacterium is importing from its environment. For example, a traditional transcriptomic analysis indicated that sorbitol is the most likely carbon source of</w:t>
      </w:r>
      <w:r>
        <w:t xml:space="preserve"> </w:t>
      </w:r>
      <w:r>
        <w:rPr>
          <w:i/>
        </w:rPr>
        <w:t xml:space="preserve">C. difficile</w:t>
      </w:r>
      <w:r>
        <w:t xml:space="preserve"> </w:t>
      </w:r>
      <w:r>
        <w:t xml:space="preserve">when infecting streptomycin-treated mice (Fig. 4d). However, upon a network-based analysis it became clear that other carbon sources that are more likely to be used for growth in this condition (Fig. 5b) and may be due to increased availability compared to other metabolites. To this point, when we analyzed sorbitol as a growth substrate during the</w:t>
      </w:r>
      <w:r>
        <w:t xml:space="preserve"> </w:t>
      </w:r>
      <w:r>
        <w:rPr>
          <w:i/>
        </w:rPr>
        <w:t xml:space="preserve">in vitro</w:t>
      </w:r>
      <w:r>
        <w:t xml:space="preserve"> </w:t>
      </w:r>
      <w:r>
        <w:t xml:space="preserve">experiments we saw that it indeed did not provide for increased growth over No Carbohydrate control and that the network-based method provided a more robust prediction of nutrient preference (Fig. S4).</w:t>
      </w:r>
    </w:p>
    <w:p>
      <w:pPr>
        <w:pStyle w:val="BodyText"/>
      </w:pPr>
      <w:r>
        <w:t xml:space="preserve">Our hypothesis is supported by previous mass spectrometry-based efforts analyzing the metabolome from mouse intestinal content treated under similar conditions to those used in the current study. These investigations revealed that several of the substrates predicted to be used by</w:t>
      </w:r>
      <w:r>
        <w:t xml:space="preserve"> </w:t>
      </w:r>
      <w:r>
        <w:rPr>
          <w:i/>
        </w:rPr>
        <w:t xml:space="preserve">C. difficile</w:t>
      </w:r>
      <w:r>
        <w:t xml:space="preserve"> </w:t>
      </w:r>
      <w:r>
        <w:t xml:space="preserve">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w:t>
      </w:r>
      <w:r>
        <w:t xml:space="preserve"> </w:t>
      </w:r>
      <w:r>
        <w:rPr>
          <w:i/>
        </w:rPr>
        <w:t xml:space="preserve">C. difficile</w:t>
      </w:r>
      <w:r>
        <w:t xml:space="preserve"> </w:t>
      </w:r>
      <w:r>
        <w:t xml:space="preserve">colonization</w:t>
      </w:r>
      <w:r>
        <w:rPr>
          <w:vertAlign w:val="superscript"/>
        </w:rPr>
        <w:t xml:space="preserve">7</w:t>
      </w:r>
      <w:r>
        <w:t xml:space="preserve">. Similar trends of increased concentration for</w:t>
      </w:r>
      <w:r>
        <w:t xml:space="preserve"> </w:t>
      </w:r>
      <w:r>
        <w:rPr>
          <w:i/>
        </w:rPr>
        <w:t xml:space="preserve">C. difficile</w:t>
      </w:r>
      <w:r>
        <w:t xml:space="preserve"> </w:t>
      </w:r>
      <w:r>
        <w:t xml:space="preserve">growth substrates are also true in streptomycin-treated conventional (amino sugars and fructose</w:t>
      </w:r>
      <w:r>
        <w:rPr>
          <w:vertAlign w:val="superscript"/>
        </w:rPr>
        <w:t xml:space="preserve">10</w:t>
      </w:r>
      <w:r>
        <w:t xml:space="preserve">) and GF mice (N-acetylneurminate</w:t>
      </w:r>
      <w:r>
        <w:rPr>
          <w:vertAlign w:val="superscript"/>
        </w:rPr>
        <w:t xml:space="preserve">46</w:t>
      </w:r>
      <w:r>
        <w:t xml:space="preserve">). Interestingly, the capacity for bacteria to catabolize the amino sugar N-acetylneurminate is highly distributed among species that inhabit the mammalian gut</w:t>
      </w:r>
      <w:r>
        <w:rPr>
          <w:vertAlign w:val="superscript"/>
        </w:rPr>
        <w:t xml:space="preserve">47</w:t>
      </w:r>
      <w:r>
        <w:t xml:space="preserve">. This may mean that N-acetylneuraminate is strongly competed for by the healthy microbiota and</w:t>
      </w:r>
      <w:r>
        <w:t xml:space="preserve"> </w:t>
      </w:r>
      <w:r>
        <w:rPr>
          <w:i/>
        </w:rPr>
        <w:t xml:space="preserve">C. difficile</w:t>
      </w:r>
      <w:r>
        <w:t xml:space="preserve"> </w:t>
      </w:r>
      <w:r>
        <w:t xml:space="preserve">can only access it in the absence of all other competitors. Together, these results provide evidence that our network-based approach accurately predicts which metabolites</w:t>
      </w:r>
      <w:r>
        <w:t xml:space="preserve"> </w:t>
      </w:r>
      <w:r>
        <w:rPr>
          <w:i/>
        </w:rPr>
        <w:t xml:space="preserve">C. difficile</w:t>
      </w:r>
      <w:r>
        <w:t xml:space="preserve"> </w:t>
      </w:r>
      <w:r>
        <w:t xml:space="preserve">chooses to metabolize in a given environments and that these changes are most likely due to nutrient availability.</w:t>
      </w:r>
    </w:p>
    <w:p>
      <w:pPr>
        <w:pStyle w:val="BodyText"/>
      </w:pPr>
      <w:r>
        <w:t xml:space="preserve">Additionally, the finding that N-acetyl-D-glucosamine is consistently the highest scoring shared metabolite among all tested conditions strongly indicated that it may be always utilized by</w:t>
      </w:r>
      <w:r>
        <w:t xml:space="preserve"> </w:t>
      </w:r>
      <w:r>
        <w:rPr>
          <w:i/>
        </w:rPr>
        <w:t xml:space="preserve">C. difficile</w:t>
      </w:r>
      <w:r>
        <w:t xml:space="preserve"> </w:t>
      </w:r>
      <w:r>
        <w:t xml:space="preserve">during infection. As it is likely constitutively available at some concentration, and is a source of both carbon and nitrogen (a potentially limited resource in the mammalian lower GI tract</w:t>
      </w:r>
      <w:r>
        <w:rPr>
          <w:vertAlign w:val="superscript"/>
        </w:rPr>
        <w:t xml:space="preserve">48</w:t>
      </w:r>
      <w:r>
        <w:t xml:space="preserve">) also provides evidence that this is true. A conserved strategy may also be evident in that numerous components of the Stickland fermentation pathway were found to be important to</w:t>
      </w:r>
      <w:r>
        <w:t xml:space="preserve"> </w:t>
      </w:r>
      <w:r>
        <w:rPr>
          <w:i/>
        </w:rPr>
        <w:t xml:space="preserve">C. difficile</w:t>
      </w:r>
      <w:r>
        <w:t xml:space="preserve"> </w:t>
      </w:r>
      <w:r>
        <w:t xml:space="preserve">in all conditions tested. Proline is one of the primary substrates the</w:t>
      </w:r>
      <w:r>
        <w:t xml:space="preserve"> </w:t>
      </w:r>
      <w:r>
        <w:rPr>
          <w:i/>
        </w:rPr>
        <w:t xml:space="preserve">C. difficile</w:t>
      </w:r>
      <w:r>
        <w:t xml:space="preserve"> </w:t>
      </w:r>
      <w:r>
        <w:t xml:space="preserve">uses to generate ATP form amino acids, and the first steps in the pathway initialized by a proline reductase which requires selenium as a cofactor</w:t>
      </w:r>
      <w:r>
        <w:rPr>
          <w:vertAlign w:val="superscript"/>
        </w:rPr>
        <w:t xml:space="preserve">49</w:t>
      </w:r>
      <w:r>
        <w:t xml:space="preserve">, eventually leading through the intermediate 3−hydroxybutanoyl−CoA ultimately toward the production of butyrate</w:t>
      </w:r>
      <w:r>
        <w:rPr>
          <w:vertAlign w:val="superscript"/>
        </w:rPr>
        <w:t xml:space="preserve">50</w:t>
      </w:r>
      <w:r>
        <w:t xml:space="preserve">. Since the diet that the mice are given is rich in both amino acids and supplemented with selenium, it is not unlikely that this pathway may be more energetically favorable in this instance than other forms of metabolism. Additionally, formate has been shown to greatly increase the efficiency of Stickland fermentation in Clostridia by decreasing intracellular H+ concentrations and allowing for increased production of short chain fatty acids</w:t>
      </w:r>
      <w:r>
        <w:rPr>
          <w:vertAlign w:val="superscript"/>
        </w:rPr>
        <w:t xml:space="preserve">51</w:t>
      </w:r>
      <w:r>
        <w:t xml:space="preserve">. These findings that there are also metabolites that</w:t>
      </w:r>
      <w:r>
        <w:t xml:space="preserve"> </w:t>
      </w:r>
      <w:r>
        <w:rPr>
          <w:i/>
        </w:rPr>
        <w:t xml:space="preserve">C. difficile</w:t>
      </w:r>
      <w:r>
        <w:t xml:space="preserve"> </w:t>
      </w:r>
      <w:r>
        <w:t xml:space="preserve">will utilize in any condition and are central to its nutritional strategy.</w:t>
      </w:r>
    </w:p>
    <w:p>
      <w:pPr>
        <w:pStyle w:val="BodyText"/>
      </w:pPr>
      <w:r>
        <w:t xml:space="preserve">In addition to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(Fig. 6a). One interesting result is the appearance of CO</w:t>
      </w:r>
      <w:r>
        <w:rPr>
          <w:vertAlign w:val="subscript"/>
        </w:rPr>
        <w:t xml:space="preserve">2</w:t>
      </w:r>
      <w:r>
        <w:t xml:space="preserve">, an apparent metabolic end product, in the list of shared important metabolites. While this may be a shortcoming inherent in database-driven research, it could instead serve as evidence for yet unappreciated aspects of a bacterium’s metabolism. Along these lines, one group has posited that</w:t>
      </w:r>
      <w:r>
        <w:t xml:space="preserve"> </w:t>
      </w:r>
      <w:r>
        <w:rPr>
          <w:i/>
        </w:rPr>
        <w:t xml:space="preserve">C. difficile</w:t>
      </w:r>
      <w:r>
        <w:t xml:space="preserve"> </w:t>
      </w:r>
      <w:r>
        <w:t xml:space="preserve">may actually be autotrophic under certain conditions which could explain the appearance of CO</w:t>
      </w:r>
      <w:r>
        <w:rPr>
          <w:vertAlign w:val="subscript"/>
        </w:rPr>
        <w:t xml:space="preserve">2</w:t>
      </w:r>
      <w:r>
        <w:t xml:space="preserve"> </w:t>
      </w:r>
      <w:r>
        <w:t xml:space="preserve">in the conserved metabolite list between all conditions</w:t>
      </w:r>
      <w:r>
        <w:rPr>
          <w:vertAlign w:val="superscript"/>
        </w:rPr>
        <w:t xml:space="preserve">52</w:t>
      </w:r>
      <w:r>
        <w:t xml:space="preserve">. Furthermore, oxygen appears as important in clindamycin-treated mice. Despite the fact that</w:t>
      </w:r>
      <w:r>
        <w:t xml:space="preserve"> </w:t>
      </w:r>
      <w:r>
        <w:rPr>
          <w:i/>
        </w:rPr>
        <w:t xml:space="preserve">C. difficile</w:t>
      </w:r>
      <w:r>
        <w:t xml:space="preserve"> </w:t>
      </w:r>
      <w:r>
        <w:t xml:space="preserve">is considered a strict anaerobe, it has been shown to be able to resist oxidative stress through expression of multiple putative oxidoreductases</w:t>
      </w:r>
      <w:r>
        <w:rPr>
          <w:vertAlign w:val="superscript"/>
        </w:rPr>
        <w:t xml:space="preserve">53</w:t>
      </w:r>
      <w:r>
        <w:t xml:space="preserve">. Increased reactive oxygen species may be induced by residual antibiotic affect host or other bacterial cells</w:t>
      </w:r>
      <w:r>
        <w:rPr>
          <w:b/>
          <w:vertAlign w:val="superscript"/>
        </w:rPr>
        <w:t xml:space="preserve">???</w:t>
      </w:r>
      <w:r>
        <w:t xml:space="preserve">. It is important to note that the metabolites highlighted by our method are not necessarily growth substrates, only how probable it is that they are being removed from the environment which encompasses possible detoxification. As such, this platform may also prove informative for generating hypotheses through reverse ecology</w:t>
      </w:r>
      <w:r>
        <w:rPr>
          <w:b/>
          <w:vertAlign w:val="superscript"/>
        </w:rPr>
        <w:t xml:space="preserve">???</w:t>
      </w:r>
      <w:r>
        <w:t xml:space="preserve"> </w:t>
      </w:r>
      <w:r>
        <w:t xml:space="preserve">that could ultimately lead to uncovering new edges of interaction between species.</w:t>
      </w:r>
    </w:p>
    <w:p>
      <w:pPr>
        <w:pStyle w:val="BodyText"/>
      </w:pPr>
      <w:r>
        <w:t xml:space="preserve">While much of the results presented agree with previously published findings on the metabolism of</w:t>
      </w:r>
      <w:r>
        <w:t xml:space="preserve"> </w:t>
      </w:r>
      <w:r>
        <w:rPr>
          <w:i/>
        </w:rPr>
        <w:t xml:space="preserve">C. difficile</w:t>
      </w:r>
      <w:r>
        <w:t xml:space="preserve">, there are some potential limitations of primarily database-driven methods. Ultimately, the metabolite importance calculation is dependent on gene annotation. Genes may be annotated incorrectly, possibly giving a skewed version of that organism’s overall metabolism. Concordantly, this also implies that our approach only accounts for those enzyme-mediated reactions we are currently aware of. For this reason, we instead rely on emergent properties from the combination established metabolic reactions contained in the chosen database. In this regard, other groups have shown the the wider pathway annotations in KEGG to be more robust to missing elements and well-suited the the type of analysis described here</w:t>
      </w:r>
      <w:r>
        <w:rPr>
          <w:vertAlign w:val="superscript"/>
        </w:rPr>
        <w:t xml:space="preserve">54</w:t>
      </w:r>
      <w:r>
        <w:t xml:space="preserve">. Additionally, due to the topology of the metabolic network where each unique metabolite only appears a single time, we were unable to integrate stoichiometry information for each reaction which may have a dramatic effect the rate of consumption/production. However, results from this analysis reflects known aspects of</w:t>
      </w:r>
      <w:r>
        <w:t xml:space="preserve"> </w:t>
      </w:r>
      <w:r>
        <w:rPr>
          <w:i/>
        </w:rPr>
        <w:t xml:space="preserve">C. difficile</w:t>
      </w:r>
      <w:r>
        <w:t xml:space="preserve"> </w:t>
      </w:r>
      <w:r>
        <w:t xml:space="preserve">catabolism and indicates that the lack of this information may not greatly impact our ability to identify important metabolites. Aside from limitations due to annotation, our network-based approach makes a set of basic simplifications of bacterial metabolism as well. First, this method also operates under the assumption that all detectable transcript is then translated to complete effector proteins. While this is not completely accurate, since bacterial transcription and translation are physically coupled, we were comfortable using normalized levels of transcription to infer approximate amount of translation. Second, the metabolite importance scores do not account for the amount of each metabolite that is available. Future studies could employ metabolomic analysis which would allow for confirmation that important metabolites are actually present for use.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w:t>
      </w:r>
      <w:r>
        <w:t xml:space="preserve"> </w:t>
      </w:r>
      <w:r>
        <w:rPr>
          <w:i/>
        </w:rPr>
        <w:t xml:space="preserve">C. difficile</w:t>
      </w:r>
      <w:r>
        <w:t xml:space="preserve"> </w:t>
      </w:r>
      <w:r>
        <w:t xml:space="preserve">biology and reveals the adaptive nature of the pathogen’s nutritional strategy during infection.</w:t>
      </w:r>
    </w:p>
    <w:p>
      <w:pPr>
        <w:pStyle w:val="BodyText"/>
      </w:pPr>
      <w:r>
        <w:t xml:space="preserve">Based on the evidence presented, and in spite of the limitations discussed above, our results strongly support our hypothesis that</w:t>
      </w:r>
      <w:r>
        <w:t xml:space="preserve"> </w:t>
      </w:r>
      <w:r>
        <w:rPr>
          <w:i/>
        </w:rPr>
        <w:t xml:space="preserve">C. difficile</w:t>
      </w:r>
      <w:r>
        <w:t xml:space="preserve"> </w:t>
      </w:r>
      <w:r>
        <w:t xml:space="preserve">metabolizes alternative carbon sources across susceptible gut environments for growth. Together, our results demonstrate that our novel metabolic modeling approach highlights which substrates an organism is likely using at the time of sampling. Ultimately, these genome-scale metabolic models provide a framework to predict phenotype changes of an organism across environments. Our results also indicate that further considerations are needed when attempting to design more targeted probiotics for the prevention or elimination of</w:t>
      </w:r>
      <w:r>
        <w:t xml:space="preserve"> </w:t>
      </w:r>
      <w:r>
        <w:rPr>
          <w:i/>
        </w:rPr>
        <w:t xml:space="preserve">C. difficile</w:t>
      </w:r>
      <w:r>
        <w:t xml:space="preserve"> </w:t>
      </w:r>
      <w:r>
        <w:t xml:space="preserve">from the human gut. Different classes of antibiotics may each result in a distinct gut environment which</w:t>
      </w:r>
      <w:r>
        <w:t xml:space="preserve"> </w:t>
      </w:r>
      <w:r>
        <w:rPr>
          <w:i/>
        </w:rPr>
        <w:t xml:space="preserve">C. difficile</w:t>
      </w:r>
      <w:r>
        <w:t xml:space="preserve"> </w:t>
      </w:r>
      <w:r>
        <w:t xml:space="preserve">can exploit. Therefore, the best approach may be to consider each of these as a separate problem which different collections of bacteria can restore to a resistant state.</w:t>
      </w:r>
    </w:p>
    <w:p>
      <w:pPr>
        <w:pStyle w:val="Heading3"/>
      </w:pPr>
      <w:bookmarkStart w:id="25" w:name="methods"/>
      <w:bookmarkEnd w:id="25"/>
      <w:r>
        <w:t xml:space="preserve">Methods</w:t>
      </w:r>
    </w:p>
    <w:p>
      <w:pPr>
        <w:pStyle w:val="FirstParagraph"/>
      </w:pPr>
      <w:r>
        <w:rPr>
          <w:b/>
        </w:rPr>
        <w:t xml:space="preserve">Animal care and antibiotic administration.</w:t>
      </w:r>
      <w:r>
        <w:t xml:space="preserve"> </w:t>
      </w:r>
      <w:r>
        <w:t xml:space="preserve">Adapted from the previously described model</w:t>
      </w:r>
      <w:r>
        <w:rPr>
          <w:vertAlign w:val="superscript"/>
        </w:rPr>
        <w:t xml:space="preserve">55</w:t>
      </w:r>
      <w:r>
        <w:t xml:space="preserve">, 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rPr>
          <w:vertAlign w:val="superscript"/>
        </w:rPr>
        <w:t xml:space="preserve">56</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rPr>
          <w:vertAlign w:val="superscript"/>
        </w:rPr>
        <w:t xml:space="preserve">57</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rPr>
          <w:vertAlign w:val="superscript"/>
        </w:rPr>
        <w:t xml:space="preserve">58</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reciprocal of the highest dilution that produced rounding in 80% of the cells. A more detailed protocol with product information can be found at:</w:t>
      </w:r>
      <w:r>
        <w:t xml:space="preserve"> </w:t>
      </w:r>
      <w:hyperlink r:id="rId26">
        <w:r>
          <w:rPr>
            <w:rStyle w:val="Hyperlink"/>
          </w:rPr>
          <w:t xml:space="preserve">https://github.com/jlleslie/Intraspecific_Competition/blob/master/methods/Verocell_ToxinActivity_Assay.Rmd</w:t>
        </w:r>
      </w:hyperlink>
    </w:p>
    <w:p>
      <w:pPr>
        <w:pStyle w:val="BodyText"/>
      </w:pPr>
      <w:r>
        <w:rPr>
          <w:b/>
        </w:rPr>
        <w:t xml:space="preserve">RNA extraction,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rPr>
          <w:vertAlign w:val="superscript"/>
        </w:rPr>
        <w:t xml:space="preserve">59</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rPr>
          <w:vertAlign w:val="superscript"/>
        </w:rP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rPr>
          <w:vertAlign w:val="superscript"/>
        </w:rPr>
        <w:t xml:space="preserve">60</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rPr>
          <w:vertAlign w:val="superscript"/>
        </w:rPr>
        <w:t xml:space="preserve">61</w:t>
      </w:r>
      <w:r>
        <w:t xml:space="preserve">. Optical and PCR duplicates were then removed using Picard MarkDuplicates (</w:t>
      </w:r>
      <w:hyperlink r:id="rId27">
        <w:r>
          <w:rPr>
            <w:rStyle w:val="Hyperlink"/>
          </w:rPr>
          <w:t xml:space="preserve">http://broadinstitute.github.io/picard/</w:t>
        </w:r>
      </w:hyperlink>
      <w:r>
        <w:t xml:space="preserve">), leaving ~150,000 reads per sample for final analysis. The remaining mappings were converted to idxstats format using Samtools</w:t>
      </w:r>
      <w:r>
        <w:rPr>
          <w:vertAlign w:val="superscript"/>
        </w:rPr>
        <w:t xml:space="preserve">62</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the smallest sequencing effort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do not have annotations for the chemical compounds the interact with are discarded. Metabolites were then associated each enzyme in which they interact with, directionality, and reversibility of each biochemical conversion is also saved.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w:t>
      </w:r>
      <w:r>
        <w:t xml:space="preserve"> </w:t>
      </w:r>
      <w:r>
        <w:rPr>
          <w:i/>
        </w:rPr>
        <w:t xml:space="preserve">C. difficile</w:t>
      </w:r>
      <w:r>
        <w:t xml:space="preserve"> </w:t>
      </w:r>
      <w:r>
        <w:t xml:space="preserve">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w:t>
      </w:r>
      <w:r>
        <w:t xml:space="preserve"> </w:t>
      </w:r>
      <w:hyperlink r:id="rId28">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(m), we used rarefied transcript abundances mapped to respective enzyme nodes. This is represented by to and ti to designate if an enzyme creates or utilizes m.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is calculated by subtracting the creation value from the consumption value to weight for metabolites that are likely acquired exogenously. The difference is Log</w:t>
      </w:r>
      <w:r>
        <w:rPr>
          <w:vertAlign w:val="subscript"/>
        </w:rPr>
        <w:t xml:space="preserve">2</w:t>
      </w:r>
      <w:r>
        <w:t xml:space="preserve"> </w:t>
      </w:r>
      <w:r>
        <w:t xml:space="preserve">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29">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is a superior approach to switch randomization since the connections of the network itself was created through natural selection and any large-scale alterations would yield biologically uninformative comparisons</w:t>
      </w:r>
      <w:r>
        <w:rPr>
          <w:vertAlign w:val="superscript"/>
        </w:rPr>
        <w:t xml:space="preserve">63</w:t>
      </w:r>
      <w:r>
        <w:t xml:space="preserve">. These calculations are also included within the standard bigSMALL workflow presented above.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 was flash frozen in liquid nitrogen at the time of necropsy and sent for short chain fatty acid analysis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rPr>
          <w:vertAlign w:val="superscript"/>
        </w:rPr>
        <w:t xml:space="preserve">7</w:t>
      </w:r>
      <w:r>
        <w:t xml:space="preserve">.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Statistical Methods.</w:t>
      </w:r>
      <w:r>
        <w:t xml:space="preserve"> </w:t>
      </w:r>
      <w:r>
        <w:t xml:space="preserve">All statistical analyses were performed using R (v.3.2.0). Significant differences of CFU, toxin titer, and acetate concentration were determined by Wilcoxon test with Holm-Bonferroni correction. Significant differences for growth curves compared to No Carbohydrate control were calculated using 2-way ANOVA with Holm-Bonferroni correction. Significance for metabolite importance scores was determined as described above.</w:t>
      </w:r>
    </w:p>
    <w:p>
      <w:pPr>
        <w:pStyle w:val="Heading3"/>
      </w:pPr>
      <w:bookmarkStart w:id="30" w:name="acknowledgements"/>
      <w:bookmarkEnd w:id="30"/>
      <w:r>
        <w:t xml:space="preserve">Acknowledgements</w:t>
      </w:r>
    </w:p>
    <w:p>
      <w:pPr>
        <w:pStyle w:val="FirstParagraph"/>
      </w:pPr>
      <w:r>
        <w:t xml:space="preserve">The authors would like to acknowledge members of the University of Michigan germfree Mouse Center, Sequencing Core, and Metabolomics Core for their assistance in experimental design, execution, and data collection. This work was supported by funding from the National Institutes of Health to P. Schloss (R01GM099514, P30DK034933), the Enterics Research Investigators Network (ERIN; U19AI09087), and a Translational Research Education Certificate grant to Jhansi Leslie (MICHR; UL1TR000433). Pooled and quality trimmed transcriptomic read data and experiment metadata are available through the NCBI Sequence Read Archive (SRA; PRJNA354635). Data processing steps for beginning from sequence data to the final manuscript are hosted at</w:t>
      </w:r>
      <w:r>
        <w:t xml:space="preserve"> </w:t>
      </w:r>
      <w:hyperlink r:id="rId31">
        <w:r>
          <w:rPr>
            <w:rStyle w:val="Hyperlink"/>
          </w:rPr>
          <w:t xml:space="preserve">http://www.github.com/SchlossLab/Jenior_Modeling_NatMicro_2016</w:t>
        </w:r>
      </w:hyperlink>
      <w:r>
        <w:t xml:space="preserve">.</w:t>
      </w:r>
    </w:p>
    <w:p>
      <w:pPr>
        <w:pStyle w:val="Heading3"/>
      </w:pPr>
      <w:bookmarkStart w:id="32" w:name="author-information"/>
      <w:bookmarkEnd w:id="32"/>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3">
        <w:r>
          <w:rPr>
            <w:rStyle w:val="Hyperlink"/>
          </w:rPr>
          <w:t xml:space="preserve">Patrick D. Schloss</w:t>
        </w:r>
      </w:hyperlink>
    </w:p>
    <w:p>
      <w:pPr>
        <w:pStyle w:val="Heading3"/>
      </w:pPr>
      <w:bookmarkStart w:id="34" w:name="figures"/>
      <w:bookmarkEnd w:id="34"/>
      <w:r>
        <w:t xml:space="preserve">Figures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Nine wild-type C57BL/6 mice were included in each pretreatment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 Day -1 prior to infection, or</w:t>
      </w:r>
      <w:r>
        <w:t xml:space="preserve"> </w:t>
      </w:r>
      <w:r>
        <w:rPr>
          <w:i/>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i/>
          <w:b/>
        </w:rPr>
        <w:t xml:space="preserve">(a)</w:t>
      </w:r>
      <w:r>
        <w:t xml:space="preserve"> </w:t>
      </w:r>
      <w:r>
        <w:t xml:space="preserve">Vegetative</w:t>
      </w:r>
      <w:r>
        <w:t xml:space="preserve"> </w:t>
      </w:r>
      <w:r>
        <w:rPr>
          <w:i/>
        </w:rPr>
        <w:t xml:space="preserve">C. difficile</w:t>
      </w:r>
      <w:r>
        <w:t xml:space="preserve"> </w:t>
      </w:r>
      <w:r>
        <w:t xml:space="preserve">c.f.u. per gram of cecal content (n=9 mice per group).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i/>
        </w:rPr>
        <w:t xml:space="preserve">P</w:t>
      </w:r>
      <w:r>
        <w:t xml:space="preserve"> </w:t>
      </w:r>
      <w:r>
        <w:t xml:space="preserve">&lt; 0.05). Untreated mice in a,b,c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 rarefied transcript data for each gene from pooled transcriptomic sequencing of</w:t>
      </w:r>
      <w:r>
        <w:t xml:space="preserve"> </w:t>
      </w:r>
      <w:r>
        <w:rPr>
          <w:i/>
        </w:rPr>
        <w:t xml:space="preserve">C. difficile</w:t>
      </w:r>
      <w:r>
        <w:t xml:space="preserve"> </w:t>
      </w:r>
      <w:r>
        <w:t xml:space="preserve">in each condition.</w:t>
      </w:r>
      <w:r>
        <w:t xml:space="preserve"> </w:t>
      </w:r>
      <w:r>
        <w:rPr>
          <w:b/>
        </w:rPr>
        <w:t xml:space="preserve">(a)</w:t>
      </w:r>
      <w:r>
        <w:t xml:space="preserve"> </w:t>
      </w:r>
      <w:r>
        <w:t xml:space="preserve">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Genes for effector proteins included in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Genes that have been associated with quorum sensing in</w:t>
      </w:r>
      <w:r>
        <w:t xml:space="preserve"> </w:t>
      </w:r>
      <w:r>
        <w:rPr>
          <w:i/>
        </w:rPr>
        <w:t xml:space="preserve">C. difficile</w:t>
      </w:r>
      <w:r>
        <w:t xml:space="preserve">.</w:t>
      </w:r>
      <w:r>
        <w:t xml:space="preserve"> </w:t>
      </w:r>
      <w:r>
        <w:rPr>
          <w:b/>
        </w:rPr>
        <w:t xml:space="preserve">(d)</w:t>
      </w:r>
      <w:r>
        <w:t xml:space="preserve"> </w:t>
      </w:r>
      <w:r>
        <w:t xml:space="preserve">Select sigma factors which expression/activity is under the control of environment nutrient concentrations. Relative abundances were calculated from the total expression within each treatment group for all genes shown in a - d. Asterisks (*) indicate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alternative carbon metabolism across antibiotic pretreatments.</w:t>
      </w:r>
      <w:r>
        <w:t xml:space="preserve"> </w:t>
      </w:r>
      <w:r>
        <w:t xml:space="preserve">Ternary plot of all genes with with any transcripts mapping to them are included. Mapped transcript counts again were iteratively rarefied and the median expression of each gene was used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w:t>
      </w:r>
      <w:r>
        <w:t xml:space="preserve"> </w:t>
      </w:r>
      <w:r>
        <w:rPr>
          <w:b/>
        </w:rPr>
        <w:t xml:space="preserve">(a)</w:t>
      </w:r>
      <w:r>
        <w:t xml:space="preserve"> </w:t>
      </w:r>
      <w:r>
        <w:t xml:space="preserve">Point sizes were determined based on the expression from the condition with the highest value for each gene. Highest overall expression across all experimental groups was seen in genes associated with Stickland (amino acid) fermentation.</w:t>
      </w:r>
      <w:r>
        <w:t xml:space="preserve"> </w:t>
      </w:r>
      <w:r>
        <w:rPr>
          <w:b/>
        </w:rPr>
        <w:t xml:space="preserve">(b – i)</w:t>
      </w:r>
      <w:r>
        <w:t xml:space="preserve"> </w:t>
      </w:r>
      <w:r>
        <w:t xml:space="preserve">Groups from a are also plotted separately in without size differences for clarity. Genes included in each group and transcript abundances can be found in Table S1. Refer to Fig. S2 for additional explanantion for readability of Fig. 4.</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and the abundances shown were taken from the transcriptome of</w:t>
      </w:r>
      <w:r>
        <w:t xml:space="preserve"> </w:t>
      </w:r>
      <w:r>
        <w:rPr>
          <w:i/>
        </w:rPr>
        <w:t xml:space="preserve">C. difficile</w:t>
      </w:r>
      <w:r>
        <w:t xml:space="preserve"> </w:t>
      </w:r>
      <w:r>
        <w:t xml:space="preserve">str. 630 during infection of cefoperazone-treated mice. Below the representative network is the metabolite importance algorithm separated into 3 parts;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display the number of normalized transcript reads mapping to the gene sequence for each enzyme node. Average expression of input and output reactions surrounding metabolite m are calculated at then the difference of these values found to get the relative importance of m. Log</w:t>
      </w:r>
      <w:r>
        <w:rPr>
          <w:vertAlign w:val="subscript"/>
        </w:rPr>
        <w:t xml:space="preserve">2</w:t>
      </w:r>
      <w:r>
        <w:t xml:space="preserve"> </w:t>
      </w:r>
      <w:r>
        <w:t xml:space="preserve">transformation is then performed for comparability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to 27,664 normalized reads to include ex-germfree mice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values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In gray is a control curve in which amino acids are the only possible source of carbon for</w:t>
      </w:r>
      <w:r>
        <w:t xml:space="preserve"> </w:t>
      </w:r>
      <w:r>
        <w:rPr>
          <w:i/>
        </w:rPr>
        <w:t xml:space="preserve">C. difficile</w:t>
      </w:r>
      <w:r>
        <w:t xml:space="preserve">.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&lt;&lt; 0.001) than No Carbohydrates (+ Amino acids) control. Only those carbon sources that significantly improved</w:t>
      </w:r>
      <w:r>
        <w:t xml:space="preserve"> </w:t>
      </w:r>
      <w:r>
        <w:rPr>
          <w:i/>
        </w:rPr>
        <w:t xml:space="preserve">C. difficile</w:t>
      </w:r>
      <w:r>
        <w:t xml:space="preserve"> </w:t>
      </w:r>
      <w:r>
        <w:t xml:space="preserve">growth over controls are displayed (remainder are located in Table S4). Significant differences were calculated using 2-Way ANOVA with Holm-Bonferroni correction.</w:t>
      </w:r>
    </w:p>
    <w:p>
      <w:pPr>
        <w:pStyle w:val="BodyText"/>
      </w:pPr>
      <w:r>
        <w:rPr>
          <w:b/>
        </w:rPr>
        <w:t xml:space="preserve">Supplementary Figure 1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2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3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4 | Additional growth curves for additional carbon sources and controls.</w:t>
      </w:r>
      <w:r>
        <w:t xml:space="preserve"> </w:t>
      </w:r>
      <w:r>
        <w:t xml:space="preserve">Significant metabolites from network analysis that did not provide improved growth over No Carbohydrate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5" w:name="references"/>
      <w:bookmarkEnd w:id="35"/>
      <w:r>
        <w:t xml:space="preserve">References</w:t>
      </w:r>
    </w:p>
    <w:p>
      <w:pPr>
        <w:pStyle w:val="Bibliography"/>
      </w:pPr>
      <w:r>
        <w:t xml:space="preserve">1. Lessa, F. C., Gould, C. V. &amp; McDonald, L. C. Current status of Clostridium difficile infection epidemiology.</w:t>
      </w:r>
      <w:r>
        <w:t xml:space="preserve"> </w:t>
      </w:r>
      <w:r>
        <w:rPr>
          <w:i/>
        </w:rPr>
        <w:t xml:space="preserve">Clinical infectious diseases : an official publication of the Infectious Diseases Society of America</w:t>
      </w:r>
      <w:r>
        <w:t xml:space="preserve"> </w:t>
      </w:r>
      <w:r>
        <w:rPr>
          <w:b/>
        </w:rPr>
        <w:t xml:space="preserve">55 Suppl 2,</w:t>
      </w:r>
      <w:r>
        <w:t xml:space="preserve"> </w:t>
      </w:r>
      <w:r>
        <w:t xml:space="preserve">S65–70 (2012).</w:t>
      </w:r>
    </w:p>
    <w:p>
      <w:pPr>
        <w:pStyle w:val="Bibliography"/>
      </w:pPr>
      <w:r>
        <w:t xml:space="preserve">2. Lessa, F. C.</w:t>
      </w:r>
      <w:r>
        <w:t xml:space="preserve"> </w:t>
      </w:r>
      <w:r>
        <w:rPr>
          <w:i/>
        </w:rPr>
        <w:t xml:space="preserve">et al.</w:t>
      </w:r>
      <w:r>
        <w:t xml:space="preserve"> </w:t>
      </w:r>
      <w:r>
        <w:t xml:space="preserve">Burden of Clostridium difficile Infection in the United States.</w:t>
      </w:r>
      <w:r>
        <w:t xml:space="preserve"> </w:t>
      </w:r>
      <w:r>
        <w:rPr>
          <w:i/>
        </w:rPr>
        <w:t xml:space="preserve">The New England journal of medicine</w:t>
      </w:r>
      <w:r>
        <w:t xml:space="preserve"> </w:t>
      </w:r>
      <w:r>
        <w:rPr>
          <w:b/>
        </w:rPr>
        <w:t xml:space="preserve">372,</w:t>
      </w:r>
      <w:r>
        <w:t xml:space="preserve"> </w:t>
      </w:r>
      <w:r>
        <w:t xml:space="preserve">825–834 (2015).</w:t>
      </w:r>
    </w:p>
    <w:p>
      <w:pPr>
        <w:pStyle w:val="Bibliography"/>
      </w:pPr>
      <w:r>
        <w:t xml:space="preserve">3. Leffler, D. A. &amp; Lamont, J. T. Clostridium difficile Infection.</w:t>
      </w:r>
      <w:r>
        <w:t xml:space="preserve"> </w:t>
      </w:r>
      <w:r>
        <w:rPr>
          <w:i/>
        </w:rPr>
        <w:t xml:space="preserve">New England Journal of Medicine</w:t>
      </w:r>
      <w:r>
        <w:t xml:space="preserve"> </w:t>
      </w:r>
      <w:r>
        <w:rPr>
          <w:b/>
        </w:rPr>
        <w:t xml:space="preserve">372,</w:t>
      </w:r>
      <w:r>
        <w:t xml:space="preserve"> </w:t>
      </w:r>
      <w:r>
        <w:t xml:space="preserve">1539–1548 (2015).</w:t>
      </w:r>
    </w:p>
    <w:p>
      <w:pPr>
        <w:pStyle w:val="Bibliography"/>
      </w:pPr>
      <w:r>
        <w:t xml:space="preserve">4. Young, V. B. &amp; Schmidt, T. M. Antibiotic-Associated Diarrhea Accompanied by Large-Scale Alterations in the Composition of the Fecal Microbiota.</w:t>
      </w:r>
      <w:r>
        <w:t xml:space="preserve"> </w:t>
      </w:r>
      <w:r>
        <w:rPr>
          <w:i/>
        </w:rPr>
        <w:t xml:space="preserve">Journal of Clinical Microbiology</w:t>
      </w:r>
      <w:r>
        <w:t xml:space="preserve"> </w:t>
      </w:r>
      <w:r>
        <w:rPr>
          <w:b/>
        </w:rPr>
        <w:t xml:space="preserve">42,</w:t>
      </w:r>
      <w:r>
        <w:t xml:space="preserve"> </w:t>
      </w:r>
      <w:r>
        <w:t xml:space="preserve">1203–1206 (2004).</w:t>
      </w:r>
    </w:p>
    <w:p>
      <w:pPr>
        <w:pStyle w:val="Bibliography"/>
      </w:pPr>
      <w:r>
        <w:t xml:space="preserve">5. Lawley, T. D. &amp; Walker, A. W. Intestinal colonization resistance.</w:t>
      </w:r>
      <w:r>
        <w:t xml:space="preserve"> </w:t>
      </w:r>
      <w:r>
        <w:rPr>
          <w:i/>
        </w:rPr>
        <w:t xml:space="preserve">Immunology</w:t>
      </w:r>
      <w:r>
        <w:t xml:space="preserve"> </w:t>
      </w:r>
      <w:r>
        <w:rPr>
          <w:b/>
        </w:rPr>
        <w:t xml:space="preserve">138,</w:t>
      </w:r>
      <w:r>
        <w:t xml:space="preserve"> </w:t>
      </w:r>
      <w:r>
        <w:t xml:space="preserve">1–11 (2013).</w:t>
      </w:r>
    </w:p>
    <w:p>
      <w:pPr>
        <w:pStyle w:val="Bibliography"/>
      </w:pPr>
      <w:r>
        <w:t xml:space="preserve">6. Chen, X.</w:t>
      </w:r>
      <w:r>
        <w:t xml:space="preserve"> </w:t>
      </w:r>
      <w:r>
        <w:rPr>
          <w:i/>
        </w:rPr>
        <w:t xml:space="preserve">et al.</w:t>
      </w:r>
      <w:r>
        <w:t xml:space="preserve"> </w:t>
      </w:r>
      <w:r>
        <w:t xml:space="preserve">A Mouse Model of Clostridium difficile-Associated Disease.</w:t>
      </w:r>
      <w:r>
        <w:t xml:space="preserve"> </w:t>
      </w:r>
      <w:r>
        <w:rPr>
          <w:i/>
        </w:rPr>
        <w:t xml:space="preserve">Gastroenterology</w:t>
      </w:r>
      <w:r>
        <w:t xml:space="preserve"> </w:t>
      </w:r>
      <w:r>
        <w:rPr>
          <w:b/>
        </w:rPr>
        <w:t xml:space="preserve">135,</w:t>
      </w:r>
      <w:r>
        <w:t xml:space="preserve"> </w:t>
      </w:r>
      <w:r>
        <w:t xml:space="preserve">1984–1992 (2008).</w:t>
      </w:r>
    </w:p>
    <w:p>
      <w:pPr>
        <w:pStyle w:val="Bibliography"/>
      </w:pPr>
      <w:r>
        <w:t xml:space="preserve">7. Theriot, C. M.</w:t>
      </w:r>
      <w:r>
        <w:t xml:space="preserve"> </w:t>
      </w:r>
      <w:r>
        <w:rPr>
          <w:i/>
        </w:rPr>
        <w:t xml:space="preserve">et al.</w:t>
      </w:r>
      <w:r>
        <w:t xml:space="preserve"> </w:t>
      </w:r>
      <w:r>
        <w:t xml:space="preserve">Antibiotic-induced shifts in the mouse gut microbiome and metabolome increase susceptibility to Clostridium difficile infection. (2014). doi:</w:t>
      </w:r>
      <w:hyperlink r:id="rId36">
        <w:r>
          <w:rPr>
            <w:rStyle w:val="Hyperlink"/>
          </w:rPr>
          <w:t xml:space="preserve">10.1038/ncomms4114.Antibiotic-induced</w:t>
        </w:r>
      </w:hyperlink>
    </w:p>
    <w:p>
      <w:pPr>
        <w:pStyle w:val="Bibliography"/>
      </w:pPr>
      <w:r>
        <w:t xml:space="preserve">8.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9. Koenigsknecht, M. J.</w:t>
      </w:r>
      <w:r>
        <w:t xml:space="preserve"> </w:t>
      </w:r>
      <w:r>
        <w:rPr>
          <w:i/>
        </w:rPr>
        <w:t xml:space="preserve">et al.</w:t>
      </w:r>
      <w:r>
        <w:t xml:space="preserve"> </w:t>
      </w:r>
      <w:r>
        <w:t xml:space="preserve">Dynamics and establishment of Clostridium difficile 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10.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11. Ferreyra, J. A.</w:t>
      </w:r>
      <w:r>
        <w:t xml:space="preserve"> </w:t>
      </w:r>
      <w:r>
        <w:rPr>
          <w:i/>
        </w:rPr>
        <w:t xml:space="preserve">et al.</w:t>
      </w:r>
      <w:r>
        <w:t xml:space="preserve"> </w:t>
      </w:r>
      <w:r>
        <w:t xml:space="preserve">Gut microbiota-produced succinate promotes C. Difficile infection after antibiotic treatment or motility disturbance.</w:t>
      </w:r>
      <w:r>
        <w:t xml:space="preserve"> </w:t>
      </w:r>
      <w:r>
        <w:rPr>
          <w:i/>
        </w:rPr>
        <w:t xml:space="preserve">Cell Host and Microbe</w:t>
      </w:r>
      <w:r>
        <w:t xml:space="preserve"> </w:t>
      </w:r>
      <w:r>
        <w:rPr>
          <w:b/>
        </w:rPr>
        <w:t xml:space="preserve">16,</w:t>
      </w:r>
      <w:r>
        <w:t xml:space="preserve"> </w:t>
      </w:r>
      <w:r>
        <w:t xml:space="preserve">770–777 (2014).</w:t>
      </w:r>
    </w:p>
    <w:p>
      <w:pPr>
        <w:pStyle w:val="Bibliography"/>
      </w:pPr>
      <w:r>
        <w:t xml:space="preserve">12.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13. Freter, R., Brickner, H., Botney, M., Cleven, D. &amp; Aranki, A. Mechanisms that control bacterial populations in continuous-flow culture models of mouse large intestinal flora.</w:t>
      </w:r>
      <w:r>
        <w:t xml:space="preserve"> </w:t>
      </w:r>
      <w:r>
        <w:rPr>
          <w:i/>
        </w:rPr>
        <w:t xml:space="preserve">Infection and Immunity</w:t>
      </w:r>
      <w:r>
        <w:t xml:space="preserve"> </w:t>
      </w:r>
      <w:r>
        <w:rPr>
          <w:b/>
        </w:rPr>
        <w:t xml:space="preserve">39,</w:t>
      </w:r>
      <w:r>
        <w:t xml:space="preserve"> </w:t>
      </w:r>
      <w:r>
        <w:t xml:space="preserve">676–685 (1983).</w:t>
      </w:r>
    </w:p>
    <w:p>
      <w:pPr>
        <w:pStyle w:val="Bibliography"/>
      </w:pPr>
      <w:r>
        <w:t xml:space="preserve">14. Wilson, K. H. &amp; Perini, F. Role of competition for nutrients in suppression of Clostridium difficile 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15. Sebaihia, M.</w:t>
      </w:r>
      <w:r>
        <w:t xml:space="preserve"> </w:t>
      </w:r>
      <w:r>
        <w:rPr>
          <w:i/>
        </w:rPr>
        <w:t xml:space="preserve">et al.</w:t>
      </w:r>
      <w:r>
        <w:t xml:space="preserve"> </w:t>
      </w:r>
      <w:r>
        <w:t xml:space="preserve">The multidrug-resistant human pathogen Clostridium difficile has a highly mobile, mosaic genome.</w:t>
      </w:r>
      <w:r>
        <w:t xml:space="preserve"> </w:t>
      </w:r>
      <w:r>
        <w:rPr>
          <w:i/>
        </w:rPr>
        <w:t xml:space="preserve">Nature genetics</w:t>
      </w:r>
      <w:r>
        <w:t xml:space="preserve"> </w:t>
      </w:r>
      <w:r>
        <w:rPr>
          <w:b/>
        </w:rPr>
        <w:t xml:space="preserve">38,</w:t>
      </w:r>
      <w:r>
        <w:t xml:space="preserve"> </w:t>
      </w:r>
      <w:r>
        <w:t xml:space="preserve">779–786 (2006).</w:t>
      </w:r>
    </w:p>
    <w:p>
      <w:pPr>
        <w:pStyle w:val="Bibliography"/>
      </w:pPr>
      <w:r>
        <w:t xml:space="preserve">16. Tracy, B. P., Jones, S. W., Fast, A. G., Indurthi, D. C. &amp; Papoutsakis, E. T. Clostridia: The importance of their exceptional substrate and metabolite diversity for biofuel and biorefinery applications.</w:t>
      </w:r>
      <w:r>
        <w:t xml:space="preserve"> </w:t>
      </w:r>
      <w:r>
        <w:rPr>
          <w:b/>
        </w:rPr>
        <w:t xml:space="preserve">23,</w:t>
      </w:r>
      <w:r>
        <w:t xml:space="preserve"> </w:t>
      </w:r>
      <w:r>
        <w:t xml:space="preserve">364–381 (2012).</w:t>
      </w:r>
    </w:p>
    <w:p>
      <w:pPr>
        <w:pStyle w:val="Bibliography"/>
      </w:pPr>
      <w:r>
        <w:t xml:space="preserve">17. Songer, J. G. &amp; Anderson, M. A. Clostridium difficile: An important pathogen of food animals.</w:t>
      </w:r>
      <w:r>
        <w:t xml:space="preserve"> </w:t>
      </w:r>
      <w:r>
        <w:rPr>
          <w:b/>
        </w:rPr>
        <w:t xml:space="preserve">12,</w:t>
      </w:r>
      <w:r>
        <w:t xml:space="preserve"> </w:t>
      </w:r>
      <w:r>
        <w:t xml:space="preserve">1–4 (2006).</w:t>
      </w:r>
    </w:p>
    <w:p>
      <w:pPr>
        <w:pStyle w:val="Bibliography"/>
      </w:pPr>
      <w:r>
        <w:t xml:space="preserve">18. Neumann-Schaal, M., Hofmann, J. D., Will, S. E. &amp; Schomburg, D. Time-resolved amino acid uptake of Clostridium difficile 630</w:t>
      </w:r>
      <m:oMath>
        <m:r>
          <m:t>Δ</m:t>
        </m:r>
      </m:oMath>
      <w:r>
        <w:t xml:space="preserve">erm and concomitant fermentation product and toxin formation.</w:t>
      </w:r>
      <w:r>
        <w:t xml:space="preserve"> </w:t>
      </w:r>
      <w:r>
        <w:rPr>
          <w:i/>
        </w:rPr>
        <w:t xml:space="preserve">BMC Microbiology</w:t>
      </w:r>
      <w:r>
        <w:t xml:space="preserve"> </w:t>
      </w:r>
      <w:r>
        <w:t xml:space="preserve">281 (2015). doi:</w:t>
      </w:r>
      <w:hyperlink r:id="rId37">
        <w:r>
          <w:rPr>
            <w:rStyle w:val="Hyperlink"/>
          </w:rPr>
          <w:t xml:space="preserve">10.1186/s12866-015-0614-2</w:t>
        </w:r>
      </w:hyperlink>
    </w:p>
    <w:p>
      <w:pPr>
        <w:pStyle w:val="Bibliography"/>
      </w:pPr>
      <w:r>
        <w:t xml:space="preserve">19. Nawrocki, K. L., Edwards, A. N., Daou, N., Bouillaut, L. &amp; McBride, S. M. CodY-dependent regulation of sporulation in Clostridium difficile.</w:t>
      </w:r>
      <w:r>
        <w:t xml:space="preserve"> </w:t>
      </w:r>
      <w:r>
        <w:rPr>
          <w:i/>
        </w:rPr>
        <w:t xml:space="preserve">Journal of Bacteriology</w:t>
      </w:r>
      <w:r>
        <w:t xml:space="preserve"> </w:t>
      </w:r>
      <w:r>
        <w:rPr>
          <w:b/>
        </w:rPr>
        <w:t xml:space="preserve">198,</w:t>
      </w:r>
      <w:r>
        <w:t xml:space="preserve"> </w:t>
      </w:r>
      <w:r>
        <w:t xml:space="preserve">2113–2130 (2016).</w:t>
      </w:r>
    </w:p>
    <w:p>
      <w:pPr>
        <w:pStyle w:val="Bibliography"/>
      </w:pPr>
      <w:r>
        <w:t xml:space="preserve">20. Antunes, A.</w:t>
      </w:r>
      <w:r>
        <w:t xml:space="preserve"> </w:t>
      </w:r>
      <w:r>
        <w:rPr>
          <w:i/>
        </w:rPr>
        <w:t xml:space="preserve">et al.</w:t>
      </w:r>
      <w:r>
        <w:t xml:space="preserve"> </w:t>
      </w:r>
      <w:r>
        <w:t xml:space="preserve">Global transcriptional control by glucose and carbon regulator CcpA in Clostridium difficile.</w:t>
      </w:r>
      <w:r>
        <w:t xml:space="preserve"> </w:t>
      </w:r>
      <w:r>
        <w:rPr>
          <w:b/>
        </w:rPr>
        <w:t xml:space="preserve">40,</w:t>
      </w:r>
      <w:r>
        <w:t xml:space="preserve"> </w:t>
      </w:r>
      <w:r>
        <w:t xml:space="preserve">10701–10718 (2012).</w:t>
      </w:r>
    </w:p>
    <w:p>
      <w:pPr>
        <w:pStyle w:val="Bibliography"/>
      </w:pPr>
      <w:r>
        <w:t xml:space="preserve">21. Bouillaut, L., Dubois, T., Sonenshein, A. L. &amp; Dupuy, B. Integration of metabolism and virulence in Clostridium difficile.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22. Matamouros, S., England, P. &amp; Dupuy, B. Clostridium difficile toxin expression is inhibited by the novel regulator TcdC.</w:t>
      </w:r>
      <w:r>
        <w:t xml:space="preserve"> </w:t>
      </w:r>
      <w:r>
        <w:rPr>
          <w:i/>
        </w:rPr>
        <w:t xml:space="preserve">Molecular Microbiology</w:t>
      </w:r>
      <w:r>
        <w:t xml:space="preserve"> </w:t>
      </w:r>
      <w:r>
        <w:rPr>
          <w:b/>
        </w:rPr>
        <w:t xml:space="preserve">64,</w:t>
      </w:r>
      <w:r>
        <w:t xml:space="preserve"> </w:t>
      </w:r>
      <w:r>
        <w:t xml:space="preserve">1274–1288 (2007).</w:t>
      </w:r>
    </w:p>
    <w:p>
      <w:pPr>
        <w:pStyle w:val="Bibliography"/>
      </w:pPr>
      <w:r>
        <w:t xml:space="preserve">23. Antunes, A., Martin-Verstraete, I. &amp; Dupuy, B. CcpA-mediated repression of Clostridium difficile toxin gene expression.</w:t>
      </w:r>
      <w:r>
        <w:t xml:space="preserve"> </w:t>
      </w:r>
      <w:r>
        <w:rPr>
          <w:i/>
        </w:rPr>
        <w:t xml:space="preserve">Molecular Microbiology</w:t>
      </w:r>
      <w:r>
        <w:t xml:space="preserve"> </w:t>
      </w:r>
      <w:r>
        <w:rPr>
          <w:b/>
        </w:rPr>
        <w:t xml:space="preserve">79,</w:t>
      </w:r>
      <w:r>
        <w:t xml:space="preserve"> </w:t>
      </w:r>
      <w:r>
        <w:t xml:space="preserve">882–899 (2011).</w:t>
      </w:r>
    </w:p>
    <w:p>
      <w:pPr>
        <w:pStyle w:val="Bibliography"/>
      </w:pPr>
      <w:r>
        <w:t xml:space="preserve">24. Janoir, C.</w:t>
      </w:r>
      <w:r>
        <w:t xml:space="preserve"> </w:t>
      </w:r>
      <w:r>
        <w:rPr>
          <w:i/>
        </w:rPr>
        <w:t xml:space="preserve">et al.</w:t>
      </w:r>
      <w:r>
        <w:t xml:space="preserve"> </w:t>
      </w:r>
      <w:r>
        <w:t xml:space="preserve">Adaptive strategies and pathogenesis of clostridium difficile from In vivo transcriptomics.</w:t>
      </w:r>
      <w:r>
        <w:t xml:space="preserve"> </w:t>
      </w:r>
      <w:r>
        <w:rPr>
          <w:i/>
        </w:rPr>
        <w:t xml:space="preserve">Infection and Immunity</w:t>
      </w:r>
      <w:r>
        <w:t xml:space="preserve"> </w:t>
      </w:r>
      <w:r>
        <w:rPr>
          <w:b/>
        </w:rPr>
        <w:t xml:space="preserve">81,</w:t>
      </w:r>
      <w:r>
        <w:t xml:space="preserve"> </w:t>
      </w:r>
      <w:r>
        <w:t xml:space="preserve">3757–3769 (2013).</w:t>
      </w:r>
    </w:p>
    <w:p>
      <w:pPr>
        <w:pStyle w:val="Bibliography"/>
      </w:pPr>
      <w:r>
        <w:t xml:space="preserve">25. Kansau, I.</w:t>
      </w:r>
      <w:r>
        <w:t xml:space="preserve"> </w:t>
      </w:r>
      <w:r>
        <w:rPr>
          <w:i/>
        </w:rPr>
        <w:t xml:space="preserve">et al.</w:t>
      </w:r>
      <w:r>
        <w:t xml:space="preserve"> </w:t>
      </w:r>
      <w:r>
        <w:t xml:space="preserve">Deciphering adaptation strategies of the epidemic clostridium difficile 027 strain during infection through in vivo transcriptional analysis.</w:t>
      </w:r>
      <w:r>
        <w:t xml:space="preserve"> </w:t>
      </w:r>
      <w:r>
        <w:rPr>
          <w:i/>
        </w:rPr>
        <w:t xml:space="preserve">PLoS ONE</w:t>
      </w:r>
      <w:r>
        <w:t xml:space="preserve"> </w:t>
      </w:r>
      <w:r>
        <w:rPr>
          <w:b/>
        </w:rPr>
        <w:t xml:space="preserve">11,</w:t>
      </w:r>
      <w:r>
        <w:t xml:space="preserve"> </w:t>
      </w:r>
      <w:r>
        <w:t xml:space="preserve">(2016).</w:t>
      </w:r>
    </w:p>
    <w:p>
      <w:pPr>
        <w:pStyle w:val="Bibliography"/>
      </w:pPr>
      <w:r>
        <w:t xml:space="preserve">26. Patil, K. R. &amp; Nielsen, J.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rPr>
          <w:b/>
        </w:rPr>
        <w:t xml:space="preserve">102,</w:t>
      </w:r>
      <w:r>
        <w:t xml:space="preserve"> </w:t>
      </w:r>
      <w:r>
        <w:t xml:space="preserve">2685–2689 (2005).</w:t>
      </w:r>
    </w:p>
    <w:p>
      <w:pPr>
        <w:pStyle w:val="Bibliography"/>
      </w:pPr>
      <w:r>
        <w:t xml:space="preserve">27. Borenstein, E., Kupiec, M., Feldman, M. W. &amp; Ruppin, E.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w:t>
      </w:r>
      <w:r>
        <w:t xml:space="preserve">14482–14487 (2008).</w:t>
      </w:r>
    </w:p>
    <w:p>
      <w:pPr>
        <w:pStyle w:val="Bibliography"/>
      </w:pPr>
      <w:r>
        <w:t xml:space="preserve">28. Suthers, P. F.</w:t>
      </w:r>
      <w:r>
        <w:t xml:space="preserve"> </w:t>
      </w:r>
      <w:r>
        <w:rPr>
          <w:i/>
        </w:rPr>
        <w:t xml:space="preserve">et al.</w:t>
      </w:r>
      <w:r>
        <w:t xml:space="preserve"> </w:t>
      </w:r>
      <w:r>
        <w:t xml:space="preserve">Genome-scale metabolic reconstruction Of mycoplasma genitalium, iPS189.</w:t>
      </w:r>
      <w:r>
        <w:t xml:space="preserve"> </w:t>
      </w:r>
      <w:r>
        <w:rPr>
          <w:i/>
        </w:rPr>
        <w:t xml:space="preserve">PLoS Computational Biology</w:t>
      </w:r>
      <w:r>
        <w:t xml:space="preserve"> </w:t>
      </w:r>
      <w:r>
        <w:rPr>
          <w:b/>
        </w:rPr>
        <w:t xml:space="preserve">5,</w:t>
      </w:r>
      <w:r>
        <w:t xml:space="preserve"> </w:t>
      </w:r>
      <w:r>
        <w:t xml:space="preserve">(2009).</w:t>
      </w:r>
    </w:p>
    <w:p>
      <w:pPr>
        <w:pStyle w:val="Bibliography"/>
      </w:pPr>
      <w:r>
        <w:t xml:space="preserve">29. Putnam, E. E., Nock, A. M., Lawley, T. D. &amp; Shen, A. SpoIVA and sipl are Clostridium difficile spore morphogenetic proteins.</w:t>
      </w:r>
      <w:r>
        <w:t xml:space="preserve"> </w:t>
      </w:r>
      <w:r>
        <w:rPr>
          <w:i/>
        </w:rPr>
        <w:t xml:space="preserve">Journal of Bacteriology</w:t>
      </w:r>
      <w:r>
        <w:t xml:space="preserve"> </w:t>
      </w:r>
      <w:r>
        <w:rPr>
          <w:b/>
        </w:rPr>
        <w:t xml:space="preserve">195,</w:t>
      </w:r>
      <w:r>
        <w:t xml:space="preserve"> </w:t>
      </w:r>
      <w:r>
        <w:t xml:space="preserve">1214–1225 (2013).</w:t>
      </w:r>
    </w:p>
    <w:p>
      <w:pPr>
        <w:pStyle w:val="Bibliography"/>
      </w:pPr>
      <w:r>
        <w:t xml:space="preserve">30. Underwood, S.</w:t>
      </w:r>
      <w:r>
        <w:t xml:space="preserve"> </w:t>
      </w:r>
      <w:r>
        <w:rPr>
          <w:i/>
        </w:rPr>
        <w:t xml:space="preserve">et al.</w:t>
      </w:r>
      <w:r>
        <w:t xml:space="preserve"> </w:t>
      </w:r>
      <w:r>
        <w:t xml:space="preserve">Characterization of the sporulation initiation pathway of Clostridium difficile and its role in toxin production.</w:t>
      </w:r>
      <w:r>
        <w:t xml:space="preserve"> </w:t>
      </w:r>
      <w:r>
        <w:rPr>
          <w:i/>
        </w:rPr>
        <w:t xml:space="preserve">Journal of Bacteriology</w:t>
      </w:r>
      <w:r>
        <w:t xml:space="preserve"> </w:t>
      </w:r>
      <w:r>
        <w:rPr>
          <w:b/>
        </w:rPr>
        <w:t xml:space="preserve">191,</w:t>
      </w:r>
      <w:r>
        <w:t xml:space="preserve"> </w:t>
      </w:r>
      <w:r>
        <w:t xml:space="preserve">7296–7305 (2009).</w:t>
      </w:r>
    </w:p>
    <w:p>
      <w:pPr>
        <w:pStyle w:val="Bibliography"/>
      </w:pPr>
      <w:r>
        <w:t xml:space="preserve">31. Fimlaid, K. A.</w:t>
      </w:r>
      <w:r>
        <w:t xml:space="preserve"> </w:t>
      </w:r>
      <w:r>
        <w:rPr>
          <w:i/>
        </w:rPr>
        <w:t xml:space="preserve">et al.</w:t>
      </w:r>
      <w:r>
        <w:t xml:space="preserve"> </w:t>
      </w:r>
      <w:r>
        <w:t xml:space="preserve">Global Analysis of the Sporulation Pathway of Clostridium difficile.</w:t>
      </w:r>
      <w:r>
        <w:t xml:space="preserve"> </w:t>
      </w:r>
      <w:r>
        <w:rPr>
          <w:i/>
        </w:rPr>
        <w:t xml:space="preserve">PLoS Genetics</w:t>
      </w:r>
      <w:r>
        <w:t xml:space="preserve"> </w:t>
      </w:r>
      <w:r>
        <w:rPr>
          <w:b/>
        </w:rPr>
        <w:t xml:space="preserve">9,</w:t>
      </w:r>
      <w:r>
        <w:t xml:space="preserve"> </w:t>
      </w:r>
      <w:r>
        <w:t xml:space="preserve">(2013).</w:t>
      </w:r>
    </w:p>
    <w:p>
      <w:pPr>
        <w:pStyle w:val="Bibliography"/>
      </w:pPr>
      <w:r>
        <w:t xml:space="preserve">32. Saujet, L., Pereira, F. C., Henriques, A. O. &amp; Martin-Verstraete, I. The regulatory network controlling spore formation in Clostridium difficile.</w:t>
      </w:r>
      <w:r>
        <w:t xml:space="preserve"> </w:t>
      </w:r>
      <w:r>
        <w:rPr>
          <w:i/>
        </w:rPr>
        <w:t xml:space="preserve">FEMS Microbiology Letters</w:t>
      </w:r>
      <w:r>
        <w:t xml:space="preserve"> </w:t>
      </w:r>
      <w:r>
        <w:rPr>
          <w:b/>
        </w:rPr>
        <w:t xml:space="preserve">358,</w:t>
      </w:r>
      <w:r>
        <w:t xml:space="preserve"> </w:t>
      </w:r>
      <w:r>
        <w:t xml:space="preserve">1–10 (2014).</w:t>
      </w:r>
    </w:p>
    <w:p>
      <w:pPr>
        <w:pStyle w:val="Bibliography"/>
      </w:pPr>
      <w:r>
        <w:t xml:space="preserve">33. Matsuno, K. &amp; Sonenshein, A. L. Role of SpoVG in asymmetric septation in Bacillus subtilis.</w:t>
      </w:r>
      <w:r>
        <w:t xml:space="preserve"> </w:t>
      </w:r>
      <w:r>
        <w:rPr>
          <w:i/>
        </w:rPr>
        <w:t xml:space="preserve">Journal of Bacteriology</w:t>
      </w:r>
      <w:r>
        <w:t xml:space="preserve"> </w:t>
      </w:r>
      <w:r>
        <w:rPr>
          <w:b/>
        </w:rPr>
        <w:t xml:space="preserve">181,</w:t>
      </w:r>
      <w:r>
        <w:t xml:space="preserve"> </w:t>
      </w:r>
      <w:r>
        <w:t xml:space="preserve">3392–3401 (1999).</w:t>
      </w:r>
    </w:p>
    <w:p>
      <w:pPr>
        <w:pStyle w:val="Bibliography"/>
      </w:pPr>
      <w:r>
        <w:t xml:space="preserve">34. Lee, A. S. Y. &amp; Song, K. P. LuxS/autoinducer-2 quorum sensing molecule regulates transcriptional virulence gene expression in Clostridium difficile.</w:t>
      </w:r>
      <w:r>
        <w:t xml:space="preserve"> </w:t>
      </w:r>
      <w:r>
        <w:rPr>
          <w:i/>
        </w:rPr>
        <w:t xml:space="preserve">Biochemical and Biophysical Research Communications</w:t>
      </w:r>
      <w:r>
        <w:t xml:space="preserve"> </w:t>
      </w:r>
      <w:r>
        <w:rPr>
          <w:b/>
        </w:rPr>
        <w:t xml:space="preserve">335,</w:t>
      </w:r>
      <w:r>
        <w:t xml:space="preserve"> </w:t>
      </w:r>
      <w:r>
        <w:t xml:space="preserve">659–666 (2005).</w:t>
      </w:r>
    </w:p>
    <w:p>
      <w:pPr>
        <w:pStyle w:val="Bibliography"/>
      </w:pPr>
      <w:r>
        <w:t xml:space="preserve">35. Martin, M. J.</w:t>
      </w:r>
      <w:r>
        <w:t xml:space="preserve"> </w:t>
      </w:r>
      <w:r>
        <w:rPr>
          <w:i/>
        </w:rPr>
        <w:t xml:space="preserve">et al.</w:t>
      </w:r>
      <w:r>
        <w:t xml:space="preserve"> </w:t>
      </w:r>
      <w:r>
        <w:t xml:space="preserve">The agr locus regulates virulence and colonization genes in clostridium difficile 027.</w:t>
      </w:r>
      <w:r>
        <w:t xml:space="preserve"> </w:t>
      </w:r>
      <w:r>
        <w:rPr>
          <w:i/>
        </w:rPr>
        <w:t xml:space="preserve">Journal of Bacteriology</w:t>
      </w:r>
      <w:r>
        <w:t xml:space="preserve"> </w:t>
      </w:r>
      <w:r>
        <w:rPr>
          <w:b/>
        </w:rPr>
        <w:t xml:space="preserve">195,</w:t>
      </w:r>
      <w:r>
        <w:t xml:space="preserve"> </w:t>
      </w:r>
      <w:r>
        <w:t xml:space="preserve">3672–3681 (2013).</w:t>
      </w:r>
    </w:p>
    <w:p>
      <w:pPr>
        <w:pStyle w:val="Bibliography"/>
      </w:pPr>
      <w:r>
        <w:t xml:space="preserve">36. Donnelly, M. L., Fimlaid, K. A. &amp; Shen, A. Characterization of &lt;i&gt;Clostridium difficile&lt;/i&gt; spores lacking either SpoVAC or DPA Synthetase.</w:t>
      </w:r>
      <w:r>
        <w:t xml:space="preserve"> </w:t>
      </w:r>
      <w:r>
        <w:rPr>
          <w:i/>
        </w:rPr>
        <w:t xml:space="preserve">Journal of Bacteriology</w:t>
      </w:r>
      <w:r>
        <w:t xml:space="preserve"> </w:t>
      </w:r>
      <w:r>
        <w:t xml:space="preserve">JB.00986–15 (2016). doi:</w:t>
      </w:r>
      <w:hyperlink r:id="rId38">
        <w:r>
          <w:rPr>
            <w:rStyle w:val="Hyperlink"/>
          </w:rPr>
          <w:t xml:space="preserve">10.1128/JB.00986-15</w:t>
        </w:r>
      </w:hyperlink>
    </w:p>
    <w:p>
      <w:pPr>
        <w:pStyle w:val="Bibliography"/>
      </w:pPr>
      <w:r>
        <w:t xml:space="preserve">37. Dineen, S. S., Villapakkam, A. C., Nordman, J. T. &amp; Sonenshein, A. L. Repression of Clostridium difficile toxin gene expression by CodY.</w:t>
      </w:r>
      <w:r>
        <w:t xml:space="preserve"> </w:t>
      </w:r>
      <w:r>
        <w:rPr>
          <w:i/>
        </w:rPr>
        <w:t xml:space="preserve">Molecular Microbiology</w:t>
      </w:r>
      <w:r>
        <w:t xml:space="preserve"> </w:t>
      </w:r>
      <w:r>
        <w:rPr>
          <w:b/>
        </w:rPr>
        <w:t xml:space="preserve">66,</w:t>
      </w:r>
      <w:r>
        <w:t xml:space="preserve"> </w:t>
      </w:r>
      <w:r>
        <w:t xml:space="preserve">206–219 (2007).</w:t>
      </w:r>
    </w:p>
    <w:p>
      <w:pPr>
        <w:pStyle w:val="Bibliography"/>
      </w:pPr>
      <w:r>
        <w:t xml:space="preserve">38. Martin-Verstraete, I., Peltier, J. &amp; Dupuy, B. The regulatory networks that control Clostridium difficile toxin synthesis.</w:t>
      </w:r>
      <w:r>
        <w:t xml:space="preserve"> </w:t>
      </w:r>
      <w:r>
        <w:rPr>
          <w:b/>
        </w:rPr>
        <w:t xml:space="preserve">8,</w:t>
      </w:r>
      <w:r>
        <w:t xml:space="preserve"> </w:t>
      </w:r>
      <w:r>
        <w:t xml:space="preserve">(2016).</w:t>
      </w:r>
    </w:p>
    <w:p>
      <w:pPr>
        <w:pStyle w:val="Bibliography"/>
      </w:pPr>
      <w:r>
        <w:t xml:space="preserve">39. Potapov, A. P., Voss, N., Sasse, N. &amp; Wingender, E. Topology of mammalian transcription networks.</w:t>
      </w:r>
      <w:r>
        <w:t xml:space="preserve"> </w:t>
      </w:r>
      <w:r>
        <w:rPr>
          <w:i/>
        </w:rPr>
        <w:t xml:space="preserve">Genome informatics. International Conference on Genome Informatics</w:t>
      </w:r>
      <w:r>
        <w:t xml:space="preserve"> </w:t>
      </w:r>
      <w:r>
        <w:rPr>
          <w:b/>
        </w:rPr>
        <w:t xml:space="preserve">16,</w:t>
      </w:r>
      <w:r>
        <w:t xml:space="preserve"> </w:t>
      </w:r>
      <w:r>
        <w:t xml:space="preserve">270–278 (2005).</w:t>
      </w:r>
    </w:p>
    <w:p>
      <w:pPr>
        <w:pStyle w:val="Bibliography"/>
      </w:pPr>
      <w:r>
        <w:t xml:space="preserve">40. Ma, H. W. &amp; Zeng, A. P. The connectivity structure, giant strong component and centrality of metabolic networks.</w:t>
      </w:r>
      <w:r>
        <w:t xml:space="preserve"> </w:t>
      </w:r>
      <w:r>
        <w:rPr>
          <w:i/>
        </w:rPr>
        <w:t xml:space="preserve">Bioinformatics</w:t>
      </w:r>
      <w:r>
        <w:t xml:space="preserve"> </w:t>
      </w:r>
      <w:r>
        <w:rPr>
          <w:b/>
        </w:rPr>
        <w:t xml:space="preserve">19,</w:t>
      </w:r>
      <w:r>
        <w:t xml:space="preserve"> </w:t>
      </w:r>
      <w:r>
        <w:t xml:space="preserve">1423–1430 (2003).</w:t>
      </w:r>
    </w:p>
    <w:p>
      <w:pPr>
        <w:pStyle w:val="Bibliography"/>
      </w:pPr>
      <w:r>
        <w:t xml:space="preserve">41. McGill, R., Tukey, J. W. &amp; Larsen, W. a. Variations of Box Plots.</w:t>
      </w:r>
      <w:r>
        <w:t xml:space="preserve"> </w:t>
      </w:r>
      <w:r>
        <w:rPr>
          <w:i/>
        </w:rPr>
        <w:t xml:space="preserve">The American Statistician</w:t>
      </w:r>
      <w:r>
        <w:t xml:space="preserve"> </w:t>
      </w:r>
      <w:r>
        <w:rPr>
          <w:b/>
        </w:rPr>
        <w:t xml:space="preserve">32,</w:t>
      </w:r>
      <w:r>
        <w:t xml:space="preserve"> </w:t>
      </w:r>
      <w:r>
        <w:t xml:space="preserve">12–16 (1978).</w:t>
      </w:r>
    </w:p>
    <w:p>
      <w:pPr>
        <w:pStyle w:val="Bibliography"/>
      </w:pPr>
      <w:r>
        <w:t xml:space="preserve">42. Karlsson, S., Burman, L. G. &amp; Åkerlund, T. Induction of toxins in Clostridium difficile is associated with dramatic changes of its metabolism.</w:t>
      </w:r>
      <w:r>
        <w:t xml:space="preserve"> </w:t>
      </w:r>
      <w:r>
        <w:rPr>
          <w:i/>
        </w:rPr>
        <w:t xml:space="preserve">Microbiology</w:t>
      </w:r>
      <w:r>
        <w:t xml:space="preserve"> </w:t>
      </w:r>
      <w:r>
        <w:rPr>
          <w:b/>
        </w:rPr>
        <w:t xml:space="preserve">154,</w:t>
      </w:r>
      <w:r>
        <w:t xml:space="preserve"> </w:t>
      </w:r>
      <w:r>
        <w:t xml:space="preserve">3430–3436 (2008).</w:t>
      </w:r>
    </w:p>
    <w:p>
      <w:pPr>
        <w:pStyle w:val="Bibliography"/>
      </w:pPr>
      <w:r>
        <w:t xml:space="preserve">43. Ng, K. M.</w:t>
      </w:r>
      <w:r>
        <w:t xml:space="preserve"> </w:t>
      </w:r>
      <w:r>
        <w:rPr>
          <w:i/>
        </w:rPr>
        <w:t xml:space="preserve">et al.</w:t>
      </w:r>
      <w:r>
        <w:t xml:space="preserve"> </w:t>
      </w:r>
      <w:r>
        <w:t xml:space="preserve">Microbiota-liberated host sugars facilitate post-antibiotic expansion of enteric pathogens.</w:t>
      </w:r>
      <w:r>
        <w:t xml:space="preserve"> </w:t>
      </w:r>
      <w:r>
        <w:rPr>
          <w:i/>
        </w:rPr>
        <w:t xml:space="preserve">Nature</w:t>
      </w:r>
      <w:r>
        <w:t xml:space="preserve"> </w:t>
      </w:r>
      <w:r>
        <w:rPr>
          <w:b/>
        </w:rPr>
        <w:t xml:space="preserve">502,</w:t>
      </w:r>
      <w:r>
        <w:t xml:space="preserve"> </w:t>
      </w:r>
      <w:r>
        <w:t xml:space="preserve">96–9 (2013).</w:t>
      </w:r>
    </w:p>
    <w:p>
      <w:pPr>
        <w:pStyle w:val="Bibliography"/>
      </w:pPr>
      <w:r>
        <w:t xml:space="preserve">44. Janvilisri, T.</w:t>
      </w:r>
      <w:r>
        <w:t xml:space="preserve"> </w:t>
      </w:r>
      <w:r>
        <w:rPr>
          <w:i/>
        </w:rPr>
        <w:t xml:space="preserve">et al.</w:t>
      </w:r>
      <w:r>
        <w:t xml:space="preserve"> </w:t>
      </w:r>
      <w:r>
        <w:t xml:space="preserve">Microarray identification of Clostridium difficile core components and divergent regions associated with host origin.</w:t>
      </w:r>
      <w:r>
        <w:t xml:space="preserve"> </w:t>
      </w:r>
      <w:r>
        <w:rPr>
          <w:i/>
        </w:rPr>
        <w:t xml:space="preserve">Journal of Bacteriology</w:t>
      </w:r>
      <w:r>
        <w:t xml:space="preserve"> </w:t>
      </w:r>
      <w:r>
        <w:rPr>
          <w:b/>
        </w:rPr>
        <w:t xml:space="preserve">191,</w:t>
      </w:r>
      <w:r>
        <w:t xml:space="preserve"> </w:t>
      </w:r>
      <w:r>
        <w:t xml:space="preserve">3881–3891 (2009).</w:t>
      </w:r>
    </w:p>
    <w:p>
      <w:pPr>
        <w:pStyle w:val="Bibliography"/>
      </w:pPr>
      <w:r>
        <w:t xml:space="preserve">45. Scaria, J.</w:t>
      </w:r>
      <w:r>
        <w:t xml:space="preserve"> </w:t>
      </w:r>
      <w:r>
        <w:rPr>
          <w:i/>
        </w:rPr>
        <w:t xml:space="preserve">et al.</w:t>
      </w:r>
      <w:r>
        <w:t xml:space="preserve"> </w:t>
      </w:r>
      <w:r>
        <w:t xml:space="preserve">Comparative genomic and phenomic analysis of Clostridium difficile and &lt;i&gt;Clostridium sordellii&lt;/i&gt;, two related pathogens with differing host tissue preference.</w:t>
      </w:r>
      <w:r>
        <w:t xml:space="preserve"> </w:t>
      </w:r>
      <w:r>
        <w:rPr>
          <w:i/>
        </w:rPr>
        <w:t xml:space="preserve">BMC genomics</w:t>
      </w:r>
      <w:r>
        <w:t xml:space="preserve"> </w:t>
      </w:r>
      <w:r>
        <w:rPr>
          <w:b/>
        </w:rPr>
        <w:t xml:space="preserve">16,</w:t>
      </w:r>
      <w:r>
        <w:t xml:space="preserve"> </w:t>
      </w:r>
      <w:r>
        <w:t xml:space="preserve">448 (2015).</w:t>
      </w:r>
    </w:p>
    <w:p>
      <w:pPr>
        <w:pStyle w:val="Bibliography"/>
      </w:pPr>
      <w:r>
        <w:t xml:space="preserve">46. Matsumoto, M.</w:t>
      </w:r>
      <w:r>
        <w:t xml:space="preserve"> </w:t>
      </w:r>
      <w:r>
        <w:rPr>
          <w:i/>
        </w:rPr>
        <w:t xml:space="preserve">et al.</w:t>
      </w:r>
      <w:r>
        <w:t xml:space="preserve"> </w:t>
      </w:r>
      <w:r>
        <w:t xml:space="preserve">Impact of intestinal microbiota on intestinal luminal metabolome.</w:t>
      </w:r>
      <w:r>
        <w:t xml:space="preserve"> </w:t>
      </w:r>
      <w:r>
        <w:rPr>
          <w:i/>
        </w:rPr>
        <w:t xml:space="preserve">Scientific reports</w:t>
      </w:r>
      <w:r>
        <w:t xml:space="preserve"> </w:t>
      </w:r>
      <w:r>
        <w:rPr>
          <w:b/>
        </w:rPr>
        <w:t xml:space="preserve">2,</w:t>
      </w:r>
      <w:r>
        <w:t xml:space="preserve"> </w:t>
      </w:r>
      <w:r>
        <w:t xml:space="preserve">233 (2012).</w:t>
      </w:r>
    </w:p>
    <w:p>
      <w:pPr>
        <w:pStyle w:val="Bibliography"/>
      </w:pPr>
      <w:r>
        <w:t xml:space="preserve">47. Vimr, E. R., Kalivoda, K. A., Deszo, E. L. &amp; Steenbergen, S. M. Diversity of microbial sialic acid metabolism.</w:t>
      </w:r>
      <w:r>
        <w:t xml:space="preserve"> </w:t>
      </w:r>
      <w:r>
        <w:rPr>
          <w:i/>
        </w:rPr>
        <w:t xml:space="preserve">Microbiology and molecular biology reviews : MMBR</w:t>
      </w:r>
      <w:r>
        <w:t xml:space="preserve"> </w:t>
      </w:r>
      <w:r>
        <w:rPr>
          <w:b/>
        </w:rPr>
        <w:t xml:space="preserve">68,</w:t>
      </w:r>
      <w:r>
        <w:t xml:space="preserve"> </w:t>
      </w:r>
      <w:r>
        <w:t xml:space="preserve">132–53 (2004).</w:t>
      </w:r>
    </w:p>
    <w:p>
      <w:pPr>
        <w:pStyle w:val="Bibliography"/>
      </w:pPr>
      <w:r>
        <w:t xml:space="preserve">48. Fuller, M. F. &amp; Reeds, P. J. Nitrogen cycling in the gut.</w:t>
      </w:r>
      <w:r>
        <w:t xml:space="preserve"> </w:t>
      </w:r>
      <w:r>
        <w:rPr>
          <w:i/>
        </w:rPr>
        <w:t xml:space="preserve">Annual review of nutrition</w:t>
      </w:r>
      <w:r>
        <w:t xml:space="preserve"> </w:t>
      </w:r>
      <w:r>
        <w:rPr>
          <w:b/>
        </w:rPr>
        <w:t xml:space="preserve">18,</w:t>
      </w:r>
      <w:r>
        <w:t xml:space="preserve"> </w:t>
      </w:r>
      <w:r>
        <w:t xml:space="preserve">385–411 (1998).</w:t>
      </w:r>
    </w:p>
    <w:p>
      <w:pPr>
        <w:pStyle w:val="Bibliography"/>
      </w:pPr>
      <w:r>
        <w:t xml:space="preserve">49. Jackson, S., Calos, M., Myers, A. &amp; Self, W. T. Analysis of proline reduction in the nosocomial pathogen Clostridium difficile.</w:t>
      </w:r>
      <w:r>
        <w:t xml:space="preserve"> </w:t>
      </w:r>
      <w:r>
        <w:rPr>
          <w:i/>
        </w:rPr>
        <w:t xml:space="preserve">Journal of Bacteriology</w:t>
      </w:r>
      <w:r>
        <w:t xml:space="preserve"> </w:t>
      </w:r>
      <w:r>
        <w:rPr>
          <w:b/>
        </w:rPr>
        <w:t xml:space="preserve">188,</w:t>
      </w:r>
      <w:r>
        <w:t xml:space="preserve"> </w:t>
      </w:r>
      <w:r>
        <w:t xml:space="preserve">8487–8495 (2006).</w:t>
      </w:r>
    </w:p>
    <w:p>
      <w:pPr>
        <w:pStyle w:val="Bibliography"/>
      </w:pPr>
      <w:r>
        <w:t xml:space="preserve">50. Aboulnaga, E. H.</w:t>
      </w:r>
      <w:r>
        <w:t xml:space="preserve"> </w:t>
      </w:r>
      <w:r>
        <w:rPr>
          <w:i/>
        </w:rPr>
        <w:t xml:space="preserve">et al.</w:t>
      </w:r>
      <w:r>
        <w:t xml:space="preserve"> </w:t>
      </w:r>
      <w:r>
        <w:t xml:space="preserve">Effect of an oxygen-tolerant bifurcating butyryl coenzyme a dehydrogenase/electron-transferring flavoprotein complex from clostridium difficile on butyrate production in escherichia coli.</w:t>
      </w:r>
      <w:r>
        <w:t xml:space="preserve"> </w:t>
      </w:r>
      <w:r>
        <w:rPr>
          <w:i/>
        </w:rPr>
        <w:t xml:space="preserve">Journal of Bacteriology</w:t>
      </w:r>
      <w:r>
        <w:t xml:space="preserve"> </w:t>
      </w:r>
      <w:r>
        <w:rPr>
          <w:b/>
        </w:rPr>
        <w:t xml:space="preserve">195,</w:t>
      </w:r>
      <w:r>
        <w:t xml:space="preserve"> </w:t>
      </w:r>
      <w:r>
        <w:t xml:space="preserve">3704–3713 (2013).</w:t>
      </w:r>
    </w:p>
    <w:p>
      <w:pPr>
        <w:pStyle w:val="Bibliography"/>
      </w:pPr>
      <w:r>
        <w:t xml:space="preserve">51. Fonknechten, N.</w:t>
      </w:r>
      <w:r>
        <w:t xml:space="preserve"> </w:t>
      </w:r>
      <w:r>
        <w:rPr>
          <w:i/>
        </w:rPr>
        <w:t xml:space="preserve">et al.</w:t>
      </w:r>
      <w:r>
        <w:t xml:space="preserve"> </w:t>
      </w:r>
      <w:r>
        <w:t xml:space="preserve">Clostridium sticklandii,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52. Köpke, M., Straub, M. &amp; Dürre, P. Clostridium difficile Is an Autotrophic Bacterial Pathogen.</w:t>
      </w:r>
      <w:r>
        <w:t xml:space="preserve"> </w:t>
      </w:r>
      <w:r>
        <w:rPr>
          <w:i/>
        </w:rPr>
        <w:t xml:space="preserve">PLoS ONE</w:t>
      </w:r>
      <w:r>
        <w:t xml:space="preserve"> </w:t>
      </w:r>
      <w:r>
        <w:rPr>
          <w:b/>
        </w:rPr>
        <w:t xml:space="preserve">8,</w:t>
      </w:r>
      <w:r>
        <w:t xml:space="preserve"> </w:t>
      </w:r>
      <w:r>
        <w:t xml:space="preserve">(2013).</w:t>
      </w:r>
    </w:p>
    <w:p>
      <w:pPr>
        <w:pStyle w:val="Bibliography"/>
      </w:pPr>
      <w:r>
        <w:t xml:space="preserve">53. Emerson, J. E., Stabler, R. A., Wren, B. W. &amp; Fairweather, N. F. Microarray analysis of the transcriptional responses of Clostridium difficile to environmental and antibiotic stress.</w:t>
      </w:r>
      <w:r>
        <w:t xml:space="preserve"> </w:t>
      </w:r>
      <w:r>
        <w:rPr>
          <w:i/>
        </w:rPr>
        <w:t xml:space="preserve">Journal of Medical Microbiology</w:t>
      </w:r>
      <w:r>
        <w:t xml:space="preserve"> </w:t>
      </w:r>
      <w:r>
        <w:rPr>
          <w:b/>
        </w:rPr>
        <w:t xml:space="preserve">57,</w:t>
      </w:r>
      <w:r>
        <w:t xml:space="preserve"> </w:t>
      </w:r>
      <w:r>
        <w:t xml:space="preserve">757–764 (2008).</w:t>
      </w:r>
    </w:p>
    <w:p>
      <w:pPr>
        <w:pStyle w:val="Bibliography"/>
      </w:pPr>
      <w:r>
        <w:t xml:space="preserve">54. Green, M. L. &amp; Karp, P. D. The outcomes of pathway database computations depend on pathway ontology.</w:t>
      </w:r>
      <w:r>
        <w:t xml:space="preserve"> </w:t>
      </w:r>
      <w:r>
        <w:rPr>
          <w:i/>
        </w:rPr>
        <w:t xml:space="preserve">Nucleic Acids Research</w:t>
      </w:r>
      <w:r>
        <w:t xml:space="preserve"> </w:t>
      </w:r>
      <w:r>
        <w:rPr>
          <w:b/>
        </w:rPr>
        <w:t xml:space="preserve">34,</w:t>
      </w:r>
      <w:r>
        <w:t xml:space="preserve"> </w:t>
      </w:r>
      <w:r>
        <w:t xml:space="preserve">3687–3697 (2006).</w:t>
      </w:r>
    </w:p>
    <w:p>
      <w:pPr>
        <w:pStyle w:val="Bibliography"/>
      </w:pPr>
      <w:r>
        <w:t xml:space="preserve">55. Theriot, C. M.</w:t>
      </w:r>
      <w:r>
        <w:t xml:space="preserve"> </w:t>
      </w:r>
      <w:r>
        <w:rPr>
          <w:i/>
        </w:rPr>
        <w:t xml:space="preserve">et al.</w:t>
      </w:r>
      <w:r>
        <w:t xml:space="preserve"> </w:t>
      </w:r>
      <w:r>
        <w:t xml:space="preserve">Cefoperazone-treated mice as an experimental platform to assess differential virulence of Clostridium difficile 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56. Wilson, K. H., Kennedy, M. J. &amp; Fekety, F. R. Use of sodium taurocholate to enhance spore recovery on a medium selective for Clostridium difficile.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57. Sorg, J. a. &amp; Sonenshein, A. L. Inhibiting the initiation of &lt;i&gt;Clostridium difficile&lt;/i&gt; 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58. Leslie, J. L.</w:t>
      </w:r>
      <w:r>
        <w:t xml:space="preserve"> </w:t>
      </w:r>
      <w:r>
        <w:rPr>
          <w:i/>
        </w:rPr>
        <w:t xml:space="preserve">et al.</w:t>
      </w:r>
      <w:r>
        <w:t xml:space="preserve"> </w:t>
      </w:r>
      <w:r>
        <w:t xml:space="preserve">Persistence and toxin production by Clostridium difficile 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59. Lopez-Medina, E., Neubauer, M. M., Pier, G. B. &amp; Koh, A. Y. RNA isolation of Pseudomonas aeruginosa colonizing the murine gastrointestinal tract.</w:t>
      </w:r>
      <w:r>
        <w:t xml:space="preserve"> </w:t>
      </w:r>
      <w:r>
        <w:rPr>
          <w:i/>
        </w:rPr>
        <w:t xml:space="preserve">Journal of visualized experiments : JoVE</w:t>
      </w:r>
      <w:r>
        <w:t xml:space="preserve"> </w:t>
      </w:r>
      <w:r>
        <w:t xml:space="preserve">6–9 (2011). doi:</w:t>
      </w:r>
      <w:hyperlink r:id="rId39">
        <w:r>
          <w:rPr>
            <w:rStyle w:val="Hyperlink"/>
          </w:rPr>
          <w:t xml:space="preserve">10.3791/3293</w:t>
        </w:r>
      </w:hyperlink>
    </w:p>
    <w:p>
      <w:pPr>
        <w:pStyle w:val="Bibliography"/>
      </w:pPr>
      <w:r>
        <w:t xml:space="preserve">60. Langmead, B., Trapnell, C., Pop, M. &amp; Salzberg, S. L. Ultrafast and memory-efficient alignment of short DNA sequences to the human genome.</w:t>
      </w:r>
      <w:r>
        <w:t xml:space="preserve"> </w:t>
      </w:r>
      <w:r>
        <w:rPr>
          <w:i/>
        </w:rPr>
        <w:t xml:space="preserve">Genome Biol</w:t>
      </w:r>
      <w:r>
        <w:t xml:space="preserve"> </w:t>
      </w:r>
      <w:r>
        <w:t xml:space="preserve">1–10 (2009). doi:</w:t>
      </w:r>
      <w:hyperlink r:id="rId40">
        <w:r>
          <w:rPr>
            <w:rStyle w:val="Hyperlink"/>
          </w:rPr>
          <w:t xml:space="preserve">gb-2009-10-3-r25 [pii]\r10.1186/gb-2009-10-3-r25</w:t>
        </w:r>
      </w:hyperlink>
    </w:p>
    <w:p>
      <w:pPr>
        <w:pStyle w:val="Bibliography"/>
      </w:pPr>
      <w:r>
        <w:t xml:space="preserve">61.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62.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63. Basler, G., Ebenhöh, O., Selbig, J. &amp; Nikoloski, Z. Mass-balanced randomization of metabolic networks.</w:t>
      </w:r>
      <w:r>
        <w:t xml:space="preserve"> </w:t>
      </w:r>
      <w:r>
        <w:rPr>
          <w:i/>
        </w:rPr>
        <w:t xml:space="preserve">Bioinformatics</w:t>
      </w:r>
      <w:r>
        <w:t xml:space="preserve"> </w:t>
      </w:r>
      <w:r>
        <w:rPr>
          <w:b/>
        </w:rPr>
        <w:t xml:space="preserve">27,</w:t>
      </w:r>
      <w:r>
        <w:t xml:space="preserve"> </w:t>
      </w:r>
      <w:r>
        <w:t xml:space="preserve">1397–1403 (2011).</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f1e4b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8" Target="https://doi.org/10.1128/JB.00986-15" TargetMode="External" /><Relationship Type="http://schemas.openxmlformats.org/officeDocument/2006/relationships/hyperlink" Id="rId37" Target="https://doi.org/10.1186/s12866-015-0614-2" TargetMode="External" /><Relationship Type="http://schemas.openxmlformats.org/officeDocument/2006/relationships/hyperlink" Id="rId39" Target="https://doi.org/10.3791/3293" TargetMode="External" /><Relationship Type="http://schemas.openxmlformats.org/officeDocument/2006/relationships/hyperlink" Id="rId40" Target="https://doi.org/gb-2009-10-3-r25 [pii]\r10.1186/gb-2009-10-3-r25"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8" Target="https://doi.org/10.1128/JB.00986-15" TargetMode="External" /><Relationship Type="http://schemas.openxmlformats.org/officeDocument/2006/relationships/hyperlink" Id="rId37" Target="https://doi.org/10.1186/s12866-015-0614-2" TargetMode="External" /><Relationship Type="http://schemas.openxmlformats.org/officeDocument/2006/relationships/hyperlink" Id="rId39" Target="https://doi.org/10.3791/3293" TargetMode="External" /><Relationship Type="http://schemas.openxmlformats.org/officeDocument/2006/relationships/hyperlink" Id="rId40" Target="https://doi.org/gb-2009-10-3-r25 [pii]\r10.1186/gb-2009-10-3-r25"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