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grown to be the most prevalent cause of hospital acquired infection in the United States. Susceptibility to CDI is induced by recent antibiotic exposure, which is known to alter the structure of the gut microbiome and to affect the availability of growth nutrients in the gut. We hypothesized that</w:t>
      </w:r>
      <w:r>
        <w:t xml:space="preserve"> </w:t>
      </w:r>
      <w:r>
        <w:rPr>
          <w:i/>
        </w:rPr>
        <w:t xml:space="preserve">C. difficile</w:t>
      </w:r>
      <w:r>
        <w:t xml:space="preserve"> </w:t>
      </w:r>
      <w:r>
        <w:t xml:space="preserve">is a generalist that adapts its physiology to the nutrients available within the gut. We orally challenged C57BL/6 mice that previously received one of three antibiotics with</w:t>
      </w:r>
      <w:r>
        <w:t xml:space="preserve"> </w:t>
      </w:r>
      <w:r>
        <w:rPr>
          <w:i/>
        </w:rPr>
        <w:t xml:space="preserve">C. difficile</w:t>
      </w:r>
      <w:r>
        <w:t xml:space="preserve"> </w:t>
      </w:r>
      <w:r>
        <w:t xml:space="preserve">and demonstrated that it was able to colonize the cecum within 18 hours of infection. However, levels of both spore and toxin production, which are known to be affected by nutrient availability, varied between each antibiotic treatment group. To more closely investigate the specific responses of</w:t>
      </w:r>
      <w:r>
        <w:t xml:space="preserve"> </w:t>
      </w:r>
      <w:r>
        <w:rPr>
          <w:i/>
        </w:rPr>
        <w:t xml:space="preserve">C. difficile</w:t>
      </w:r>
      <w:r>
        <w:t xml:space="preserve"> </w:t>
      </w:r>
      <w:r>
        <w:t xml:space="preserve">as it colonized the cecum, we performed</w:t>
      </w:r>
      <w:r>
        <w:t xml:space="preserve"> </w:t>
      </w:r>
      <w:r>
        <w:rPr>
          <w:i/>
        </w:rPr>
        <w:t xml:space="preserve">in vivo</w:t>
      </w:r>
      <w:r>
        <w:t xml:space="preserve"> </w:t>
      </w:r>
      <w:r>
        <w:t xml:space="preserve">transcriptional analysis of</w:t>
      </w:r>
      <w:r>
        <w:t xml:space="preserve"> </w:t>
      </w:r>
      <w:r>
        <w:rPr>
          <w:i/>
        </w:rPr>
        <w:t xml:space="preserve">C. difficile</w:t>
      </w:r>
      <w:r>
        <w:t xml:space="preserve"> </w:t>
      </w:r>
      <w:r>
        <w:t xml:space="preserve">from cecal content of infected mice. This approach revealed variation in expression of genes that drive life-cycle switches as well as metabolic pathways associated with catabolizing a variety of carbon sources such as carbohydrates, amino acids, and amino sugars. To assess which substrates</w:t>
      </w:r>
      <w:r>
        <w:t xml:space="preserve"> </w:t>
      </w:r>
      <w:r>
        <w:rPr>
          <w:i/>
        </w:rPr>
        <w:t xml:space="preserve">C. difficile</w:t>
      </w:r>
      <w:r>
        <w:t xml:space="preserve"> </w:t>
      </w:r>
      <w:r>
        <w:t xml:space="preserve">was most likely exploiting in each antibiotic-perturbed microbiome, we developed a novel metabolite scoring algorithm within the genome-scale bipartite metabolic network of</w:t>
      </w:r>
      <w:r>
        <w:t xml:space="preserve"> </w:t>
      </w:r>
      <w:r>
        <w:rPr>
          <w:i/>
        </w:rPr>
        <w:t xml:space="preserve">C. difficile</w:t>
      </w:r>
      <w:r>
        <w:t xml:space="preserve"> </w:t>
      </w:r>
      <w:r>
        <w:t xml:space="preserve">that incorporated both network topology and transcript abundance to infer the likelihood that a given metabolite was acquired from the environment. Applying this approach, we found that</w:t>
      </w:r>
      <w:r>
        <w:t xml:space="preserve"> </w:t>
      </w:r>
      <w:r>
        <w:rPr>
          <w:i/>
        </w:rPr>
        <w:t xml:space="preserve">C. difficile</w:t>
      </w:r>
      <w:r>
        <w:t xml:space="preserve"> </w:t>
      </w:r>
      <w:r>
        <w:t xml:space="preserve">indeed occupies alternative nutrient niches across each antibiotic-perturbed microbiome and that the highlighted metabolites support significant growth,</w:t>
      </w:r>
      <w:r>
        <w:t xml:space="preserve"> </w:t>
      </w:r>
      <w:r>
        <w:rPr>
          <w:i/>
        </w:rPr>
        <w:t xml:space="preserve">in vitro</w:t>
      </w:r>
      <w:r>
        <w:t xml:space="preserve">.</w:t>
      </w:r>
      <w:r>
        <w:t xml:space="preserve"> </w:t>
      </w:r>
      <w:r>
        <w:rPr>
          <w:i/>
        </w:rPr>
        <w:t xml:space="preserve">In silico</w:t>
      </w:r>
      <w:r>
        <w:t xml:space="preserve"> </w:t>
      </w:r>
      <w:r>
        <w:t xml:space="preserve">findings were further validated using</w:t>
      </w:r>
      <w:r>
        <w:t xml:space="preserve"> </w:t>
      </w:r>
      <w:r>
        <w:rPr>
          <w:i/>
        </w:rPr>
        <w:t xml:space="preserve">in vivo</w:t>
      </w:r>
      <w:r>
        <w:t xml:space="preserve"> </w:t>
      </w:r>
      <w:r>
        <w:t xml:space="preserve">metabolomic analysis to compare resitant and susceptible cecal conditions. These results support the hypothesis that consumption of N-acetyl-D-glucosamine and Stickland fermentation substrates are central components of</w:t>
      </w:r>
      <w:r>
        <w:t xml:space="preserve"> </w:t>
      </w:r>
      <w:r>
        <w:rPr>
          <w:i/>
        </w:rPr>
        <w:t xml:space="preserve">C. difficile</w:t>
      </w:r>
      <w:r>
        <w:t xml:space="preserve">'s metabolic strategy and pathogenesis.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to prevent</w:t>
      </w:r>
      <w:r>
        <w:t xml:space="preserve"> </w:t>
      </w:r>
      <w:r>
        <w:rPr>
          <w:i/>
        </w:rPr>
        <w:t xml:space="preserve">C. difficile</w:t>
      </w:r>
      <w:r>
        <w:t xml:space="preserve"> </w:t>
      </w:r>
      <w:r>
        <w:t xml:space="preserve">colonization including potential pre- or probiotic therapies.</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rPr>
          <w:vertAlign w:val="superscript"/>
        </w:rP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rPr>
          <w:vertAlign w:val="superscript"/>
        </w:rP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which have been shown to result in susceptibility</w:t>
      </w:r>
      <w:r>
        <w:t xml:space="preserve"> </w:t>
      </w:r>
      <w:r>
        <w:rPr>
          <w:i/>
        </w:rPr>
        <w:t xml:space="preserve">C. difficile</w:t>
      </w:r>
      <w:r>
        <w:t xml:space="preserve"> </w:t>
      </w:r>
      <w:r>
        <w:t xml:space="preserve">colonization</w:t>
      </w:r>
      <w:r>
        <w:rPr>
          <w:vertAlign w:val="superscript"/>
        </w:rPr>
        <w:t xml:space="preserve">6–8</w:t>
      </w:r>
      <w:r>
        <w:t xml:space="preserve">. In this case, the antibiotics chosen significantly impact the structure and diversity of the cecal microbiome (Fig. S1a &amp; S1b). It has been further demonstrated that at 18 hours after being introduced to a cefoperazone treated mouse,</w:t>
      </w:r>
      <w:r>
        <w:t xml:space="preserve"> </w:t>
      </w:r>
      <w:r>
        <w:rPr>
          <w:i/>
        </w:rPr>
        <w:t xml:space="preserve">C. difficile</w:t>
      </w:r>
      <w:r>
        <w:t xml:space="preserve"> </w:t>
      </w:r>
      <w:r>
        <w:t xml:space="preserve">reached its maximum vegetative cell density in the cecum</w:t>
      </w:r>
      <w:r>
        <w:rPr>
          <w:vertAlign w:val="superscript"/>
        </w:rP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7,10–12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rPr>
          <w:vertAlign w:val="superscript"/>
        </w:rPr>
        <w:t xml:space="preserve">13,14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rPr>
          <w:vertAlign w:val="superscript"/>
        </w:rPr>
        <w:t xml:space="preserve">18,19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rPr>
          <w:vertAlign w:val="superscript"/>
        </w:rPr>
        <w:t xml:space="preserve">20,21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22,23</w:t>
      </w:r>
      <w:r>
        <w:t xml:space="preserve">, with some work characterizing transcription during colonization of germfree mice</w:t>
      </w:r>
      <w:r>
        <w:rPr>
          <w:vertAlign w:val="superscript"/>
        </w:rPr>
        <w:t xml:space="preserve">24,25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7,10,12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2a).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ex-GF mice than in the antibiotic treated mice (Fig. 2b).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0.001), but toxin titer also varied between antibiotic treatment groups (Fig. 2c).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rPr>
          <w:vertAlign w:val="superscript"/>
        </w:rPr>
        <w:t xml:space="preserve">29–32</w:t>
      </w:r>
      <w:r>
        <w:t xml:space="preserve"> </w:t>
      </w:r>
      <w:r>
        <w:t xml:space="preserve">(Fig. 3a). Across the four conditions where</w:t>
      </w:r>
      <w:r>
        <w:t xml:space="preserve"> </w:t>
      </w:r>
      <w:r>
        <w:rPr>
          <w:i/>
        </w:rPr>
        <w:t xml:space="preserve">C. difficile</w:t>
      </w:r>
      <w:r>
        <w:t xml:space="preserve"> </w:t>
      </w:r>
      <w:r>
        <w:t xml:space="preserve">colonized, we observed transcriptional profiles consistent with observed spore levels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 produts of these genes are involved in suppressing expression of genes found later in the sporulation pathway</w:t>
      </w:r>
      <w:r>
        <w:rPr>
          <w:vertAlign w:val="superscript"/>
        </w:rPr>
        <w:t xml:space="preserve">33</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rPr>
          <w:vertAlign w:val="superscript"/>
        </w:rPr>
        <w:t xml:space="preserve">34,35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GF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We next focused on the regulators of metabolic pathways. Sigma factors are master regulators and a subset have been shown to integrate signals from intra- and extracellular nutrient concentrations</w:t>
      </w:r>
      <w:r>
        <w:rPr>
          <w:vertAlign w:val="superscript"/>
        </w:rPr>
        <w:t xml:space="preserve">20,21,31,36</w:t>
      </w:r>
      <w:r>
        <w:t xml:space="preserve">. The transcription of the global repressor</w:t>
      </w:r>
      <w:r>
        <w:t xml:space="preserve"> </w:t>
      </w:r>
      <w:r>
        <w:rPr>
          <w:i/>
        </w:rPr>
        <w:t xml:space="preserve">codY</w:t>
      </w:r>
      <w:r>
        <w:t xml:space="preserve"> </w:t>
      </w:r>
      <w:r>
        <w:t xml:space="preserve">is responsive to intracellular concentrations of</w:t>
      </w:r>
      <w:r>
        <w:t xml:space="preserve"> </w:t>
      </w:r>
      <w:r>
        <w:rPr>
          <w:i/>
        </w:rPr>
        <w:t xml:space="preserve">C. difficile</w:t>
      </w:r>
      <w:r>
        <w:t xml:space="preserve"> </w:t>
      </w:r>
      <w:r>
        <w:t xml:space="preserve">energy sources</w:t>
      </w:r>
      <w:r>
        <w:rPr>
          <w:vertAlign w:val="superscript"/>
        </w:rPr>
        <w:t xml:space="preserve">37</w:t>
      </w:r>
      <w:r>
        <w:t xml:space="preserve">. Highest transcription for this gene was found in cefoperazone-treated and GF mice (Fig. 3d). The regulation networks of CodY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rPr>
          <w:vertAlign w:val="superscript"/>
        </w:rPr>
        <w:t xml:space="preserve">38</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S2a). We then focused on general differences in carbohydrate (Fig. S2b) and amino acid (Fig. S2c)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GF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4). We then identified the condition in which each gene was most highly transcribed and adjusted the size of the corresponding point relative to the largest transcipt abundance.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indentify associations of gene sets with each condition, we also analyzed each set separately. First, we found that the expression of genes associated with amino acid catabolism were expressed at nearly consistent levels across the conditions.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rPr>
          <w:vertAlign w:val="superscript"/>
        </w:rPr>
        <w:t xml:space="preserve">25</w:t>
      </w:r>
      <w:r>
        <w:t xml:space="preserve">. Among the genes classified as PTS transporters were overrepresented in both clindamycin and streptomycin-treated mice, while ABC sugar transporters were overrepresented in the cefoparazone-treated mice. The most stark differences were seen in transcription for genes involved in sugar alcohol catabolism.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and polysaccharide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Together these patterns suggested that polysaccharide fermentation occurred this condition. More subtle differences were seen in those gene associated with glycolysis. This category includes genes for not only the steps of glycolysis, but also several genes that mediate entry points of monosaccharides to glycolysis.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of</w:t>
      </w:r>
      <w:r>
        <w:t xml:space="preserve"> </w:t>
      </w:r>
      <w:r>
        <w:rPr>
          <w:i/>
        </w:rPr>
        <w:t xml:space="preserve">C. difficile</w:t>
      </w:r>
      <w:r>
        <w:t xml:space="preserve"> </w:t>
      </w:r>
      <w:r>
        <w:t xml:space="preserve">generated for this study (Table S2). In biological terms, BC reflects the amount of influence a given hub has on the overall flow of metabolism through the network</w:t>
      </w:r>
      <w:r>
        <w:rPr>
          <w:vertAlign w:val="superscript"/>
        </w:rPr>
        <w:t xml:space="preserve">39</w:t>
      </w:r>
      <w:r>
        <w:t xml:space="preserve"> </w:t>
      </w:r>
      <w:r>
        <w:t xml:space="preserve">and OCCI indicates those enzymes and substrates that are the most central components of the organism’s metabolism</w:t>
      </w:r>
      <w:r>
        <w:rPr>
          <w:vertAlign w:val="superscript"/>
        </w:rPr>
        <w:t xml:space="preserve">40</w:t>
      </w:r>
      <w:r>
        <w:t xml:space="preserve">. For both enzymes and substrates, the 18 of top 20 nodes with the highest BC values were 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then created a confidence interval of scores for each metabolite that would likely result from random noise</w:t>
      </w:r>
      <w:r>
        <w:rPr>
          <w:vertAlign w:val="superscript"/>
        </w:rPr>
        <w:t xml:space="preserve">41</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6a). The host derived amino sugar N-acetyl-D-glucosamine was found to be consistently important.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rPr>
          <w:vertAlign w:val="superscript"/>
        </w:rPr>
        <w:t xml:space="preserve">42–44</w:t>
      </w:r>
      <w:r>
        <w:t xml:space="preserve">. This indicated that these metabolites may be an integral component of the nutrient niche for</w:t>
      </w:r>
      <w:r>
        <w:t xml:space="preserve"> </w:t>
      </w:r>
      <w:r>
        <w:rPr>
          <w:i/>
        </w:rPr>
        <w:t xml:space="preserve">C. difficile</w:t>
      </w:r>
      <w:r>
        <w:t xml:space="preserve"> </w:t>
      </w:r>
      <w:r>
        <w:t xml:space="preserve">in any infection condition. Additionally, acetate was found to be important in all conditions, but was just below the significance cutoff in GF mice (Table S3). It has been shown that</w:t>
      </w:r>
      <w:r>
        <w:t xml:space="preserve"> </w:t>
      </w:r>
      <w:r>
        <w:rPr>
          <w:i/>
        </w:rPr>
        <w:t xml:space="preserve">C. difficile</w:t>
      </w:r>
      <w:r>
        <w:t xml:space="preserve"> </w:t>
      </w:r>
      <w:r>
        <w:t xml:space="preserve">metabolizes acetate for use in glycolysis</w:t>
      </w:r>
      <w:r>
        <w:rPr>
          <w:vertAlign w:val="superscript"/>
        </w:rPr>
        <w:t xml:space="preserve">45</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S4)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Each group of metabolites contained at least one known carbohydrate growth substrate of</w:t>
      </w:r>
      <w:r>
        <w:t xml:space="preserve"> </w:t>
      </w:r>
      <w:r>
        <w:rPr>
          <w:i/>
        </w:rPr>
        <w:t xml:space="preserve">C. difficile</w:t>
      </w:r>
      <w:r>
        <w:rPr>
          <w:vertAlign w:val="superscript"/>
        </w:rPr>
        <w:t xml:space="preserve">7,46</w:t>
      </w:r>
      <w:r>
        <w:t xml:space="preserve">. This included sorbitol, galacititol,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 numerous amino acids (, , , ,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Carbohydrates predicted to be important using network-based approach differentially support</w:t>
      </w:r>
      <w:r>
        <w:rPr>
          <w:b/>
        </w:rPr>
        <w:t xml:space="preserve"> </w:t>
      </w:r>
      <w:r>
        <w:rPr>
          <w:i/>
          <w:b/>
        </w:rPr>
        <w:t xml:space="preserve">C. difficile</w:t>
      </w:r>
      <w:r>
        <w:rPr>
          <w:b/>
        </w:rPr>
        <w:t xml:space="preserve"> </w:t>
      </w:r>
      <w:r>
        <w:rPr>
          <w:b/>
        </w:rPr>
        <w:t xml:space="preserve">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a modified defined</w:t>
      </w:r>
      <w:r>
        <w:t xml:space="preserve"> </w:t>
      </w:r>
      <w:r>
        <w:rPr>
          <w:i/>
        </w:rPr>
        <w:t xml:space="preserve">C. difficile</w:t>
      </w:r>
      <w:r>
        <w:t xml:space="preserve"> </w:t>
      </w:r>
      <w:r>
        <w:t xml:space="preserve">minimal media</w:t>
      </w:r>
      <w:r>
        <w:rPr>
          <w:vertAlign w:val="superscript"/>
        </w:rP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is auxotrophic for several amino acids, it was necessary to include amino acids in the minimal media despite the capability to achieve modest growth through Stickland fermentation of these substrates. This focused our analysis on carbohydtrates and made the most effective negative control growth in media lacking carbohydrates but containing amino acids (NC).</w:t>
      </w:r>
    </w:p>
    <w:p>
      <w:pPr>
        <w:pStyle w:val="BodyText"/>
      </w:pPr>
      <w:r>
        <w:t xml:space="preserve">N-acetyl-D-glucosamine was found to be important to</w:t>
      </w:r>
      <w:r>
        <w:t xml:space="preserve"> </w:t>
      </w:r>
      <w:r>
        <w:rPr>
          <w:i/>
        </w:rPr>
        <w:t xml:space="preserve">C. difficile</w:t>
      </w:r>
      <w:r>
        <w:t xml:space="preserve"> </w:t>
      </w:r>
      <w:r>
        <w:t xml:space="preserve">in each condition tested (Fig. 6a). When tested for improved growth, significantly more growth (Max OD</w:t>
      </w:r>
      <w:r>
        <w:rPr>
          <w:vertAlign w:val="subscript"/>
        </w:rPr>
        <w:t xml:space="preserve">600</w:t>
      </w:r>
      <w:r>
        <w:t xml:space="preserve"> </w:t>
      </w:r>
      <w:r>
        <w:t xml:space="preserve">= 0.774) was observed compared to NC controls (</w:t>
      </w:r>
      <w:r>
        <w:rPr>
          <w:i/>
        </w:rPr>
        <w:t xml:space="preserve">P</w:t>
      </w:r>
      <w:r>
        <w:t xml:space="preserve"> </w:t>
      </w:r>
      <w:r>
        <w:t xml:space="preserve">&lt;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Upon analysis of carbon sources identified as distinctly important across treatment groups, we found that at least one substrate from cefoperazone-treated, clindamycin-treated, and GF groups provided high levels of</w:t>
      </w:r>
      <w:r>
        <w:t xml:space="preserve"> </w:t>
      </w:r>
      <w:r>
        <w:rPr>
          <w:i/>
        </w:rPr>
        <w:t xml:space="preserve">C. difficile</w:t>
      </w:r>
      <w:r>
        <w:t xml:space="preserve"> </w:t>
      </w:r>
      <w:r>
        <w:t xml:space="preserve">growth relative to NC controls (</w:t>
      </w:r>
      <w:r>
        <w:rPr>
          <w:i/>
        </w:rPr>
        <w:t xml:space="preserve">P</w:t>
      </w:r>
      <w:r>
        <w:t xml:space="preserve"> </w:t>
      </w:r>
      <w:r>
        <w:t xml:space="preserve">&lt; 0.001). This included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Dinstinctly important from streptomycin-treated mice, D-sorbitol (streptomycin; Max OD</w:t>
      </w:r>
      <w:r>
        <w:rPr>
          <w:vertAlign w:val="subscript"/>
        </w:rPr>
        <w:t xml:space="preserve">600</w:t>
      </w:r>
      <w:r>
        <w:t xml:space="preserve"> </w:t>
      </w:r>
      <w:r>
        <w:t xml:space="preserve">= 0.202) and galactitol (streptomycin; Max OD</w:t>
      </w:r>
      <w:r>
        <w:rPr>
          <w:vertAlign w:val="subscript"/>
        </w:rPr>
        <w:t xml:space="preserve">600</w:t>
      </w:r>
      <w:r>
        <w:t xml:space="preserve"> </w:t>
      </w:r>
      <w:r>
        <w:t xml:space="preserve">= 0.211), significantly altered growth compared to NC controls (</w:t>
      </w:r>
      <w:r>
        <w:rPr>
          <w:i/>
        </w:rPr>
        <w:t xml:space="preserve">P</w:t>
      </w:r>
      <w:r>
        <w:t xml:space="preserve"> </w:t>
      </w:r>
      <w:r>
        <w:t xml:space="preserve">&lt; 0.001), however did not overall growth rate (Table S4). Maximum growth rate analysis for each carbohydrate also indicated potential hierarchy in carbohydrate preference (Table S4) which is as follows: N-acetyl-D-glucosamine (slope = 0.085), salicin (slope = 0.077), mannitol (slope = 0.044), N-acetylneuriminate (slope = 0.024), sorbitol (slope = 0.022), and finally galactitol (slope = 0.02). Although not a carbohydrate, we also tested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showed no improvement over NC controls (Fig. S5). These data suggested that</w:t>
      </w:r>
      <w:r>
        <w:t xml:space="preserve"> </w:t>
      </w:r>
      <w:r>
        <w:rPr>
          <w:i/>
        </w:rPr>
        <w:t xml:space="preserve">C. difficile</w:t>
      </w:r>
      <w:r>
        <w:t xml:space="preserve"> </w:t>
      </w:r>
      <w:r>
        <w:t xml:space="preserve">was well-suited to adapt its metabolism toward nutrient sources that were differentially available across susceptible mouse ceca.</w:t>
      </w:r>
    </w:p>
    <w:p>
      <w:pPr>
        <w:pStyle w:val="BodyText"/>
      </w:pPr>
      <w:r>
        <w:rPr>
          <w:b/>
        </w:rPr>
        <w:t xml:space="preserve">Metabolic networks accurately predict changes in corresponding</w:t>
      </w:r>
      <w:r>
        <w:rPr>
          <w:b/>
        </w:rPr>
        <w:t xml:space="preserve"> </w:t>
      </w:r>
      <w:r>
        <w:rPr>
          <w:i/>
          <w:b/>
        </w:rPr>
        <w:t xml:space="preserve">in vivo</w:t>
      </w:r>
      <w:r>
        <w:rPr>
          <w:b/>
        </w:rPr>
        <w:t xml:space="preserve"> </w:t>
      </w:r>
      <w:r>
        <w:rPr>
          <w:b/>
        </w:rPr>
        <w:t xml:space="preserve">concentrations</w:t>
      </w:r>
      <w:r>
        <w:t xml:space="preserve"> </w:t>
      </w:r>
      <w:r>
        <w:t xml:space="preserve">In order to validate results from transcriptomic and metabolic modeling analyses, we utilized untargeted mass-specrometry to measure the relative concentrations of metabolites highlighted by network-based importance scores.</w:t>
      </w:r>
    </w:p>
    <w:p>
      <w:pPr>
        <w:pStyle w:val="BodyText"/>
      </w:pPr>
      <w:r>
        <w:t xml:space="preserve">These preliminary conclusions are further supported by previous mass spectrometry-based efforts analyzing the metabolome from mouse intestinal content treated under similar conditions to those used in the current study. These investigations revealed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have also been demonstrated in streptomycin-treated conventional and GF mice</w:t>
      </w:r>
      <w:r>
        <w:rPr>
          <w:vertAlign w:val="superscript"/>
        </w:rPr>
        <w:t xml:space="preserve">10,47</w:t>
      </w:r>
      <w:r>
        <w:t xml:space="preserve">. Together these results provide evidence that our network-based approach accurately predicts which metabolites</w:t>
      </w:r>
      <w:r>
        <w:t xml:space="preserve"> </w:t>
      </w:r>
      <w:r>
        <w:rPr>
          <w:i/>
        </w:rPr>
        <w:t xml:space="preserve">C. difficile</w:t>
      </w:r>
      <w:r>
        <w:t xml:space="preserve"> </w:t>
      </w:r>
      <w:r>
        <w:t xml:space="preserve">adapts its metabolic strategy towards, most likely due to increases in availability.</w:t>
      </w:r>
    </w:p>
    <w:p>
      <w:pPr>
        <w:pStyle w:val="BodyText"/>
      </w:pPr>
      <w:r>
        <w:t xml:space="preserve">Some are used at all times no matter what</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and give insight to the adaptive strategies that</w:t>
      </w:r>
      <w:r>
        <w:t xml:space="preserve"> </w:t>
      </w:r>
      <w:r>
        <w:rPr>
          <w:i/>
        </w:rPr>
        <w:t xml:space="preserve">C. difficile</w:t>
      </w:r>
      <w:r>
        <w:t xml:space="preserve"> </w:t>
      </w:r>
      <w:r>
        <w:t xml:space="preserve">can use to colonize diverse human microbiota. All of our</w:t>
      </w:r>
      <w:r>
        <w:t xml:space="preserve"> </w:t>
      </w:r>
      <w:r>
        <w:rPr>
          <w:i/>
        </w:rPr>
        <w:t xml:space="preserve">in vivo</w:t>
      </w:r>
      <w:r>
        <w:t xml:space="preserve">,</w:t>
      </w:r>
      <w:r>
        <w:t xml:space="preserve"> </w:t>
      </w:r>
      <w:r>
        <w:rPr>
          <w:i/>
        </w:rPr>
        <w:t xml:space="preserve">in vitro</w:t>
      </w:r>
      <w:r>
        <w:t xml:space="preserve">, and</w:t>
      </w:r>
      <w:r>
        <w:t xml:space="preserve"> </w:t>
      </w:r>
      <w:r>
        <w:rPr>
          <w:i/>
        </w:rPr>
        <w:t xml:space="preserve">in silico</w:t>
      </w:r>
      <w:r>
        <w:t xml:space="preserve"> </w:t>
      </w:r>
      <w:r>
        <w:t xml:space="preserve">data demonstrate the plasticity of</w:t>
      </w:r>
      <w:r>
        <w:t xml:space="preserve"> </w:t>
      </w:r>
      <w:r>
        <w:rPr>
          <w:i/>
        </w:rPr>
        <w:t xml:space="preserve">C. difficile</w:t>
      </w:r>
      <w:r>
        <w:t xml:space="preserve"> </w:t>
      </w:r>
      <w:r>
        <w:t xml:space="preserve">to effectively change its metabolism to utilize alternative resources for growth. This may be the result of increased concentration of particular metabolites as a consequence of concordant decreases in the population of one or more competitors for those resources.</w:t>
      </w:r>
    </w:p>
    <w:p>
      <w:pPr>
        <w:pStyle w:val="BodyText"/>
      </w:pPr>
      <w:r>
        <w:t xml:space="preserve">Citations for absolute concentrations</w:t>
      </w:r>
    </w:p>
    <w:p>
      <w:pPr>
        <w:pStyle w:val="BodyText"/>
      </w:pPr>
      <w:r>
        <w:t xml:space="preserve">Glycine importance scores across treatments</w:t>
      </w:r>
      <w:r>
        <w:t xml:space="preserve"> </w:t>
      </w:r>
      <w:r>
        <w:t xml:space="preserve">cef -2.73 &lt;0.01</w:t>
      </w:r>
      <w:r>
        <w:t xml:space="preserve"> </w:t>
      </w:r>
      <w:r>
        <w:t xml:space="preserve">clinda -1.528 &lt;0.01</w:t>
      </w:r>
      <w:r>
        <w:t xml:space="preserve"> </w:t>
      </w:r>
      <w:r>
        <w:t xml:space="preserve">strep 0 &lt;0.01</w:t>
      </w:r>
      <w:r>
        <w:t xml:space="preserve"> </w:t>
      </w:r>
      <w:r>
        <w:t xml:space="preserve">gf 2.184 &lt;0.01</w:t>
      </w:r>
    </w:p>
    <w:p>
      <w:pPr>
        <w:pStyle w:val="BodyText"/>
      </w:pPr>
      <w:r>
        <w:t xml:space="preserve">calculate fold increse</w:t>
      </w:r>
    </w:p>
    <w:p>
      <w:pPr>
        <w:pStyle w:val="BodyText"/>
      </w:pPr>
      <w:r>
        <w:t xml:space="preserve">In addition to uncovering adaptive strategies of</w:t>
      </w:r>
      <w:r>
        <w:t xml:space="preserve"> </w:t>
      </w:r>
      <w:r>
        <w:rPr>
          <w:i/>
        </w:rPr>
        <w:t xml:space="preserve">C. difficile</w:t>
      </w:r>
      <w:r>
        <w:t xml:space="preserve">, our method is also able to identify consistent trends in metabolism across environments. The findings that N-acetyl-D-glucosamine and Stickland fermentations substrates were consistently among the highest scoring shared metabolite among all tested conditions strongly indicates that these metabolites are central to the nutritional strategy of</w:t>
      </w:r>
      <w:r>
        <w:t xml:space="preserve"> </w:t>
      </w:r>
      <w:r>
        <w:rPr>
          <w:i/>
        </w:rPr>
        <w:t xml:space="preserve">C. difficile</w:t>
      </w:r>
      <w:r>
        <w:t xml:space="preserve"> </w:t>
      </w:r>
      <w:r>
        <w:t xml:space="preserve">and may be utilized in and condition in which they are available. The metabolism of both substrate types provides not only carbon and energy to</w:t>
      </w:r>
      <w:r>
        <w:t xml:space="preserve"> </w:t>
      </w:r>
      <w:r>
        <w:rPr>
          <w:i/>
        </w:rPr>
        <w:t xml:space="preserve">C. difficile</w:t>
      </w:r>
      <w:r>
        <w:t xml:space="preserve">, but are also a source for nitrogen which is a limited resource in the mammalian lower GI tract</w:t>
      </w:r>
      <w:r>
        <w:rPr>
          <w:vertAlign w:val="superscript"/>
        </w:rPr>
        <w:t xml:space="preserve">48</w:t>
      </w:r>
      <w:r>
        <w:t xml:space="preserve">. Apart from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6a).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the appearance of CO</w:t>
      </w:r>
      <w:r>
        <w:rPr>
          <w:vertAlign w:val="subscript"/>
        </w:rPr>
        <w:t xml:space="preserve">2</w:t>
      </w:r>
      <w:r>
        <w:t xml:space="preserve"> </w:t>
      </w:r>
      <w:r>
        <w:t xml:space="preserve">in Fig. 6a</w:t>
      </w:r>
      <w:r>
        <w:rPr>
          <w:vertAlign w:val="superscript"/>
        </w:rPr>
        <w:t xml:space="preserve">49</w:t>
      </w:r>
      <w:r>
        <w:t xml:space="preserve">. This highlights that our method does not only identify growth substrates, but also reports any metabolites that are being removed from the environment.</w:t>
      </w:r>
    </w:p>
    <w:p>
      <w:pPr>
        <w:pStyle w:val="BodyText"/>
      </w:pPr>
      <w:r>
        <w:t xml:space="preserve">While our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rPr>
          <w:vertAlign w:val="superscript"/>
        </w:rPr>
        <w:t xml:space="preserve">50</w:t>
      </w:r>
      <w:r>
        <w:t xml:space="preserve">, however this does not completely eliminate the posibility for this type of error. Due to the topology of the metabolic network, we were also unable to integrate stoichiometry for each reaction which may effect rates of consumption or production. In addition to computational limitations, our network-based approach simplifies several aspects of bacterial metabolism. First, the importance algorithm operates under the assumption that all detectable transcript is translated to effector protein. While this is not completely accurate, since bacterial transcription and translation are physically coupled, we were comfortable using normalized levels of transcription to infer approximate amount of translation. Second, the metabolite importance scores do not account for the amount of each metabolite that is actually available.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future studies could employ metabolomic analysis to confirm the predictions made here.</w:t>
      </w:r>
    </w:p>
    <w:p>
      <w:pPr>
        <w:pStyle w:val="BodyText"/>
      </w:pPr>
      <w:r>
        <w:t xml:space="preserve">Colonization resistance is based on AAs, virulence is the result of carbohydrates carbs</w:t>
      </w:r>
    </w:p>
    <w:p>
      <w:pPr>
        <w:pStyle w:val="BodyText"/>
      </w:pPr>
      <w:r>
        <w:t xml:space="preserve">Some are used at all times no matter what</w:t>
      </w:r>
    </w:p>
    <w:p>
      <w:pPr>
        <w:pStyle w:val="BodyText"/>
      </w:pPr>
      <w:r>
        <w:t xml:space="preserve">Based on the evidence presented, our results support the hypothesis that</w:t>
      </w:r>
      <w:r>
        <w:t xml:space="preserve"> </w:t>
      </w:r>
      <w:r>
        <w:rPr>
          <w:i/>
        </w:rPr>
        <w:t xml:space="preserve">C. difficile</w:t>
      </w:r>
      <w:r>
        <w:t xml:space="preserve"> </w:t>
      </w:r>
      <w:r>
        <w:t xml:space="preserve">is a metabolic generalist and is able to catabolize alternative carbon sources across susceptible gut environments. This may be due to an inability to outcompete a collection of metabolic specialists in an intact community, and separate classes on antibiotics differentially eliminate these populations and allow for</w:t>
      </w:r>
      <w:r>
        <w:t xml:space="preserve"> </w:t>
      </w:r>
      <w:r>
        <w:rPr>
          <w:i/>
        </w:rPr>
        <w:t xml:space="preserve">C. difficile</w:t>
      </w:r>
      <w:r>
        <w:t xml:space="preserve"> </w:t>
      </w:r>
      <w:r>
        <w:t xml:space="preserve">colonization. This concept may also potentially explain the success rate of fecal microbial transplant (FMT), in that wholesale installation of a diverse range of specialized metabolic strategies is enough to outcompete</w:t>
      </w:r>
      <w:r>
        <w:t xml:space="preserve"> </w:t>
      </w:r>
      <w:r>
        <w:rPr>
          <w:i/>
        </w:rPr>
        <w:t xml:space="preserve">C. difficile</w:t>
      </w:r>
      <w:r>
        <w:t xml:space="preserve"> </w:t>
      </w:r>
      <w:r>
        <w:t xml:space="preserve">from the majority of perturbed gut environments. Furthermore, our metabolic network platform may also prove informative for generating hypotheses through reverse ecology that could ultimately lead to uncovering new interaction between species that ultimately impact host health</w:t>
      </w:r>
      <w:r>
        <w:rPr>
          <w:vertAlign w:val="superscript"/>
        </w:rPr>
        <w:t xml:space="preserve">51</w:t>
      </w:r>
      <w:r>
        <w:t xml:space="preserve">.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52</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rPr>
          <w:vertAlign w:val="superscript"/>
        </w:rPr>
        <w:t xml:space="preserve">53</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rPr>
          <w:vertAlign w:val="superscript"/>
        </w:rPr>
        <w:t xml:space="preserve">54</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rPr>
          <w:vertAlign w:val="superscript"/>
        </w:rPr>
        <w:t xml:space="preserve">55</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rPr>
          <w:vertAlign w:val="superscript"/>
        </w:rPr>
        <w:t xml:space="preserve">56</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rPr>
          <w:vertAlign w:val="superscript"/>
        </w:rPr>
        <w:t xml:space="preserve">56</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rPr>
          <w:vertAlign w:val="superscript"/>
        </w:rPr>
        <w:t xml:space="preserve">57</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rPr>
          <w:vertAlign w:val="superscript"/>
        </w:rPr>
        <w:t xml:space="preserve">58</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59</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60</w:t>
      </w:r>
      <w:r>
        <w:t xml:space="preserve">. Optical and PCR duplicates were then removed using Picard MarkDuplicates (</w:t>
      </w:r>
      <w:hyperlink r:id="rId27">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61</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8">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29">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was a superior approach to switch randomization since the connections of the network itself was created through natural selection and any large-scale alterations would yield biologically uninformative comparisons</w:t>
      </w:r>
      <w:r>
        <w:rPr>
          <w:vertAlign w:val="superscript"/>
        </w:rPr>
        <w:t xml:space="preserve">62</w:t>
      </w:r>
      <w:r>
        <w:t xml:space="preserve">. These calculations are also included within the standard bigSMALL workflow presented above and examples can be found in Fig. S6.</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All methods utilized a Waters ACQUITY ultra-performance liquid chromatography (UPLC) and a Thermo Scientific Q-Exactive high resolution/accurate mass spectrometer interfaced with a heated electrospray ionization (HESI-II) source and Orbitrap mass analyzer operated at 35,000 mass resolution. The sample extract was dried then reconstituted in solvents compatible to each of the four methods. Each reconstitution solvent contained a series of standards at fixed concentrations to ensure injection and chromatographic consistency. One aliquot was analyzed using acidic positive ion conditions, chromatographically optimized for more hydrophilic compounds. In this method, the extract was gradient eluted from a C18 column (Waters UPLC BEH C18-2.1x100 mm, 1.7 µm) using water and methanol, containing 0.05% perfluoropentanoic acid (PFPA) and 0.1% formic acid (FA). Another aliquot was also analyzed using acidic positive ion conditions, however it was chromatographically optimized for more hydrophobic compounds. In this method, the extract was gradient eluted from the same afore mentioned C18 column using methanol, acetonitrile, water, 0.05% PFPA and 0.01% FA and was operated at an overall higher organic content. Another aliquot was analyzed using basic negative ion optimized conditions using a separate dedicated C18 column. The basic extracts were gradient eluted from the column using methanol and water, however with 6.5mM Ammonium Bicarbonate at pH 8. The fourth aliquot was analyzed via negative ionization following elution from a HILIC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AUC.</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acetate concentration were determined by Wilcoxon rank-abundance test with Holm-Bonferroni correction. Significant differences for growth curves compared to no carbohydrate control (+ amino acids) were calculated using 2-way ANOVA with Holm-Bonferroni correction. Significance for metabolite importance scores was determined as described above. Wilcoxon rank-abundance test with Holm-Bonferroni correction was also used to calculate significant differences is relative metabolite concentrations from mass-spectrometry data.</w:t>
      </w:r>
    </w:p>
    <w:p>
      <w:pPr>
        <w:pStyle w:val="Heading3"/>
      </w:pPr>
      <w:bookmarkStart w:id="30" w:name="acknowledgements"/>
      <w:bookmarkEnd w:id="30"/>
      <w:r>
        <w:t xml:space="preserve">Acknowledgements</w:t>
      </w:r>
    </w:p>
    <w:p>
      <w:pPr>
        <w:pStyle w:val="FirstParagraph"/>
      </w:pPr>
      <w:r>
        <w:t xml:space="preserve">The authors would like to acknowledge Charles Kompouras</w:t>
      </w:r>
    </w:p>
    <w:p>
      <w:pPr>
        <w:pStyle w:val="BodyText"/>
      </w:pPr>
      <w:r>
        <w:t xml:space="preserve">We would also like to acknowledge members of the University of Michigan Germfree Mouse Center, University of Michigan Sequencing Core, and Metabolon for their assistance in experimental design, execution, and data collection. 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1">
        <w:r>
          <w:rPr>
            <w:rStyle w:val="Hyperlink"/>
          </w:rPr>
          <w:t xml:space="preserve">http://www.github.com/SchlossLab/Jenior_Modeling_NatMicro_2016</w:t>
        </w:r>
      </w:hyperlink>
      <w:r>
        <w:t xml:space="preserve">.</w:t>
      </w:r>
    </w:p>
    <w:p>
      <w:pPr>
        <w:pStyle w:val="Heading3"/>
      </w:pPr>
      <w:bookmarkStart w:id="32" w:name="author-information"/>
      <w:bookmarkEnd w:id="32"/>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3">
        <w:r>
          <w:rPr>
            <w:rStyle w:val="Hyperlink"/>
          </w:rPr>
          <w:t xml:space="preserve">Patrick D. Schloss</w:t>
        </w:r>
      </w:hyperlink>
    </w:p>
    <w:p>
      <w:pPr>
        <w:pStyle w:val="Heading3"/>
      </w:pPr>
      <w:bookmarkStart w:id="34" w:name="figure-legends"/>
      <w:bookmarkEnd w:id="34"/>
      <w:r>
        <w:t xml:space="preserve">Figure Legends</w:t>
      </w:r>
    </w:p>
    <w:p>
      <w:pPr>
        <w:pStyle w:val="FirstParagraph"/>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Median values are shown for each group with significant differences calculated using Wilcoxon rank-sum test with the Holm-Bonferroni correction. Dotted lines denote the limit of detection for both assays, and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 Gene groups from are shown individually below without abundance information for ease of comparison. Genes included in each group with normalized transcript abundances can be found in Table S1, and refer to Fig. S3 for additional explanation of figure interpretation.</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were calculated using 2-Way ANOVA with Holm-Bonferroni correction.</w:t>
      </w:r>
    </w:p>
    <w:p>
      <w:pPr>
        <w:pStyle w:val="BodyText"/>
      </w:pPr>
      <w:r>
        <w:rPr>
          <w:b/>
        </w:rPr>
        <w:t xml:space="preserve">Figure 7 | Relative</w:t>
      </w:r>
      <w:r>
        <w:rPr>
          <w:b/>
        </w:rPr>
        <w:t xml:space="preserve"> </w:t>
      </w:r>
      <w:r>
        <w:rPr>
          <w:i/>
          <w:b/>
        </w:rPr>
        <w:t xml:space="preserve">in vivo</w:t>
      </w:r>
      <w:r>
        <w:rPr>
          <w:b/>
        </w:rPr>
        <w:t xml:space="preserve"> </w:t>
      </w:r>
      <w:r>
        <w:rPr>
          <w:b/>
        </w:rPr>
        <w:t xml:space="preserve">concentrations of importance metabolites from network-based analysis</w:t>
      </w:r>
      <w:r>
        <w:t xml:space="preserve"> </w:t>
      </w:r>
      <w:r>
        <w:t xml:space="preserve">Mass-spectrometry (UPLC-MS) quantification of select metabolites in cecal content from</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Mass-to-charge ratios were normalized between runs</w:t>
      </w:r>
    </w:p>
    <w:p>
      <w:pPr>
        <w:pStyle w:val="BodyText"/>
      </w:pPr>
      <w:r>
        <w:rPr>
          <w:b/>
        </w:rPr>
        <w:t xml:space="preserve">(A)</w:t>
      </w:r>
      <w:r>
        <w:t xml:space="preserve"> </w:t>
      </w:r>
      <w:r>
        <w:t xml:space="preserve">N−Acetylglucosamine / N−Acetylgalactosamine. All experimental groups demonstrated a significant decrease compared to resistance mice</w:t>
      </w:r>
      <w:r>
        <w:t xml:space="preserve"> </w:t>
      </w:r>
      <w:r>
        <w:rPr>
          <w:b/>
        </w:rPr>
        <w:t xml:space="preserve">(B)</w:t>
      </w:r>
      <w:r>
        <w:t xml:space="preserve"> </w:t>
      </w:r>
      <w:r>
        <w:t xml:space="preserve">Galactitol.</w:t>
      </w:r>
      <w:r>
        <w:t xml:space="preserve"> </w:t>
      </w:r>
      <w:r>
        <w:rPr>
          <w:b/>
        </w:rPr>
        <w:t xml:space="preserve">(C)</w:t>
      </w:r>
      <w:r>
        <w:t xml:space="preserve"> </w:t>
      </w:r>
      <w:r>
        <w:t xml:space="preserve">Mannitol / Sorbitol.</w:t>
      </w:r>
      <w:r>
        <w:t xml:space="preserve"> </w:t>
      </w:r>
      <w:r>
        <w:rPr>
          <w:b/>
        </w:rPr>
        <w:t xml:space="preserve">(D)</w:t>
      </w:r>
      <w:r>
        <w:t xml:space="preserve"> </w:t>
      </w:r>
      <w:r>
        <w:t xml:space="preserve">Salicylate.</w:t>
      </w:r>
      <w:r>
        <w:t xml:space="preserve"> </w:t>
      </w:r>
      <w:r>
        <w:rPr>
          <w:b/>
        </w:rPr>
        <w:t xml:space="preserve">(E)</w:t>
      </w:r>
      <w:r>
        <w:t xml:space="preserve"> </w:t>
      </w:r>
      <w:r>
        <w:t xml:space="preserve">N−Acetylneuriminate.</w:t>
      </w:r>
      <w:r>
        <w:t xml:space="preserve"> </w:t>
      </w:r>
      <w:r>
        <w:rPr>
          <w:b/>
        </w:rPr>
        <w:t xml:space="preserve">(F)</w:t>
      </w:r>
      <w:r>
        <w:t xml:space="preserve"> </w:t>
      </w:r>
      <w:r>
        <w:t xml:space="preserve">Proline.</w:t>
      </w:r>
      <w:r>
        <w:t xml:space="preserve"> </w:t>
      </w:r>
      <w:r>
        <w:rPr>
          <w:b/>
        </w:rPr>
        <w:t xml:space="preserve">(G)</w:t>
      </w:r>
      <w:r>
        <w:t xml:space="preserve"> </w:t>
      </w:r>
      <w:r>
        <w:t xml:space="preserve">Glycine.</w:t>
      </w:r>
    </w:p>
    <w:p>
      <w:pPr>
        <w:pStyle w:val="BodyText"/>
      </w:pPr>
      <w:r>
        <w:t xml:space="preserve">Significant differences (</w:t>
      </w:r>
      <w:r>
        <w:rPr>
          <w:i/>
        </w:rPr>
        <w:t xml:space="preserve">P</w:t>
      </w:r>
      <w:r>
        <w:t xml:space="preserve"> </w:t>
      </w:r>
      <w:r>
        <w:t xml:space="preserve">&lt; 0.05) between experimental, susceptible groups and resistant SPF mice are denoted by a single asterisk (*) and were determined using Wilcoxon rank-abundance test with Holm-Bonferroni correction.</w:t>
      </w:r>
    </w:p>
    <w:p>
      <w:pPr>
        <w:pStyle w:val="BodyText"/>
      </w:pPr>
      <w:r>
        <w:rPr>
          <w:b/>
        </w:rPr>
        <w:t xml:space="preserve">Supplementary Figure 1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p>
    <w:p>
      <w:pPr>
        <w:pStyle w:val="BodyText"/>
      </w:pPr>
      <w:r>
        <w:rPr>
          <w:b/>
        </w:rPr>
        <w:t xml:space="preserve">Supplementary Figure 2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3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4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5 | Additional growth curves for additional carbon sources and controls.</w:t>
      </w:r>
      <w:r>
        <w:t xml:space="preserve"> </w:t>
      </w:r>
      <w:r>
        <w:t xml:space="preserve">Significant metabolites from network analysis that did not provide improved growth over no carbohydrate (+ amino acids)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Figure 6 | Example Mont-Carlo simulation results for a single metabolite.</w:t>
      </w:r>
      <w:r>
        <w:t xml:space="preserve"> </w:t>
      </w:r>
      <w:r>
        <w:t xml:space="preserve">Shown here are the distributions resulting from 10000-fold Monte-Carlo simulation of transcript randomization for enzymes interacting with select metabolites. These scores were derived from transcriptome of</w:t>
      </w:r>
      <w:r>
        <w:t xml:space="preserve"> </w:t>
      </w:r>
      <w:r>
        <w:rPr>
          <w:i/>
        </w:rPr>
        <w:t xml:space="preserve">C. difficile</w:t>
      </w:r>
      <w:r>
        <w:t xml:space="preserve"> </w:t>
      </w:r>
      <w:r>
        <w:t xml:space="preserve">colonizing streptomycin-treated mice. The black solid line represents the median of the distribution, the red dotted lines denote the 95% confidence interval, and the blue arrow indicates the actual measured score for each metabolite.</w:t>
      </w:r>
      <w:r>
        <w:t xml:space="preserve"> </w:t>
      </w:r>
      <w:r>
        <w:rPr>
          <w:b/>
        </w:rPr>
        <w:t xml:space="preserve">(A)</w:t>
      </w:r>
      <w:r>
        <w:t xml:space="preserve"> </w:t>
      </w:r>
      <w:r>
        <w:t xml:space="preserve">Starch (Importance score = 5.492,</w:t>
      </w:r>
      <w:r>
        <w:t xml:space="preserve"> </w:t>
      </w:r>
      <w:r>
        <w:rPr>
          <w:i/>
        </w:rPr>
        <w:t xml:space="preserve">P</w:t>
      </w:r>
      <w:r>
        <w:t xml:space="preserve"> </w:t>
      </w:r>
      <w:r>
        <w:t xml:space="preserve">&lt; 0.01).</w:t>
      </w:r>
      <w:r>
        <w:t xml:space="preserve"> </w:t>
      </w:r>
      <w:r>
        <w:rPr>
          <w:b/>
        </w:rPr>
        <w:t xml:space="preserve">(B)</w:t>
      </w:r>
      <w:r>
        <w:t xml:space="preserve"> </w:t>
      </w:r>
      <w:r>
        <w:t xml:space="preserve">D-Glyceraldehyde 3-phosphate (Importance score = -4.139,</w:t>
      </w:r>
      <w:r>
        <w:t xml:space="preserve"> </w:t>
      </w:r>
      <w:r>
        <w:rPr>
          <w:i/>
        </w:rPr>
        <w:t xml:space="preserve">P</w:t>
      </w:r>
      <w:r>
        <w:t xml:space="preserve"> </w:t>
      </w:r>
      <w:r>
        <w:t xml:space="preserve">= n.s.).</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5" w:name="references"/>
      <w:bookmarkEnd w:id="35"/>
      <w:r>
        <w:t xml:space="preserve">References</w:t>
      </w:r>
    </w:p>
    <w:p>
      <w:pPr>
        <w:pStyle w:val="Bibliography"/>
      </w:pPr>
      <w:r>
        <w:t xml:space="preserve">1. Lessa, F. C., Gould, C. V. &amp; McDonald, L. C. Current status of</w:t>
      </w:r>
      <w:r>
        <w:t xml:space="preserve"> </w:t>
      </w:r>
      <w:r>
        <w:rPr>
          <w:i/>
        </w:rPr>
        <w:t xml:space="preserve">Clostridium difficile</w:t>
      </w:r>
      <w:r>
        <w:t xml:space="preserve"> </w:t>
      </w:r>
      <w:r>
        <w:t xml:space="preserve">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w:t>
      </w:r>
      <w:r>
        <w:t xml:space="preserve"> </w:t>
      </w:r>
      <w:r>
        <w:rPr>
          <w:i/>
        </w:rPr>
        <w:t xml:space="preserve">Clostridium difficile</w:t>
      </w:r>
      <w:r>
        <w:t xml:space="preserve"> </w:t>
      </w:r>
      <w:r>
        <w:t xml:space="preserve">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w:t>
      </w:r>
      <w:r>
        <w:t xml:space="preserve"> </w:t>
      </w:r>
      <w:r>
        <w:rPr>
          <w:i/>
        </w:rPr>
        <w:t xml:space="preserve">Clostridium difficile</w:t>
      </w:r>
      <w:r>
        <w:t xml:space="preserve"> </w:t>
      </w:r>
      <w:r>
        <w:t xml:space="preserve">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w:t>
      </w:r>
      <w:r>
        <w:t xml:space="preserve"> </w:t>
      </w:r>
      <w:r>
        <w:rPr>
          <w:i/>
        </w:rPr>
        <w:t xml:space="preserve">Clostridium difficile</w:t>
      </w:r>
      <w:r>
        <w:t xml:space="preserv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w:t>
      </w:r>
      <w:r>
        <w:t xml:space="preserve"> </w:t>
      </w:r>
      <w:r>
        <w:rPr>
          <w:i/>
        </w:rPr>
        <w:t xml:space="preserve">Clostridium difficile</w:t>
      </w:r>
      <w:r>
        <w:t xml:space="preserve"> </w:t>
      </w:r>
      <w:r>
        <w:t xml:space="preserve">infection. (2014). doi:</w:t>
      </w:r>
      <w:hyperlink r:id="rId36">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w:t>
      </w:r>
      <w:r>
        <w:t xml:space="preserve"> </w:t>
      </w:r>
      <w:r>
        <w:rPr>
          <w:i/>
        </w:rPr>
        <w:t xml:space="preserve">Clostridium difficile</w:t>
      </w:r>
      <w:r>
        <w:t xml:space="preserv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w:t>
      </w:r>
      <w:r>
        <w:t xml:space="preserve"> </w:t>
      </w:r>
      <w:r>
        <w:rPr>
          <w:i/>
        </w:rPr>
        <w:t xml:space="preserve">Clostridium difficile</w:t>
      </w:r>
      <w:r>
        <w:t xml:space="preserve"> </w:t>
      </w:r>
      <w:r>
        <w:t xml:space="preserve">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w:t>
      </w:r>
      <w:r>
        <w:t xml:space="preserve"> </w:t>
      </w:r>
      <w:r>
        <w:rPr>
          <w:i/>
        </w:rPr>
        <w:t xml:space="preserve">Clostridium difficile</w:t>
      </w:r>
      <w:r>
        <w:t xml:space="preserve"> </w:t>
      </w:r>
      <w:r>
        <w:t xml:space="preserve">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w:t>
      </w:r>
      <w:r>
        <w:t xml:space="preserve"> </w:t>
      </w:r>
      <w:r>
        <w:rPr>
          <w:i/>
        </w:rPr>
        <w:t xml:space="preserve">Clostridium difficile</w:t>
      </w:r>
      <w:r>
        <w:t xml:space="preserve"> </w:t>
      </w:r>
      <w:r>
        <w:t xml:space="preserve">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w:t>
      </w:r>
      <w:r>
        <w:t xml:space="preserve"> </w:t>
      </w:r>
      <w:r>
        <w:rPr>
          <w:i/>
        </w:rPr>
        <w:t xml:space="preserve">Clostridium difficile</w:t>
      </w:r>
      <w:r>
        <w:t xml:space="preserve"> </w:t>
      </w:r>
      <w:r>
        <w:t xml:space="preserve">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w:t>
      </w:r>
      <w:r>
        <w:t xml:space="preserve"> </w:t>
      </w:r>
      <w:r>
        <w:rPr>
          <w:i/>
        </w:rPr>
        <w:t xml:space="preserve">Clostridium difficile</w:t>
      </w:r>
      <w:r>
        <w:t xml:space="preserv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w:t>
      </w:r>
      <w:r>
        <w:t xml:space="preserve"> </w:t>
      </w:r>
      <w:r>
        <w:rPr>
          <w:i/>
        </w:rPr>
        <w:t xml:space="preserve">Clostridium difficile</w:t>
      </w:r>
      <w:r>
        <w:t xml:space="preserve"> </w:t>
      </w:r>
      <w:r>
        <w:t xml:space="preserve">630 Delta-erm and concomitant fermentation product and toxin formation.</w:t>
      </w:r>
      <w:r>
        <w:t xml:space="preserve"> </w:t>
      </w:r>
      <w:r>
        <w:rPr>
          <w:i/>
        </w:rPr>
        <w:t xml:space="preserve">BMC Microbiology</w:t>
      </w:r>
      <w:r>
        <w:t xml:space="preserve"> </w:t>
      </w:r>
      <w:r>
        <w:t xml:space="preserve">281 (2015). doi:</w:t>
      </w:r>
      <w:hyperlink r:id="rId37">
        <w:r>
          <w:rPr>
            <w:rStyle w:val="Hyperlink"/>
          </w:rPr>
          <w:t xml:space="preserve">10.1186/s12866-015-0614-2</w:t>
        </w:r>
      </w:hyperlink>
    </w:p>
    <w:p>
      <w:pPr>
        <w:pStyle w:val="Bibliography"/>
      </w:pPr>
      <w:r>
        <w:t xml:space="preserve">19. Nawrocki, K. L., Edwards, A. N., Daou, N., Bouillaut, L. &amp; McBride, S. M. CodY-dependent regulation of sporulation in</w:t>
      </w:r>
      <w:r>
        <w:t xml:space="preserve"> </w:t>
      </w:r>
      <w:r>
        <w:rPr>
          <w:i/>
        </w:rPr>
        <w:t xml:space="preserve">Clostridium difficile</w:t>
      </w:r>
      <w:r>
        <w:t xml:space="preserv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w:t>
      </w:r>
      <w:r>
        <w:t xml:space="preserve"> </w:t>
      </w:r>
      <w:r>
        <w:rPr>
          <w:i/>
        </w:rPr>
        <w:t xml:space="preserve">Clostridium difficile</w:t>
      </w:r>
      <w:r>
        <w:t xml:space="preserv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w:t>
      </w:r>
      <w:r>
        <w:t xml:space="preserve"> </w:t>
      </w:r>
      <w:r>
        <w:rPr>
          <w:i/>
        </w:rPr>
        <w:t xml:space="preserve">Clostridium difficile</w:t>
      </w:r>
      <w:r>
        <w:t xml:space="preserv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w:t>
      </w:r>
      <w:r>
        <w:t xml:space="preserve"> </w:t>
      </w:r>
      <w:r>
        <w:rPr>
          <w:i/>
        </w:rPr>
        <w:t xml:space="preserve">Clostridium difficile</w:t>
      </w:r>
      <w:r>
        <w:t xml:space="preserve"> </w:t>
      </w:r>
      <w:r>
        <w:t xml:space="preserve">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w:t>
      </w:r>
      <w:r>
        <w:t xml:space="preserve"> </w:t>
      </w:r>
      <w:r>
        <w:rPr>
          <w:i/>
        </w:rPr>
        <w:t xml:space="preserve">Clostridium difficile</w:t>
      </w:r>
      <w:r>
        <w:t xml:space="preserve"> </w:t>
      </w:r>
      <w:r>
        <w:t xml:space="preserve">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w:t>
      </w:r>
      <w:r>
        <w:t xml:space="preserve"> </w:t>
      </w:r>
      <w:r>
        <w:rPr>
          <w:i/>
        </w:rPr>
        <w:t xml:space="preserve">Clostridium difficile</w:t>
      </w:r>
      <w:r>
        <w:t xml:space="preserve"> </w:t>
      </w:r>
      <w:r>
        <w:t xml:space="preserve">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w:t>
      </w:r>
      <w:r>
        <w:t xml:space="preserve"> </w:t>
      </w:r>
      <w:r>
        <w:rPr>
          <w:i/>
        </w:rPr>
        <w:t xml:space="preserve">Clostridium difficile</w:t>
      </w:r>
      <w:r>
        <w:t xml:space="preserve"> </w:t>
      </w:r>
      <w:r>
        <w:t xml:space="preserve">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w:t>
      </w:r>
      <w:r>
        <w:t xml:space="preserve"> </w:t>
      </w:r>
      <w:r>
        <w:rPr>
          <w:i/>
        </w:rPr>
        <w:t xml:space="preserve">Clostridium difficile</w:t>
      </w:r>
      <w:r>
        <w:t xml:space="preserve"> </w:t>
      </w:r>
      <w:r>
        <w:t xml:space="preserve">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w:t>
      </w:r>
      <w:r>
        <w:t xml:space="preserve"> </w:t>
      </w:r>
      <w:r>
        <w:rPr>
          <w:i/>
        </w:rPr>
        <w:t xml:space="preserve">Clostridium difficile</w:t>
      </w:r>
      <w:r>
        <w:t xml:space="preserv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w:t>
      </w:r>
      <w:r>
        <w:t xml:space="preserve"> </w:t>
      </w:r>
      <w:r>
        <w:rPr>
          <w:i/>
        </w:rPr>
        <w:t xml:space="preserve">Clostridium difficile</w:t>
      </w:r>
      <w:r>
        <w:t xml:space="preserv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w:t>
      </w:r>
      <w:r>
        <w:t xml:space="preserve"> </w:t>
      </w:r>
      <w:r>
        <w:rPr>
          <w:i/>
        </w:rPr>
        <w:t xml:space="preserve">Bacillus subtilis</w:t>
      </w:r>
      <w:r>
        <w:t xml:space="preserve">.</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w:t>
      </w:r>
      <w:r>
        <w:t xml:space="preserve"> </w:t>
      </w:r>
      <w:r>
        <w:rPr>
          <w:i/>
        </w:rPr>
        <w:t xml:space="preserve">Clostridium difficile</w:t>
      </w:r>
      <w:r>
        <w:t xml:space="preserv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w:t>
      </w:r>
      <w:r>
        <w:t xml:space="preserve"> </w:t>
      </w:r>
      <w:r>
        <w:rPr>
          <w:i/>
        </w:rPr>
        <w:t xml:space="preserve">Clostridium difficile</w:t>
      </w:r>
      <w:r>
        <w:t xml:space="preserve"> </w:t>
      </w:r>
      <w:r>
        <w:t xml:space="preserve">spores lacking either SpoVAC or DPA Synthetase.</w:t>
      </w:r>
      <w:r>
        <w:t xml:space="preserve"> </w:t>
      </w:r>
      <w:r>
        <w:rPr>
          <w:i/>
        </w:rPr>
        <w:t xml:space="preserve">Journal of Bacteriology</w:t>
      </w:r>
      <w:r>
        <w:t xml:space="preserve"> </w:t>
      </w:r>
      <w:r>
        <w:t xml:space="preserve">JB.00986–15 (2016). doi:</w:t>
      </w:r>
      <w:hyperlink r:id="rId38">
        <w:r>
          <w:rPr>
            <w:rStyle w:val="Hyperlink"/>
          </w:rPr>
          <w:t xml:space="preserve">10.1128/JB.00986-15</w:t>
        </w:r>
      </w:hyperlink>
    </w:p>
    <w:p>
      <w:pPr>
        <w:pStyle w:val="Bibliography"/>
      </w:pPr>
      <w:r>
        <w:t xml:space="preserve">37. Dineen, S. S., Villapakkam, A. C., Nordman, J. T. &amp; Sonenshein, A. L. Repression of</w:t>
      </w:r>
      <w:r>
        <w:t xml:space="preserve"> </w:t>
      </w:r>
      <w:r>
        <w:rPr>
          <w:i/>
        </w:rPr>
        <w:t xml:space="preserve">Clostridium difficile</w:t>
      </w:r>
      <w:r>
        <w:t xml:space="preserve"> </w:t>
      </w:r>
      <w:r>
        <w:t xml:space="preserve">toxin gene expression by CodY.</w:t>
      </w:r>
      <w:r>
        <w:t xml:space="preserve"> </w:t>
      </w:r>
      <w:r>
        <w:rPr>
          <w:i/>
        </w:rPr>
        <w:t xml:space="preserve">Molecular Microbiology</w:t>
      </w:r>
      <w:r>
        <w:t xml:space="preserve"> </w:t>
      </w:r>
      <w:r>
        <w:rPr>
          <w:b/>
        </w:rPr>
        <w:t xml:space="preserve">66,</w:t>
      </w:r>
      <w:r>
        <w:t xml:space="preserve"> </w:t>
      </w:r>
      <w:r>
        <w:t xml:space="preserve">206–219 (2007).</w:t>
      </w:r>
    </w:p>
    <w:p>
      <w:pPr>
        <w:pStyle w:val="Bibliography"/>
      </w:pPr>
      <w:r>
        <w:t xml:space="preserve">38. Martin-Verstraete, I., Peltier, J. &amp; Dupuy, B. The regulatory networks that control</w:t>
      </w:r>
      <w:r>
        <w:t xml:space="preserve"> </w:t>
      </w:r>
      <w:r>
        <w:rPr>
          <w:i/>
        </w:rPr>
        <w:t xml:space="preserve">Clostridium difficile</w:t>
      </w:r>
      <w:r>
        <w:t xml:space="preserve"> </w:t>
      </w:r>
      <w:r>
        <w:t xml:space="preserve">toxin synthesis.</w:t>
      </w:r>
      <w:r>
        <w:t xml:space="preserve"> </w:t>
      </w:r>
      <w:r>
        <w:rPr>
          <w:b/>
        </w:rPr>
        <w:t xml:space="preserve">8,</w:t>
      </w:r>
      <w:r>
        <w:t xml:space="preserve"> </w:t>
      </w:r>
      <w:r>
        <w:t xml:space="preserve">(2016).</w:t>
      </w:r>
    </w:p>
    <w:p>
      <w:pPr>
        <w:pStyle w:val="Bibliography"/>
      </w:pPr>
      <w:r>
        <w:t xml:space="preserve">39.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40.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41.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42. Aboulnaga, E. H.</w:t>
      </w:r>
      <w:r>
        <w:t xml:space="preserve"> </w:t>
      </w:r>
      <w:r>
        <w:rPr>
          <w:i/>
        </w:rPr>
        <w:t xml:space="preserve">et al.</w:t>
      </w:r>
      <w:r>
        <w:t xml:space="preserve"> </w:t>
      </w:r>
      <w:r>
        <w:t xml:space="preserve">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43. Fonknechten, N.</w:t>
      </w:r>
      <w:r>
        <w:t xml:space="preserve"> </w:t>
      </w:r>
      <w:r>
        <w:rPr>
          <w:i/>
        </w:rPr>
        <w:t xml:space="preserve">et al.</w:t>
      </w:r>
      <w:r>
        <w:t xml:space="preserve"> </w:t>
      </w:r>
      <w:r>
        <w:rPr>
          <w:i/>
        </w:rPr>
        <w:t xml:space="preserve">Clostridium sticklandii</w:t>
      </w:r>
      <w:r>
        <w:t xml:space="preserve">,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44. Jackson, S., Calos, M., Myers, A. &amp; Self, W. T. Analysis of proline reduction in the nosocomial pathogen</w:t>
      </w:r>
      <w:r>
        <w:t xml:space="preserve"> </w:t>
      </w:r>
      <w:r>
        <w:rPr>
          <w:i/>
        </w:rPr>
        <w:t xml:space="preserve">Clostridium difficile</w:t>
      </w:r>
      <w:r>
        <w:t xml:space="preserv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45. Karlsson, S., Burman, L. G. &amp; Åkerlund, T. Induction of toxins in</w:t>
      </w:r>
      <w:r>
        <w:t xml:space="preserve"> </w:t>
      </w:r>
      <w:r>
        <w:rPr>
          <w:i/>
        </w:rPr>
        <w:t xml:space="preserve">Clostridium difficile</w:t>
      </w:r>
      <w:r>
        <w:t xml:space="preserve"> </w:t>
      </w:r>
      <w:r>
        <w:t xml:space="preserve">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46.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47.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48.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49. Köpke, M., Straub, M. &amp; Dürre, P.</w:t>
      </w:r>
      <w:r>
        <w:t xml:space="preserve"> </w:t>
      </w:r>
      <w:r>
        <w:rPr>
          <w:i/>
        </w:rPr>
        <w:t xml:space="preserve">Clostridium difficile</w:t>
      </w:r>
      <w:r>
        <w:t xml:space="preserve"> </w:t>
      </w:r>
      <w:r>
        <w:t xml:space="preserve">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50.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51. Levy, R. &amp; Borenstein, E. Reverse Ecology: from systems to environments and back.</w:t>
      </w:r>
      <w:r>
        <w:t xml:space="preserve"> </w:t>
      </w:r>
      <w:r>
        <w:rPr>
          <w:i/>
        </w:rPr>
        <w:t xml:space="preserve">Advances in experimental medicine and biology</w:t>
      </w:r>
      <w:r>
        <w:t xml:space="preserve"> </w:t>
      </w:r>
      <w:r>
        <w:rPr>
          <w:b/>
        </w:rPr>
        <w:t xml:space="preserve">751,</w:t>
      </w:r>
      <w:r>
        <w:t xml:space="preserve"> </w:t>
      </w:r>
      <w:r>
        <w:t xml:space="preserve">329–345 (2012).</w:t>
      </w:r>
    </w:p>
    <w:p>
      <w:pPr>
        <w:pStyle w:val="Bibliography"/>
      </w:pPr>
      <w:r>
        <w:t xml:space="preserve">52. Theriot, C. M.</w:t>
      </w:r>
      <w:r>
        <w:t xml:space="preserve"> </w:t>
      </w:r>
      <w:r>
        <w:rPr>
          <w:i/>
        </w:rPr>
        <w:t xml:space="preserve">et al.</w:t>
      </w:r>
      <w:r>
        <w:t xml:space="preserve"> </w:t>
      </w:r>
      <w:r>
        <w:t xml:space="preserve">Cefoperazone-treated mice as an experimental platform to assess differential virulence of</w:t>
      </w:r>
      <w:r>
        <w:t xml:space="preserve"> </w:t>
      </w:r>
      <w:r>
        <w:rPr>
          <w:i/>
        </w:rPr>
        <w:t xml:space="preserve">Clostridium difficile</w:t>
      </w:r>
      <w:r>
        <w:t xml:space="preserve"> </w:t>
      </w:r>
      <w:r>
        <w:t xml:space="preserve">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53. Wilson, K. H., Kennedy, M. J. &amp; Fekety, F. R. Use of sodium taurocholate to enhance spore recovery on a medium selective for</w:t>
      </w:r>
      <w:r>
        <w:t xml:space="preserve"> </w:t>
      </w:r>
      <w:r>
        <w:rPr>
          <w:i/>
        </w:rPr>
        <w:t xml:space="preserve">Clostridium difficile</w:t>
      </w:r>
      <w:r>
        <w:t xml:space="preserv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54. Sorg, J. a. &amp; Sonenshein, A. L. Inhibiting the initiation of</w:t>
      </w:r>
      <w:r>
        <w:t xml:space="preserve"> </w:t>
      </w:r>
      <w:r>
        <w:rPr>
          <w:i/>
        </w:rPr>
        <w:t xml:space="preserve">Clostridium difficile</w:t>
      </w:r>
      <w:r>
        <w:t xml:space="preserve"> </w:t>
      </w:r>
      <w:r>
        <w:t xml:space="preserve">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55. Leslie, J. L.</w:t>
      </w:r>
      <w:r>
        <w:t xml:space="preserve"> </w:t>
      </w:r>
      <w:r>
        <w:rPr>
          <w:i/>
        </w:rPr>
        <w:t xml:space="preserve">et al.</w:t>
      </w:r>
      <w:r>
        <w:t xml:space="preserve"> </w:t>
      </w:r>
      <w:r>
        <w:t xml:space="preserve">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56. Kozich, J. (. of M. &amp; Schloss, P. 16S Sequencing with the Illumina MiSeq Personal Sequencer.</w:t>
      </w:r>
      <w:r>
        <w:t xml:space="preserve"> </w:t>
      </w:r>
      <w:r>
        <w:rPr>
          <w:i/>
        </w:rPr>
        <w:t xml:space="preserve">University of Michigan Health System SOP</w:t>
      </w:r>
      <w:r>
        <w:t xml:space="preserve"> </w:t>
      </w:r>
      <w:r>
        <w:rPr>
          <w:b/>
        </w:rPr>
        <w:t xml:space="preserve">3.1,</w:t>
      </w:r>
      <w:r>
        <w:t xml:space="preserve"> </w:t>
      </w:r>
      <w:r>
        <w:t xml:space="preserve">1–16 (2013).</w:t>
      </w:r>
    </w:p>
    <w:p>
      <w:pPr>
        <w:pStyle w:val="Bibliography"/>
      </w:pPr>
      <w:r>
        <w:t xml:space="preserve">57. Wang, Q., Garrity, G. M., Tiedje, J. M. &amp; Cole, J. R. Naive Bayesian classifier for rapid assignment of rRNA sequences into the new bacterial taxonomy.</w:t>
      </w:r>
      <w:r>
        <w:t xml:space="preserve"> </w:t>
      </w:r>
      <w:r>
        <w:rPr>
          <w:i/>
        </w:rPr>
        <w:t xml:space="preserve">Applied and Environmental Microbiology</w:t>
      </w:r>
      <w:r>
        <w:t xml:space="preserve"> </w:t>
      </w:r>
      <w:r>
        <w:rPr>
          <w:b/>
        </w:rPr>
        <w:t xml:space="preserve">73,</w:t>
      </w:r>
      <w:r>
        <w:t xml:space="preserve"> </w:t>
      </w:r>
      <w:r>
        <w:t xml:space="preserve">5261–5267 (2007).</w:t>
      </w:r>
    </w:p>
    <w:p>
      <w:pPr>
        <w:pStyle w:val="Bibliography"/>
      </w:pPr>
      <w:r>
        <w:t xml:space="preserve">58. Lopez-Medina, E., Neubauer, M. M., Pier, G. B. &amp; Koh, A. Y. RNA isolation of</w:t>
      </w:r>
      <w:r>
        <w:t xml:space="preserve"> </w:t>
      </w:r>
      <w:r>
        <w:rPr>
          <w:i/>
        </w:rPr>
        <w:t xml:space="preserve">Pseudomonas aeruginosa</w:t>
      </w:r>
      <w:r>
        <w:t xml:space="preserve"> </w:t>
      </w:r>
      <w:r>
        <w:t xml:space="preserve">colonizing the murine gastrointestinal tract.</w:t>
      </w:r>
      <w:r>
        <w:t xml:space="preserve"> </w:t>
      </w:r>
      <w:r>
        <w:rPr>
          <w:i/>
        </w:rPr>
        <w:t xml:space="preserve">Journal of visualized experiments : JoVE</w:t>
      </w:r>
      <w:r>
        <w:t xml:space="preserve"> </w:t>
      </w:r>
      <w:r>
        <w:t xml:space="preserve">6–9 (2011). doi:</w:t>
      </w:r>
      <w:hyperlink r:id="rId39">
        <w:r>
          <w:rPr>
            <w:rStyle w:val="Hyperlink"/>
          </w:rPr>
          <w:t xml:space="preserve">10.3791/3293</w:t>
        </w:r>
      </w:hyperlink>
    </w:p>
    <w:p>
      <w:pPr>
        <w:pStyle w:val="Bibliography"/>
      </w:pPr>
      <w:r>
        <w:t xml:space="preserve">59.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0">
        <w:r>
          <w:rPr>
            <w:rStyle w:val="Hyperlink"/>
          </w:rPr>
          <w:t xml:space="preserve">gb-2009-10-3-r25 [pii]\r10.1186/gb-2009-10-3-r25</w:t>
        </w:r>
      </w:hyperlink>
    </w:p>
    <w:p>
      <w:pPr>
        <w:pStyle w:val="Bibliography"/>
      </w:pPr>
      <w:r>
        <w:t xml:space="preserve">60.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61.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62.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e5464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dcterms:created xsi:type="dcterms:W3CDTF">2016-12-16T20:18:41Z</dcterms:created>
  <dcterms:modified xsi:type="dcterms:W3CDTF">2016-12-16T20:18:41Z</dcterms:modified>
</cp:coreProperties>
</file>