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and a Translational Research Education Certificate grant to JLL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on bacterial communities in cecal content of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or community structure as depicts community dissimilarity.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Alph-diversity of each individual cecal community quantified with inverse Simpson diversity. Cecal communities from mice not treated with any antibiotics are significantly more diverse than any antibiotic-treated condition by Wilcoxon rank-abundance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0094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