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rPr>
          <w:i/>
        </w:rPr>
        <w:t xml:space="preserve">C. difficile</w:t>
      </w:r>
      <w:r>
        <w:t xml:space="preserve">-focused RNA-Seq analysis from cecal content of infected mice. This approach revealed numerous variations between condition in metabolic pathways associated with carbohydrate and amino acid catabolism, indicating that</w:t>
      </w:r>
      <w:r>
        <w:t xml:space="preserve"> </w:t>
      </w:r>
      <w:r>
        <w:rPr>
          <w:i/>
        </w:rPr>
        <w:t xml:space="preserve">C. difficile</w:t>
      </w:r>
      <w:r>
        <w:t xml:space="preserve"> </w:t>
      </w:r>
      <w:r>
        <w:t xml:space="preserve">likely colonizes alternative nutrient niches across the environments it colonizes. In order to assess which aspects of the gut environment</w:t>
      </w:r>
      <w:r>
        <w:t xml:space="preserve"> </w:t>
      </w:r>
      <w:r>
        <w:rPr>
          <w:i/>
        </w:rPr>
        <w:t xml:space="preserve">C. difficile</w:t>
      </w:r>
      <w:r>
        <w:t xml:space="preserve"> </w:t>
      </w:r>
      <w:r>
        <w:t xml:space="preserve">is exploiting during infection, we used a reverse ecology approach and developed a novel substrate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for enzymes within the model to infer the likelihood that a given substrate in acquired from the environment. Applying the importance algorithm, we found that</w:t>
      </w:r>
      <w:r>
        <w:t xml:space="preserve"> </w:t>
      </w:r>
      <w:r>
        <w:rPr>
          <w:i/>
        </w:rPr>
        <w:t xml:space="preserve">C. difficile</w:t>
      </w:r>
      <w:r>
        <w:t xml:space="preserve"> </w:t>
      </w:r>
      <w:r>
        <w:t xml:space="preserve">indeed occupies alternative nutrient niches across each antibiotic class tested. Results from this analysis support specific sugar alcohols and host derived amino sugars as the most probable growth nutrients that</w:t>
      </w:r>
      <w:r>
        <w:t xml:space="preserve"> </w:t>
      </w:r>
      <w:r>
        <w:rPr>
          <w:i/>
        </w:rPr>
        <w:t xml:space="preserve">C. difficile</w:t>
      </w:r>
      <w:r>
        <w:t xml:space="preserve"> </w:t>
      </w:r>
      <w:r>
        <w:t xml:space="preserve">differentially utilizes across the susceptible gut environments it colonizes. We then confirmed the capacity of each implicated substrate to support substantial</w:t>
      </w:r>
      <w:r>
        <w:t xml:space="preserve"> </w:t>
      </w:r>
      <w:r>
        <w:rPr>
          <w:i/>
        </w:rPr>
        <w:t xml:space="preserve">C. difficile</w:t>
      </w:r>
      <w:r>
        <w:t xml:space="preserve"> </w:t>
      </w:r>
      <w:r>
        <w:t xml:space="preserve">growth</w:t>
      </w:r>
      <w:r>
        <w:t xml:space="preserve"> </w:t>
      </w:r>
      <w:r>
        <w:rPr>
          <w:i/>
        </w:rPr>
        <w:t xml:space="preserve">in vitro</w:t>
      </w:r>
      <w:r>
        <w:t xml:space="preserve">.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 [</w:t>
      </w:r>
      <w: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We then applied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39</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40</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41</w:t>
      </w:r>
      <w:r>
        <w:rPr>
          <w:vertAlign w:val="superscript"/>
        </w:rPr>
        <w:t xml:space="preserve">,</w:t>
      </w:r>
      <w:r>
        <w:rPr>
          <w:vertAlign w:val="superscript"/>
        </w:rPr>
        <w:t xml:space="preserve">42</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43</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44</w:t>
      </w:r>
      <w:r>
        <w:t xml:space="preserve">). Interestingly, the capacity for bacteria to catabolize the amino sugar N-acetylneurminate is highly distributed among species that inhabit the mammalian gut</w:t>
      </w:r>
      <w:r>
        <w:rPr>
          <w:vertAlign w:val="superscript"/>
        </w:rPr>
        <w:t xml:space="preserve">45</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This may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46</w:t>
      </w:r>
      <w:r>
        <w:t xml:space="preserve">, eventually leading through the intermediate 3−hydroxybutanoyl−CoA ultimately toward the production of butyrate</w:t>
      </w:r>
      <w:r>
        <w:rPr>
          <w:vertAlign w:val="superscript"/>
        </w:rPr>
        <w:t xml:space="preserve">47</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48</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49</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50</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51</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oversimplification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52</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53</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54</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55</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56</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58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59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(U01...), and Jhansi's grant. Data availability...</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Contributions</w:t>
      </w:r>
      <w:r>
        <w:t xml:space="preserve"> </w:t>
      </w:r>
      <w:r>
        <w:t xml:space="preserve">M.L.J. conceived, designed and performed experiments, analyzed data, and wrote the manuscript. J.L.L. performed experiments and analyzed data. P.D.S. wrote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Will, S.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40.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41.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42.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43.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44.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45.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46.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47.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48.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49.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51.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52.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53.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54.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55.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56.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57.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58.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59.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58fa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