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four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ex-germfree mice than in the antibiotic treated mice (Fig. 2b). The spore densities in both streptomycin and clindamycin-treated mice were also generally higher than that in cefoperazone-treated mice. There was significantly more toxin activity in ex-germfree animals than any other colonized group (</w:t>
      </w:r>
      <w:r>
        <w:rPr>
          <w:i/>
        </w:rPr>
        <w:t xml:space="preserve">P</w:t>
      </w:r>
      <w:r>
        <w:t xml:space="preserve"> </w:t>
      </w:r>
      <w:r>
        <w:t xml:space="preserve">= 0.002, 0.002,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procuts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since CodY has been associated with adaptive expression of phosphotransferase systems (PTS) and ABC transporters with many known differences in substrate specificities.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support polysaccharide fermentation in this condition. More subtle differences were seen in those gene associated with glycolysis (Fig. 4d).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formate, and some selenium-containing compounds</w:t>
      </w:r>
      <w:r>
        <w:rPr>
          <w:vertAlign w:val="superscript"/>
        </w:rP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germfree mice (Table S3). It has been shown that</w:t>
      </w:r>
      <w:r>
        <w:t xml:space="preserve"> </w:t>
      </w:r>
      <w:r>
        <w:rPr>
          <w:i/>
        </w:rPr>
        <w:t xml:space="preserve">C. difficile</w:t>
      </w:r>
      <w:r>
        <w:t xml:space="preserve"> </w:t>
      </w:r>
      <w:r>
        <w:t xml:space="preserve">metabolizes acetate for use in glycolysis</w:t>
      </w:r>
      <w:r>
        <w:rPr>
          <w:vertAlign w:val="superscript"/>
        </w:rP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7,46</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it was necessary to include amino acids in the minimal media. This meant that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was shown to be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 amino acids)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Data fom both our</w:t>
      </w:r>
      <w:r>
        <w:t xml:space="preserve"> </w:t>
      </w:r>
      <w:r>
        <w:rPr>
          <w:i/>
        </w:rPr>
        <w:t xml:space="preserve">in vivo</w:t>
      </w:r>
      <w:r>
        <w:t xml:space="preserve"> </w:t>
      </w:r>
      <w:r>
        <w:t xml:space="preserve">and</w:t>
      </w:r>
      <w:r>
        <w:t xml:space="preserve"> </w:t>
      </w:r>
      <w:r>
        <w:rPr>
          <w:i/>
        </w:rPr>
        <w:t xml:space="preserve">in vitro</w:t>
      </w:r>
      <w:r>
        <w:t xml:space="preserve"> </w:t>
      </w:r>
      <w:r>
        <w:t xml:space="preserve">experiments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These preliminary conclusions are further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have also been demonstrated in streptomycin-treated conventional and GF mice</w:t>
      </w:r>
      <w:r>
        <w:rPr>
          <w:vertAlign w:val="superscript"/>
        </w:rPr>
        <w:t xml:space="preserve">10,47</w:t>
      </w:r>
      <w:r>
        <w:t xml:space="preserve">. Together these results provide evidence that our network-based approach accurately predicts which metabolites</w:t>
      </w:r>
      <w:r>
        <w:t xml:space="preserve"> </w:t>
      </w:r>
      <w:r>
        <w:rPr>
          <w:i/>
        </w:rPr>
        <w:t xml:space="preserve">C. difficile</w:t>
      </w:r>
      <w:r>
        <w:t xml:space="preserve"> </w:t>
      </w:r>
      <w:r>
        <w:t xml:space="preserve">adapts its metabolic strategy towards, most likely due to changes in availability.</w:t>
      </w:r>
    </w:p>
    <w:p>
      <w:pPr>
        <w:pStyle w:val="BodyText"/>
      </w:pPr>
      <w:r>
        <w:t xml:space="preserve">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rPr>
          <w:vertAlign w:val="superscript"/>
        </w:rPr>
        <w:t xml:space="preserve">48</w:t>
      </w:r>
      <w:r>
        <w:t xml:space="preserve">. 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the appearance of CO</w:t>
      </w:r>
      <w:r>
        <w:rPr>
          <w:vertAlign w:val="subscript"/>
        </w:rPr>
        <w:t xml:space="preserve">2</w:t>
      </w:r>
      <w:r>
        <w:t xml:space="preserve"> </w:t>
      </w:r>
      <w:r>
        <w:t xml:space="preserve">in Fig. 6a</w:t>
      </w:r>
      <w:r>
        <w:rPr>
          <w:vertAlign w:val="superscript"/>
        </w:rPr>
        <w:t xml:space="preserve">49</w:t>
      </w:r>
      <w:r>
        <w:t xml:space="preserve">. Furthermore, oxygen appears to be significantly important in clindamycin-treated mice (Fig. 6b). Reactive oxygen species could be introduced to the gut through antibiotic-induced stress on host mitochondia</w:t>
      </w:r>
      <w:r>
        <w:rPr>
          <w:vertAlign w:val="superscript"/>
        </w:rPr>
        <w:t xml:space="preserve">50</w:t>
      </w:r>
      <w:r>
        <w:t xml:space="preserve">. Despite the fact that</w:t>
      </w:r>
      <w:r>
        <w:t xml:space="preserve"> </w:t>
      </w:r>
      <w:r>
        <w:rPr>
          <w:i/>
        </w:rPr>
        <w:t xml:space="preserve">C. difficile</w:t>
      </w:r>
      <w:r>
        <w:t xml:space="preserve"> </w:t>
      </w:r>
      <w:r>
        <w:t xml:space="preserve">is considered to be a strict anaerobe, it does possess the functionality to deal with oxidative stress</w:t>
      </w:r>
      <w:r>
        <w:rPr>
          <w:vertAlign w:val="superscript"/>
        </w:rPr>
        <w:t xml:space="preserve">51</w:t>
      </w:r>
      <w:r>
        <w:t xml:space="preserve">. What this highlights is that our method does not only identify growth substrates, it also reports any metabolits that is very likely being removed from the environment.</w:t>
      </w:r>
    </w:p>
    <w:p>
      <w:pPr>
        <w:pStyle w:val="BodyText"/>
      </w:pPr>
      <w:r>
        <w:t xml:space="preserve">While our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rPr>
          <w:vertAlign w:val="superscript"/>
        </w:rPr>
        <w:t xml:space="preserve">52</w:t>
      </w:r>
      <w:r>
        <w:t xml:space="preserve">, however this does not completely eliminate the posibility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metabolism. First, the importance algorithm operates under the assumption that all detectable transcript is translated to effector protein.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actually available.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future studies could employ metabolomic analysis to confirm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concept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Furthermore, our metabolic network platform may also prove informative for generating hypotheses through reverse ecology that could ultimately lead to uncovering new interaction between species that ultimately impact host health</w:t>
      </w:r>
      <w:r>
        <w:rPr>
          <w:vertAlign w:val="superscript"/>
        </w:rPr>
        <w:t xml:space="preserve">53</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55</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56</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57</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58</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59</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60</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62</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S2 for additional explanantion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w:t>
      </w:r>
      <w:r>
        <w:t xml:space="preserve"> </w:t>
      </w:r>
      <w:r>
        <w:rPr>
          <w:i/>
        </w:rPr>
        <w:t xml:space="preserve">Clostridium difficile</w:t>
      </w:r>
      <w:r>
        <w:t xml:space="preserv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w:t>
      </w:r>
      <w:r>
        <w:t xml:space="preserve"> </w:t>
      </w:r>
      <w:r>
        <w:rPr>
          <w:i/>
        </w:rPr>
        <w:t xml:space="preserve">Clostridium difficile</w:t>
      </w:r>
      <w:r>
        <w:t xml:space="preserve"> </w:t>
      </w:r>
      <w:r>
        <w:t xml:space="preserve">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w:t>
      </w:r>
      <w:r>
        <w:t xml:space="preserve"> </w:t>
      </w:r>
      <w:r>
        <w:rPr>
          <w:i/>
        </w:rPr>
        <w:t xml:space="preserve">Clostridium difficile</w:t>
      </w:r>
      <w:r>
        <w:t xml:space="preserv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w:t>
      </w:r>
      <w:r>
        <w:t xml:space="preserve"> </w:t>
      </w:r>
      <w:r>
        <w:rPr>
          <w:i/>
        </w:rPr>
        <w:t xml:space="preserve">Clostridium difficile</w:t>
      </w:r>
      <w:r>
        <w:t xml:space="preserv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w:t>
      </w:r>
      <w:r>
        <w:t xml:space="preserve"> </w:t>
      </w:r>
      <w:r>
        <w:rPr>
          <w:i/>
        </w:rPr>
        <w:t xml:space="preserve">Clostridium difficile</w:t>
      </w:r>
      <w:r>
        <w:t xml:space="preserve"> </w:t>
      </w:r>
      <w:r>
        <w:t xml:space="preserve">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Aboulnaga, E. H.</w:t>
      </w:r>
      <w:r>
        <w:t xml:space="preserve"> </w:t>
      </w:r>
      <w:r>
        <w:rPr>
          <w:i/>
        </w:rPr>
        <w:t xml:space="preserve">et al.</w:t>
      </w:r>
      <w:r>
        <w:t xml:space="preserve"> </w:t>
      </w:r>
      <w:r>
        <w:t xml:space="preserve">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43. Fonknechten, N.</w:t>
      </w:r>
      <w:r>
        <w:t xml:space="preserve"> </w:t>
      </w:r>
      <w:r>
        <w:rPr>
          <w:i/>
        </w:rPr>
        <w:t xml:space="preserve">et al.</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44. Jackson, S., Calos, M., Myers, A. &amp; Self, W. T.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45. Karlsson, S., Burman, L. G. &amp; Åkerlund, T.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46.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47.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Köpke, M., Straub, M. &amp; Dürre, P.</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50.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51. Emerson, J. E., Stabler, R. A., Wren, B. W. &amp; Fairweather, N. F. Microarray analysis of the transcriptional responses of</w:t>
      </w:r>
      <w:r>
        <w:t xml:space="preserve"> </w:t>
      </w:r>
      <w:r>
        <w:rPr>
          <w:i/>
        </w:rPr>
        <w:t xml:space="preserve">Clostridium difficile</w:t>
      </w:r>
      <w:r>
        <w:t xml:space="preserve"> </w:t>
      </w:r>
      <w:r>
        <w:t xml:space="preserve">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Levy, R. &amp; Borenstein, E. Reverse Ecology: from systems to environments and back.</w:t>
      </w:r>
      <w:r>
        <w:t xml:space="preserve"> </w:t>
      </w:r>
      <w:r>
        <w:rPr>
          <w:i/>
        </w:rPr>
        <w:t xml:space="preserve">Advances in experimental medicine and biology</w:t>
      </w:r>
      <w:r>
        <w:t xml:space="preserve"> </w:t>
      </w:r>
      <w:r>
        <w:rPr>
          <w:b/>
        </w:rPr>
        <w:t xml:space="preserve">751,</w:t>
      </w:r>
      <w:r>
        <w:t xml:space="preserve"> </w:t>
      </w:r>
      <w:r>
        <w:t xml:space="preserve">329–345 (2012).</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Lopez-Medina, E., Neubauer, M. M., Pier, G. B. &amp; Koh, A. Y.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59.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60.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61.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62.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c9d73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