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(carbohydrates, amino acids, and amino sugars), indicating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 free mice</w:t>
      </w:r>
      <w:r>
        <w:rPr>
          <w:vertAlign w:val="superscript"/>
        </w:rPr>
        <w:t xml:space="preserve">24,25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gnotobiotic mice than in the antibiotic treated mice (Fig. 2b). The spore densities in both streptomycin and clindamycin-treated mice were also generally higher than that in cefoperazone-treated mice. There was significantly more toxin titer in gnotobiotic animals than any other colonized group (</w:t>
      </w:r>
      <w:r>
        <w:rPr>
          <w:i/>
        </w:rPr>
        <w:t xml:space="preserve">P</w:t>
      </w:r>
      <w:r>
        <w:t xml:space="preserve"> </w:t>
      </w:r>
      <w:r>
        <w:t xml:space="preserve">= 0.002, 0.002, 0.001), but toxin titer also varied between antibiotic treatment groups (Fig. 2c). Although similar toxin titers were found in both the cefoperazone and clindamycin-treated groups, toxin titer was not detectable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both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Additionally, acetate was found to be important in all conditions, but was just below the significance cutoff in germ 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S2)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7,41</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t xml:space="preserve">Alternatively, we also explored those metabolites that our algorithm predicts are most likely to be generated by</w:t>
      </w:r>
      <w:r>
        <w:t xml:space="preserve"> </w:t>
      </w:r>
      <w:r>
        <w:rPr>
          <w:i/>
        </w:rPr>
        <w:t xml:space="preserve">C. difficile</w:t>
      </w:r>
      <w:r>
        <w:t xml:space="preserve"> </w:t>
      </w:r>
      <w:r>
        <w:t xml:space="preserve">in each condition (Fig. S3). What becomes immediately apparent is that exactly the same metabolites appear to be the most likely to be created across all conditions tested. The only distinction between groups were slight differences in the actual score assigned in each instance. This result signifies that while</w:t>
      </w:r>
      <w:r>
        <w:t xml:space="preserve"> </w:t>
      </w:r>
      <w:r>
        <w:rPr>
          <w:i/>
        </w:rPr>
        <w:t xml:space="preserve">C. difficile</w:t>
      </w:r>
      <w:r>
        <w:t xml:space="preserve"> </w:t>
      </w:r>
      <w:r>
        <w:t xml:space="preserve">may be consuming seperate resource pools between colonized environments, it generally seeks to produce a core set of molecules that may be central to its metabolism.</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indicates potential hierarchy of growth nutrient preference (Table S4). The progression is as follows: D-fructose (slope = 0.089), N-acetyl-D-glucosamine (slope = 0.085), salicin (slope = 0.077), mannitol (slope = 0.044)/trehalose (slope = 0.044),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mouse ceca.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w:t>
      </w:r>
    </w:p>
    <w:p>
      <w:pPr>
        <w:pStyle w:val="BodyText"/>
      </w:pPr>
      <w:r>
        <w:t xml:space="preserve">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52</w:t>
      </w:r>
      <w:r>
        <w:t xml:space="preserve">. Increased reactive oxygen species may be induced by residual antibiotic affect host or other bacterial cells</w:t>
      </w:r>
      <w:r>
        <w:rPr>
          <w:vertAlign w:val="superscript"/>
        </w:rPr>
        <w:t xml:space="preserve">53</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 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56</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57</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58</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59</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Data processing steps for beginning from sequence data to the final manuscript are hosted at</w:t>
      </w:r>
      <w:r>
        <w:t xml:space="preserve"> </w:t>
      </w:r>
      <w:hyperlink r:id="rId33">
        <w:r>
          <w:rPr>
            <w:rStyle w:val="Hyperlink"/>
          </w:rPr>
          <w:t xml:space="preserve">http://www.github.com/SchlossLab/Jenior_Transcriptomics_2015</w:t>
        </w:r>
      </w:hyperlink>
      <w:r>
        <w:t xml:space="preserve">.</w:t>
      </w:r>
    </w:p>
    <w:p>
      <w:pPr>
        <w:pStyle w:val="Heading3"/>
      </w:pPr>
      <w:bookmarkStart w:id="34" w:name="author-information"/>
      <w:bookmarkEnd w:id="34"/>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5">
        <w:r>
          <w:rPr>
            <w:rStyle w:val="Hyperlink"/>
          </w:rPr>
          <w:t xml:space="preserve">Patrick D. Schloss</w:t>
        </w:r>
      </w:hyperlink>
    </w:p>
    <w:p>
      <w:pPr>
        <w:pStyle w:val="Heading3"/>
      </w:pPr>
      <w:bookmarkStart w:id="36" w:name="figures"/>
      <w:bookmarkEnd w:id="36"/>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UD indicates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Log_2_ 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3 | Lowest scoring significant metabolites from each</w:t>
      </w:r>
      <w:r>
        <w:rPr>
          <w:b/>
        </w:rPr>
        <w:t xml:space="preserve"> </w:t>
      </w:r>
      <w:r>
        <w:rPr>
          <w:i/>
          <w:b/>
        </w:rPr>
        <w:t xml:space="preserve">C. difficile</w:t>
      </w:r>
      <w:r>
        <w:rPr>
          <w:b/>
        </w:rPr>
        <w:t xml:space="preserve"> </w:t>
      </w:r>
      <w:r>
        <w:rPr>
          <w:b/>
        </w:rPr>
        <w:t xml:space="preserve">colonized condition.</w:t>
      </w:r>
      <w:r>
        <w:t xml:space="preserve"> </w:t>
      </w:r>
      <w:r>
        <w:t xml:space="preserve">The lowest 10 scoring significant metabolites from each treatment group. Lower scores signify that a given metabolite is more likely to be generated than consumed. Panels are as follows:</w:t>
      </w:r>
      <w:r>
        <w:t xml:space="preserve"> </w:t>
      </w:r>
      <w:r>
        <w:rPr>
          <w:b/>
        </w:rPr>
        <w:t xml:space="preserve">(a)</w:t>
      </w:r>
      <w:r>
        <w:t xml:space="preserve"> </w:t>
      </w:r>
      <w:r>
        <w:t xml:space="preserve">Streptomycin</w:t>
      </w:r>
      <w:r>
        <w:t xml:space="preserve"> </w:t>
      </w:r>
      <w:r>
        <w:rPr>
          <w:b/>
        </w:rPr>
        <w:t xml:space="preserve">(b)</w:t>
      </w:r>
      <w:r>
        <w:t xml:space="preserve"> </w:t>
      </w:r>
      <w:r>
        <w:t xml:space="preserve">Cefoperazone</w:t>
      </w:r>
      <w:r>
        <w:t xml:space="preserve"> </w:t>
      </w:r>
      <w:r>
        <w:rPr>
          <w:b/>
        </w:rPr>
        <w:t xml:space="preserve">(c)</w:t>
      </w:r>
      <w:r>
        <w:t xml:space="preserve"> </w:t>
      </w:r>
      <w:r>
        <w:t xml:space="preserve">Clindamycin</w:t>
      </w:r>
      <w:r>
        <w:t xml:space="preserve"> </w:t>
      </w:r>
      <w:r>
        <w:rPr>
          <w:b/>
        </w:rPr>
        <w:t xml:space="preserve">(d)</w:t>
      </w:r>
      <w:r>
        <w:t xml:space="preserve"> </w:t>
      </w:r>
      <w:r>
        <w:t xml:space="preserve">Germ free.</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7" w:name="references"/>
      <w:bookmarkEnd w:id="37"/>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8">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rP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9">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40">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53.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1">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2">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075b3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