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greatest cause of hospital acquired infection in the United States. Susceptibility to CDI is induced by previous antibiotic exposure, which are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foru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RNA-Seq analysis focused on</w:t>
      </w:r>
      <w:r>
        <w:t xml:space="preserve"> </w:t>
      </w:r>
      <w:r>
        <w:rPr>
          <w:i/>
        </w:rPr>
        <w:t xml:space="preserve">C. difficile</w:t>
      </w:r>
      <w:r>
        <w:t xml:space="preserve"> </w:t>
      </w:r>
      <w:r>
        <w:t xml:space="preserve">from cecal content of infected mice. This approach revealed variation in expression for genes that drive life-cycle switches as well as metabolic pathways associated with catabolizing a variety of carbon sources such as carbohydrates, amino acids, and amino sugars. In order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 Results from this analysis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for</w:t>
      </w:r>
      <w:r>
        <w:t xml:space="preserve"> </w:t>
      </w:r>
      <w:r>
        <w:rPr>
          <w:i/>
        </w:rPr>
        <w:t xml:space="preserve">C. difficile</w:t>
      </w:r>
      <w:r>
        <w:t xml:space="preserve"> </w:t>
      </w:r>
      <w:r>
        <w:t xml:space="preserve">colonization prevention including potential probiotic therapy.</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6–8</w:t>
      </w:r>
      <w:r>
        <w:t xml:space="preserve">. Additionally,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 healthy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w:t>
      </w:r>
      <w:r>
        <w:rPr>
          <w:vertAlign w:val="superscript"/>
        </w:rPr>
        <w:t xml:space="preserve">18</w:t>
      </w:r>
      <w:r>
        <w:t xml:space="preserve"> </w:t>
      </w:r>
      <w:r>
        <w:t xml:space="preserve">and sporulation</w:t>
      </w:r>
      <w:r>
        <w:rPr>
          <w:vertAlign w:val="superscript"/>
        </w:rPr>
        <w:t xml:space="preserve">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 free mice</w:t>
      </w:r>
      <w:r>
        <w:rPr>
          <w:vertAlign w:val="superscript"/>
        </w:rPr>
        <w:t xml:space="preserve">24,25</w:t>
      </w:r>
      <w:r>
        <w:t xml:space="preserve">. Relevant to our hypothesis,</w:t>
      </w:r>
      <w:r>
        <w:t xml:space="preserve"> </w:t>
      </w:r>
      <w:r>
        <w:rPr>
          <w:i/>
        </w:rPr>
        <w:t xml:space="preserve">C. difficile</w:t>
      </w:r>
      <w:r>
        <w:t xml:space="preserve"> </w:t>
      </w:r>
      <w:r>
        <w:t xml:space="preserve">up-regulated several phosphotransferase systems (PTS) and ABC transporters in germ 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germ 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 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(Fig. 1). There was not a significant difference in the number of vegetative cells between any susceptible condition tested (Fig. 2a). All antibiotic treated (Table 1) specific pathogen free (SPF) and germ 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gnotobiotic mice than in the antibiotic treated mice (Fig. 2b). The spore densities in both streptomycin and clindamycin-treated mice were also generally higher than that in cefoperazone-treated mice. There was significantly more toxin titer in gnotobiotic animals than any other colonized group (</w:t>
      </w:r>
      <w:r>
        <w:rPr>
          <w:i/>
        </w:rPr>
        <w:t xml:space="preserve">P</w:t>
      </w:r>
      <w:r>
        <w:t xml:space="preserve"> </w:t>
      </w:r>
      <w:r>
        <w:t xml:space="preserve">= 0.002, 0.002, 0.001), but toxin titer also varied between antibiotic treatment groups (Fig. 2c). Although similar toxin titers were found in both the cefoperazone and clindamycin-treated groups, toxin titer was not detectable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spore density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These genes are involved in suppressing expression of genes found later in the sporulation pathway</w:t>
      </w:r>
      <w:r>
        <w:rPr>
          <w:vertAlign w:val="superscript"/>
        </w:rPr>
        <w:t xml:space="preserve">33</w:t>
      </w:r>
      <w:r>
        <w:t xml:space="preserve">. The mice treated with streptomycin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 [</w:t>
      </w:r>
      <w:r>
        <w:rPr>
          <w:b/>
        </w:rPr>
        <w:t xml:space="preserve">NEED A REFERENCE</w:t>
      </w:r>
      <w:r>
        <w:t xml:space="preserve">]. Highest transcription for this gene was found in cefoperazone-treated and GF mice (Fig 3d). Expression of</w:t>
      </w:r>
      <w:r>
        <w:t xml:space="preserve"> </w:t>
      </w:r>
      <w:r>
        <w:rPr>
          <w:i/>
        </w:rPr>
        <w:t xml:space="preserve">ccpA</w:t>
      </w:r>
      <w:r>
        <w:t xml:space="preserve"> </w:t>
      </w:r>
      <w:r>
        <w:t xml:space="preserve">is dependent on relief of</w:t>
      </w:r>
      <w:r>
        <w:t xml:space="preserve"> </w:t>
      </w:r>
      <w:r>
        <w:rPr>
          <w:i/>
        </w:rPr>
        <w:t xml:space="preserve">codY</w:t>
      </w:r>
      <w:r>
        <w:t xml:space="preserve"> </w:t>
      </w:r>
      <w:r>
        <w:t xml:space="preserve">inhibition and its activity is linked to local concentration of rapidly metabolizable carbon sources.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spoA0</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spoA0</w:t>
      </w:r>
      <w:r>
        <w:t xml:space="preserve"> </w:t>
      </w:r>
      <w:r>
        <w:t xml:space="preserve">were highly abundant in all conditions tested except for clindamycin-treated mice, where it was still moderately detectable. The sig-family of sigma factors is under the control of SpoA0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regulate pathogenicity by acting on</w:t>
      </w:r>
      <w:r>
        <w:t xml:space="preserve"> </w:t>
      </w:r>
      <w:r>
        <w:rPr>
          <w:i/>
        </w:rPr>
        <w:t xml:space="preserve">tcdC</w:t>
      </w:r>
      <w:r>
        <w:t xml:space="preserve">/</w:t>
      </w:r>
      <w:r>
        <w:rPr>
          <w:i/>
        </w:rPr>
        <w:t xml:space="preserve">tcdR</w:t>
      </w:r>
      <w:r>
        <w:t xml:space="preserve"> </w:t>
      </w:r>
      <w:r>
        <w:t xml:space="preserve">(Fig.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 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the total expression for all annotated genes on a per gene basis (Fig. 4). The distribution of points indicated that there were large scale differences in expression between each group (Fig. 4a), [</w:t>
      </w:r>
      <w:r>
        <w:rPr>
          <w:i/>
          <w:b/>
        </w:rPr>
        <w:t xml:space="preserve">but lacking functional labels isn’t informative for uncovering differences in metabolic strategy</w:t>
      </w:r>
      <w:r>
        <w:t xml:space="preserve"> </w:t>
      </w:r>
      <w:r>
        <w:t xml:space="preserve">- doesn't make sense]. We then identified gene sets based on established</w:t>
      </w:r>
      <w:r>
        <w:t xml:space="preserve"> </w:t>
      </w:r>
      <w:r>
        <w:rPr>
          <w:i/>
        </w:rPr>
        <w:t xml:space="preserve">C. difficile</w:t>
      </w:r>
      <w:r>
        <w:t xml:space="preserve"> </w:t>
      </w:r>
      <w:r>
        <w:t xml:space="preserve">metabolism and displayed highest expression of those genes among the three antibiotic treatment groups.</w:t>
      </w:r>
    </w:p>
    <w:p>
      <w:pPr>
        <w:pStyle w:val="BodyText"/>
      </w:pPr>
      <w:r>
        <w:t xml:space="preserve">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t xml:space="preserve">The highest overall expression was for those genes involved in amino acid catabolism. These findings suggest that</w:t>
      </w:r>
      <w:r>
        <w:t xml:space="preserve"> </w:t>
      </w:r>
      <w:r>
        <w:rPr>
          <w:i/>
        </w:rPr>
        <w:t xml:space="preserve">C. difficile</w:t>
      </w:r>
      <w:r>
        <w:t xml:space="preserve"> </w:t>
      </w:r>
      <w:r>
        <w:t xml:space="preserve">utilizes amino acids for energy as a central part of its metabolism during infection under any condition. The expression of genes associated with amino acid catabolism were consistently expressed at relatively equal levels across the conditions (Fig. 4h). This gene category includes those enzymes involved in Stickland fermentation (arg, fdh, grd, and prd loci) as well as several general peptidases (</w:t>
      </w:r>
      <w:r>
        <w:rPr>
          <w:i/>
        </w:rPr>
        <w:t xml:space="preserve">pep</w:t>
      </w:r>
      <w:r>
        <w:t xml:space="preserve"> </w:t>
      </w:r>
      <w:r>
        <w:t xml:space="preserve">family).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4i). Along similar lines with closely related molecules, a number of genes for other monosaccharide catabolism were expressed relatively evenly between each condition. This included glycolysis-associated genes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several genes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for bringing different monosaccharides into glycolysis (including galactose, mannose, and tagatose). Combined, these findings suggest that catabolism of amino acids and specific monosaccharides are core components of the</w:t>
      </w:r>
      <w:r>
        <w:t xml:space="preserve"> </w:t>
      </w:r>
      <w:r>
        <w:rPr>
          <w:i/>
        </w:rPr>
        <w:t xml:space="preserve">C. difficile</w:t>
      </w:r>
      <w:r>
        <w:t xml:space="preserve"> </w:t>
      </w:r>
      <w:r>
        <w:t xml:space="preserve">nutritional strategy during infection.</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37</w:t>
      </w:r>
      <w:r>
        <w:t xml:space="preserve"> </w:t>
      </w:r>
      <w:r>
        <w:t xml:space="preserve">and OCCI indicates those enzymes and substrates that are the most central components of the organism’s metabolism</w:t>
      </w:r>
      <w:r>
        <w:rPr>
          <w:vertAlign w:val="superscript"/>
        </w:rPr>
        <w:t xml:space="preserve">38</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 of scores for each metabolite that would likely result from random noise</w:t>
      </w:r>
      <w:r>
        <w:rPr>
          <w:vertAlign w:val="superscript"/>
        </w:rPr>
        <w:t xml:space="preserve">39</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or that it is always available in the cecum. Additionally, acetate was found to be important in all conditions, but was just below the significance cutoff in germ free mice (Table S3).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40</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S3)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7,41</w:t>
      </w:r>
      <w:r>
        <w:t xml:space="preserve">. This included close analogs of D-fructose,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Carbon sources sources predicted to be important using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it was necessary to include amino acids in the minimal media. This meant that the most effective negative control was growth in media lacking carbohydrates but containing amino acids (Max OD</w:t>
      </w:r>
      <w:r>
        <w:rPr>
          <w:vertAlign w:val="subscript"/>
        </w:rPr>
        <w:t xml:space="preserve">600</w:t>
      </w:r>
      <w:r>
        <w:t xml:space="preserve"> </w:t>
      </w:r>
      <w:r>
        <w:t xml:space="preserve">= 0.212).</w:t>
      </w:r>
    </w:p>
    <w:p>
      <w:pPr>
        <w:pStyle w:val="BodyText"/>
      </w:pPr>
      <w:r>
        <w:t xml:space="preserve">N-acetyl-D-glucosamine was shown to be important to</w:t>
      </w:r>
      <w:r>
        <w:t xml:space="preserve"> </w:t>
      </w:r>
      <w:r>
        <w:rPr>
          <w:i/>
        </w:rPr>
        <w:t xml:space="preserve">C. difficile</w:t>
      </w:r>
      <w:r>
        <w:t xml:space="preserve"> </w:t>
      </w:r>
      <w:r>
        <w:t xml:space="preserve">in each condition tested (Fig. 6b). When tested for improved growth, significantly more growth (Max OD</w:t>
      </w:r>
      <w:r>
        <w:rPr>
          <w:vertAlign w:val="subscript"/>
        </w:rPr>
        <w:t xml:space="preserve">600</w:t>
      </w:r>
      <w:r>
        <w:t xml:space="preserve"> </w:t>
      </w:r>
      <w:r>
        <w:t xml:space="preserve">= 0.774) was observed compared to no carbohydrate controls (</w:t>
      </w:r>
      <w:r>
        <w:rPr>
          <w:i/>
        </w:rPr>
        <w:t xml:space="preserve">P</w:t>
      </w:r>
      <w:r>
        <w:t xml:space="preserve"> </w:t>
      </w:r>
      <w:r>
        <w:t xml:space="preserve">&lt;&lt;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&lt;&lt; 0.001; Max OD</w:t>
      </w:r>
      <w:r>
        <w:rPr>
          <w:vertAlign w:val="subscript"/>
        </w:rPr>
        <w:t xml:space="preserve">600</w:t>
      </w:r>
      <w:r>
        <w:t xml:space="preserve"> </w:t>
      </w:r>
      <w:r>
        <w:t xml:space="preserve">= 0.559), but was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S4). Maximum growth rate analysis for each carbohydrate also indicated potential hierarchy of growth nutrient preference (Table S4). The progression is as follows: D-fructose (slope = 0.089), N-acetyl-D-glucosamine (slope = 0.085), salicin (slope = 0.077), mannitol (slope = 0.044) / trehalose (slope = 0.044), and finally N-acetylneuriminate (slope = 0.024). This suggested that</w:t>
      </w:r>
      <w:r>
        <w:t xml:space="preserve"> </w:t>
      </w:r>
      <w:r>
        <w:rPr>
          <w:i/>
        </w:rPr>
        <w:t xml:space="preserve">C. difficile</w:t>
      </w:r>
      <w:r>
        <w:t xml:space="preserve"> </w:t>
      </w:r>
      <w:r>
        <w:t xml:space="preserve">was most well-suited to metabolize the nutrient source that is most likely to be present in all susceptible mouse ceca. Together, these results support the hypothesis that</w:t>
      </w:r>
      <w:r>
        <w:t xml:space="preserve"> </w:t>
      </w:r>
      <w:r>
        <w:rPr>
          <w:i/>
        </w:rPr>
        <w:t xml:space="preserve">C. difficile</w:t>
      </w:r>
      <w:r>
        <w:t xml:space="preserve"> </w:t>
      </w:r>
      <w:r>
        <w:t xml:space="preserve">is able to adapt its nutritional strategy to carbohydrate availability during infection and may suggest a hierarchy of nutrient preference. &lt;--- This sentence is repeated after each section. I think we can scrap it and use it to lead off the Discussion like you already have ----&gt;</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Mice treated with different antibiotics harbored distinct microbial communities and when</w:t>
      </w:r>
      <w:r>
        <w:t xml:space="preserve"> </w:t>
      </w:r>
      <w:r>
        <w:rPr>
          <w:i/>
        </w:rPr>
        <w:t xml:space="preserve">C. difficile</w:t>
      </w:r>
      <w:r>
        <w:t xml:space="preserve"> </w:t>
      </w:r>
      <w:r>
        <w:t xml:space="preserve">colonized these communities it altered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were able to obtain a deeper understanding of the pathogen’s behavior in different contexts of infection. Comparative studies on gene content alone enabled us to identify core genomic elements and putative colonization factors</w:t>
      </w:r>
      <w:r>
        <w:rPr>
          <w:vertAlign w:val="superscript"/>
        </w:rPr>
        <w:t xml:space="preserve">42,43</w:t>
      </w:r>
      <w:r>
        <w:t xml:space="preserve">. Although these are important steps in directing future research, they lack an expression component to identify when these functions are likely to be produced by a cell. Transcriptomic analysis is more informative than a genome, since it allows one to quantify the differential expression of genes under distinct conditions and can uncover patterns of adaptation</w:t>
      </w:r>
      <w:r>
        <w:rPr>
          <w:vertAlign w:val="superscript"/>
        </w:rPr>
        <w:t xml:space="preserve">24</w:t>
      </w:r>
      <w:r>
        <w:t xml:space="preserve">. Transcriptomic analysis has traditionally been limited since the scope is typically the expression of single gene families or pathways without concern for how they interact with other pathways. Our network-based approach instead focused on uncovering those resources that</w:t>
      </w:r>
      <w:r>
        <w:t xml:space="preserve"> </w:t>
      </w:r>
      <w:r>
        <w:rPr>
          <w:i/>
        </w:rPr>
        <w:t xml:space="preserve">C. difficile</w:t>
      </w:r>
      <w:r>
        <w:t xml:space="preserve"> </w:t>
      </w:r>
      <w:r>
        <w:t xml:space="preserve">acquires from the environment using an integrative approach in which all reactions that are annotated to interact with a given metabolite are incorporated into the importance of that metabolite at the time point measured. In this way we were able to amplify the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 To this point, when we analyzed sorbitol as a growth substrate during the</w:t>
      </w:r>
      <w:r>
        <w:t xml:space="preserve"> </w:t>
      </w:r>
      <w:r>
        <w:rPr>
          <w:i/>
        </w:rPr>
        <w:t xml:space="preserve">in vitro</w:t>
      </w:r>
      <w:r>
        <w:t xml:space="preserve"> </w:t>
      </w:r>
      <w:r>
        <w:t xml:space="preserve">experiments we saw that it indeed did not provide for increased growth over No Carbohydrate control and that the network-based method provided a more robust prediction of nutrient preference (Fig. S4).</w:t>
      </w:r>
    </w:p>
    <w:p>
      <w:pPr>
        <w:pStyle w:val="BodyText"/>
      </w:pPr>
      <w:r>
        <w:t xml:space="preserve">Our hypothesis is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44</w:t>
      </w:r>
      <w:r>
        <w:t xml:space="preserve">). Interestingly, the capacity for bacteria to catabolize the amino sugar N-acetylneurminate is highly distributed among species that inhabit the mammalian gut</w:t>
      </w:r>
      <w:r>
        <w:rPr>
          <w:vertAlign w:val="superscript"/>
        </w:rPr>
        <w:t xml:space="preserve">45</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Additionally, the finding that N-acetyl-D-glucosamine is consistently the highest scoring shared metabolite among all tested conditions strongly indicated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46</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47</w:t>
      </w:r>
      <w:r>
        <w:t xml:space="preserve">, eventually leading through the intermediate 3−hydroxybutanoyl−CoA ultimately toward the production of butyrate</w:t>
      </w:r>
      <w:r>
        <w:rPr>
          <w:vertAlign w:val="superscript"/>
        </w:rPr>
        <w:t xml:space="preserve">48</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49</w:t>
      </w:r>
      <w:r>
        <w:t xml:space="preserve">. These findings that there are also metabolites that</w:t>
      </w:r>
      <w:r>
        <w:t xml:space="preserve"> </w:t>
      </w:r>
      <w:r>
        <w:rPr>
          <w:i/>
        </w:rPr>
        <w:t xml:space="preserve">C. difficile</w:t>
      </w:r>
      <w:r>
        <w:t xml:space="preserve"> </w:t>
      </w:r>
      <w:r>
        <w:t xml:space="preserve">will utilize in any condition and are central to its nutritional strategy.</w:t>
      </w:r>
    </w:p>
    <w:p>
      <w:pPr>
        <w:pStyle w:val="BodyText"/>
      </w:pPr>
      <w:r>
        <w:t xml:space="preserve">In addition to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(Fig. 6a). One interesting result is the appearance of CO</w:t>
      </w:r>
      <w:r>
        <w:rPr>
          <w:vertAlign w:val="subscript"/>
        </w:rPr>
        <w:t xml:space="preserve">2</w:t>
      </w:r>
      <w:r>
        <w:t xml:space="preserve">, an apparent metabolic end product,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50</w:t>
      </w:r>
      <w:r>
        <w:t xml:space="preserve">. Furthermore, oxygen appears as important in clindamycin-treated mice. Despite the fact that</w:t>
      </w:r>
      <w:r>
        <w:t xml:space="preserve"> </w:t>
      </w:r>
      <w:r>
        <w:rPr>
          <w:i/>
        </w:rPr>
        <w:t xml:space="preserve">C. difficile</w:t>
      </w:r>
      <w:r>
        <w:t xml:space="preserve"> </w:t>
      </w:r>
      <w:r>
        <w:t xml:space="preserve">is considered a strict anaerobe, it has been shown to be able to resist oxidative stress through expression of multiple putative oxidoreductases</w:t>
      </w:r>
      <w:r>
        <w:rPr>
          <w:vertAlign w:val="superscript"/>
        </w:rPr>
        <w:t xml:space="preserve">51</w:t>
      </w:r>
      <w:r>
        <w:t xml:space="preserve">. Increased reactive oxygen species may be induced by residual antibiotic affect host or other bacterial cells</w:t>
      </w:r>
      <w:r>
        <w:rPr>
          <w:vertAlign w:val="superscript"/>
        </w:rPr>
        <w:t xml:space="preserve">52</w:t>
      </w:r>
      <w:r>
        <w:t xml:space="preserve">. It is important to note that the metabolites highlighted by our method are not necessarily growth substrates, only how probable it is that they are being removed from the environment which encompasses possible detoxification. As such, this platform may also prove informative for generating hypotheses through reverse ecology</w:t>
      </w:r>
      <w:r>
        <w:rPr>
          <w:vertAlign w:val="superscript"/>
        </w:rPr>
        <w:t xml:space="preserve">53</w:t>
      </w:r>
      <w:r>
        <w:t xml:space="preserve"> </w:t>
      </w:r>
      <w:r>
        <w:t xml:space="preserve">that could ultimately lead to uncovering new edges of interaction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dependent on gene annotation. Genes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54</w:t>
      </w:r>
      <w:r>
        <w:t xml:space="preserv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 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 our hypothesis that</w:t>
      </w:r>
      <w:r>
        <w:t xml:space="preserve"> </w:t>
      </w:r>
      <w:r>
        <w:rPr>
          <w:i/>
        </w:rPr>
        <w:t xml:space="preserve">C. difficile</w:t>
      </w:r>
      <w:r>
        <w:t xml:space="preserve"> </w:t>
      </w:r>
      <w:r>
        <w:t xml:space="preserve">metabolizes alternative carbon sources across susceptible gut environments for growth. Together, our results demonstrate that our novel metabolic modeling approach highlights which substrates an organism is likely using at the time of sampling.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55</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56</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57</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titre of toxin in the cecum, a Vero cell rounding assay was performed</w:t>
      </w:r>
      <w:r>
        <w:rPr>
          <w:vertAlign w:val="superscript"/>
        </w:rPr>
        <w:t xml:space="preserve">58</w:t>
      </w:r>
      <w:r>
        <w:t xml:space="preserve">. Briefly, cells were grown to a confluent monolayer in DMEM (Dulbecco's Modified Eagle's medium), supplemented with 10% heat-inactivated fetal bovine serum and 1% penicillin-streptomycin . The cells then were transferred to a conical tube and centrifuged at 1,000 rpm for 5 minutes to pellet the cells. 1×10</w:t>
      </w:r>
      <w:r>
        <w:rPr>
          <w:vertAlign w:val="superscript"/>
        </w:rPr>
        <w:t xml:space="preserve">5</w:t>
      </w:r>
      <w:r>
        <w:t xml:space="preserve"> </w:t>
      </w:r>
      <w:r>
        <w:t xml:space="preserve">cells were seeded in each well of a 96-well plate and incubated for 4 hours. Filtered cecal content was serially diluted 1:10 in PBS. Control wells were given a volume of either a 1:25 dilution of anti-toxin serum. Following the incubation, samples were added to the Vero cells and the plate was incubated overnight at 37° C. Plates were viewed after 24 hours at 10x magnification for cell rounding. The cytotoxic titer was defined as the reciprocal of the highest dilution that produced rounding in 80% of the cells. A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59</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60</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61</w:t>
      </w:r>
      <w:r>
        <w:t xml:space="preserve">. Optical and PCR duplicates were then removed using Picard MarkDuplicates (</w:t>
      </w:r>
      <w:hyperlink r:id="rId27">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62</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do not have annotations for the chemical compounds the interact with are discarded. Metabolites were then associated each enzyme in which they interact with, directionality, and reversibility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28">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29">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63</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were calculated using 2-way ANOVA with Holm-Bonferroni correction. Significance for metabolite importance scores was determined as described above.</w:t>
      </w:r>
    </w:p>
    <w:p>
      <w:pPr>
        <w:pStyle w:val="Heading3"/>
      </w:pPr>
      <w:bookmarkStart w:id="30" w:name="acknowledgements"/>
      <w:bookmarkEnd w:id="30"/>
      <w:r>
        <w:t xml:space="preserve">Acknowledgements</w:t>
      </w:r>
    </w:p>
    <w:p>
      <w:pPr>
        <w:pStyle w:val="FirstParagraph"/>
      </w:pPr>
      <w:r>
        <w:t xml:space="preserve">The authors would like to acknowledge members of the University of Michigan Germ 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a Translational Research Education Certificate grant to Jhansi Leslie (MICHR; UL1TR000433). Pooled and quality trimmed transcriptomic read data and experiment metadata are available through the NCBI Sequence Read Archive (SRA PRJNA354635). Data processing steps for beginning from sequence data to the final manuscript are hosted at</w:t>
      </w:r>
      <w:r>
        <w:t xml:space="preserve"> </w:t>
      </w:r>
      <w:hyperlink r:id="rId31">
        <w:r>
          <w:rPr>
            <w:rStyle w:val="Hyperlink"/>
          </w:rPr>
          <w:t xml:space="preserve">http://www.github.com/SchlossLab/Jenior\_Modeling_NatMicro_2016</w:t>
        </w:r>
      </w:hyperlink>
      <w:r>
        <w:t xml:space="preserve">.</w:t>
      </w:r>
    </w:p>
    <w:p>
      <w:pPr>
        <w:pStyle w:val="Heading3"/>
      </w:pPr>
      <w:bookmarkStart w:id="32" w:name="author-information"/>
      <w:bookmarkEnd w:id="32"/>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3">
        <w:r>
          <w:rPr>
            <w:rStyle w:val="Hyperlink"/>
          </w:rPr>
          <w:t xml:space="preserve">Patrick D. Schloss</w:t>
        </w:r>
      </w:hyperlink>
    </w:p>
    <w:p>
      <w:pPr>
        <w:pStyle w:val="Heading3"/>
      </w:pPr>
      <w:bookmarkStart w:id="34" w:name="figures"/>
      <w:bookmarkEnd w:id="34"/>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 Day -1 prior to infection, or</w:t>
      </w:r>
      <w:r>
        <w:t xml:space="preserve"> </w:t>
      </w:r>
      <w:r>
        <w:rPr>
          <w:i/>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 rarefied transcript data for each gene from pooled transcriptomic sequencing of</w:t>
      </w:r>
      <w:r>
        <w:t xml:space="preserve"> </w:t>
      </w:r>
      <w:r>
        <w:rPr>
          <w:i/>
        </w:rPr>
        <w:t xml:space="preserve">C. difficile</w:t>
      </w:r>
      <w:r>
        <w:t xml:space="preserve"> </w:t>
      </w:r>
      <w:r>
        <w:t xml:space="preserve">in each condition.</w:t>
      </w:r>
      <w:r>
        <w:t xml:space="preserve"> </w:t>
      </w:r>
      <w:r>
        <w:rPr>
          <w:b/>
        </w:rPr>
        <w:t xml:space="preserve">(a)</w:t>
      </w:r>
      <w:r>
        <w:t xml:space="preserve"> </w:t>
      </w:r>
      <w:r>
        <w:t xml:space="preserve">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Genes for effector proteins included in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Genes that have been associated with quorum sensing in</w:t>
      </w:r>
      <w:r>
        <w:t xml:space="preserve"> </w:t>
      </w:r>
      <w:r>
        <w:rPr>
          <w:i/>
        </w:rPr>
        <w:t xml:space="preserve">C. difficile</w:t>
      </w:r>
      <w:r>
        <w:t xml:space="preserve">.</w:t>
      </w:r>
      <w:r>
        <w:t xml:space="preserve"> </w:t>
      </w:r>
      <w:r>
        <w:rPr>
          <w:b/>
        </w:rPr>
        <w:t xml:space="preserve">(d)</w:t>
      </w:r>
      <w:r>
        <w:t xml:space="preserve"> </w:t>
      </w:r>
      <w:r>
        <w:t xml:space="preserve">Select sigma factors which expression/activity is under the control of environment nutrient concentrations. Relative abundances were calculated from the total expression within each treatment group for all genes shown in a - d.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alternative carbon metabolism across antibiotic pretreatments.</w:t>
      </w:r>
      <w:r>
        <w:t xml:space="preserve"> </w:t>
      </w:r>
      <w: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w:t>
      </w:r>
      <w:r>
        <w:t xml:space="preserve"> </w:t>
      </w:r>
      <w:r>
        <w:rPr>
          <w:b/>
        </w:rPr>
        <w:t xml:space="preserve">(a)</w:t>
      </w:r>
      <w:r>
        <w:t xml:space="preserve"> </w:t>
      </w:r>
      <w:r>
        <w:t xml:space="preserve">Point sizes were determined based on the expression from the condition with the highest value for each gene. Highest overall expression across all experimental groups was seen in genes associated with Stickland (amino acid) fermentation.</w:t>
      </w:r>
      <w:r>
        <w:t xml:space="preserve"> </w:t>
      </w:r>
      <w:r>
        <w:rPr>
          <w:b/>
        </w:rPr>
        <w:t xml:space="preserve">(b – i)</w:t>
      </w:r>
      <w:r>
        <w:t xml:space="preserve"> </w:t>
      </w:r>
      <w:r>
        <w:t xml:space="preserve">Groups from a are also plotted separately in without size differences for clarity. Genes included in each group and transcript abundances can be found in Table S1. Refer to Fig. S2 for additional explanantion for readability of Fig. 4.</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and the abundances shown were taken from the transcriptome of</w:t>
      </w:r>
      <w:r>
        <w:t xml:space="preserve"> </w:t>
      </w:r>
      <w:r>
        <w:rPr>
          <w:i/>
        </w:rPr>
        <w:t xml:space="preserve">C. difficile</w:t>
      </w:r>
      <w:r>
        <w:t xml:space="preserve"> </w:t>
      </w:r>
      <w:r>
        <w:t xml:space="preserve">str. 630 during infection of cefoperazone-treated mice. Below the representative network is the metabolite importance algorithm separated into 3 parts;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m are calculated at then the difference of these values found to get the relative importance of m. Log</w:t>
      </w:r>
      <w:r>
        <w:rPr>
          <w:vertAlign w:val="subscript"/>
        </w:rPr>
        <w:t xml:space="preserve">2</w:t>
      </w:r>
      <w:r>
        <w:t xml:space="preserve"> </w:t>
      </w:r>
      <w:r>
        <w:t xml:space="preserve">transformation is then performed for comparability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to 27,664 normalized reads to include gnotobiotic mice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values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In gray is a control curve in which amino acids are the only possible source of carbon for</w:t>
      </w:r>
      <w:r>
        <w:t xml:space="preserve"> </w:t>
      </w:r>
      <w:r>
        <w:rPr>
          <w:i/>
        </w:rPr>
        <w:t xml:space="preserve">C. difficile</w:t>
      </w:r>
      <w:r>
        <w:t xml:space="preserve">.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Carbohydrates (+ Amino acids) control. Only those carbon sources that significantly improved</w:t>
      </w:r>
      <w:r>
        <w:t xml:space="preserve"> </w:t>
      </w:r>
      <w:r>
        <w:rPr>
          <w:i/>
        </w:rPr>
        <w:t xml:space="preserve">C. difficile</w:t>
      </w:r>
      <w:r>
        <w:t xml:space="preserve"> </w:t>
      </w:r>
      <w:r>
        <w:t xml:space="preserve">growth over controls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3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4 | Additional growth curves for additional carbon sources and controls.</w:t>
      </w:r>
      <w:r>
        <w:t xml:space="preserve"> </w:t>
      </w:r>
      <w:r>
        <w:t xml:space="preserve">Significant metabolites from network analysis that did not provide improved growth over No Carbohydrate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5" w:name="references"/>
      <w:bookmarkEnd w:id="35"/>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6">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7">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38">
        <w:r>
          <w:rPr>
            <w:rStyle w:val="Hyperlink"/>
          </w:rPr>
          <w:t xml:space="preserve">10.1128/JB.00986-15</w:t>
        </w:r>
      </w:hyperlink>
    </w:p>
    <w:p>
      <w:pPr>
        <w:pStyle w:val="Bibliography"/>
      </w:pPr>
      <w:r>
        <w:t xml:space="preserve">37.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38.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39.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40.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41.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42.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43.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44.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45.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46.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47.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48.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49.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50.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51. Emerson, J. E., Stabler, R. A., Wren, B. W. &amp; Fairweather, N. F. Microarray analysis of the transcriptional responses of Clostridium difficile 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52. Li, C. H., Cheng, Y. W., Liao, P. L., Yang, Y. T. &amp; Kang, J. J. Chloramphenicol causes mitochondrial stress, decreases ATP biosynthesis, induces matrix metalloproteinase-13 expression, and solid-tumor cell invasion.</w:t>
      </w:r>
      <w:r>
        <w:t xml:space="preserve"> </w:t>
      </w:r>
      <w:r>
        <w:rPr>
          <w:i/>
        </w:rPr>
        <w:t xml:space="preserve">Toxicological Sciences</w:t>
      </w:r>
      <w:r>
        <w:t xml:space="preserve"> </w:t>
      </w:r>
      <w:r>
        <w:rPr>
          <w:b/>
        </w:rPr>
        <w:t xml:space="preserve">116,</w:t>
      </w:r>
      <w:r>
        <w:t xml:space="preserve"> </w:t>
      </w:r>
      <w:r>
        <w:t xml:space="preserve">140–150 (2010).</w:t>
      </w:r>
    </w:p>
    <w:p>
      <w:pPr>
        <w:pStyle w:val="Bibliography"/>
      </w:pPr>
      <w:r>
        <w:t xml:space="preserve">53. Levy, R. &amp; Borenstein, E. Reverse Ecology: from systems to environments and back.</w:t>
      </w:r>
      <w:r>
        <w:t xml:space="preserve"> </w:t>
      </w:r>
      <w:r>
        <w:rPr>
          <w:i/>
        </w:rPr>
        <w:t xml:space="preserve">Advances in experimental medicine and biology</w:t>
      </w:r>
      <w:r>
        <w:t xml:space="preserve"> </w:t>
      </w:r>
      <w:r>
        <w:rPr>
          <w:b/>
        </w:rPr>
        <w:t xml:space="preserve">751,</w:t>
      </w:r>
      <w:r>
        <w:t xml:space="preserve"> </w:t>
      </w:r>
      <w:r>
        <w:t xml:space="preserve">329–345 (2012).</w:t>
      </w:r>
    </w:p>
    <w:p>
      <w:pPr>
        <w:pStyle w:val="Bibliography"/>
      </w:pPr>
      <w:r>
        <w:t xml:space="preserve">54.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55.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56.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57.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58.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59.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39">
        <w:r>
          <w:rPr>
            <w:rStyle w:val="Hyperlink"/>
          </w:rPr>
          <w:t xml:space="preserve">10.3791/3293</w:t>
        </w:r>
      </w:hyperlink>
    </w:p>
    <w:p>
      <w:pPr>
        <w:pStyle w:val="Bibliography"/>
      </w:pPr>
      <w:r>
        <w:t xml:space="preserve">60.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0">
        <w:r>
          <w:rPr>
            <w:rStyle w:val="Hyperlink"/>
          </w:rPr>
          <w:t xml:space="preserve">gb-2009-10-3-r25 [pii]\r10.1186/gb-2009-10-3-r25</w:t>
        </w:r>
      </w:hyperlink>
    </w:p>
    <w:p>
      <w:pPr>
        <w:pStyle w:val="Bibliography"/>
      </w:pPr>
      <w:r>
        <w:t xml:space="preserve">61.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62.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63.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ca9fa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