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w:t>
      </w:r>
      <w:r>
        <w:rPr>
          <w:vertAlign w:val="superscript"/>
        </w:rPr>
        <w:t xml:space="preserve">,</w:t>
      </w:r>
      <w:r>
        <w:rPr>
          <w:vertAlign w:val="superscript"/>
        </w:rPr>
        <w:t xml:space="preserve">7</w:t>
      </w:r>
      <w:r>
        <w:rPr>
          <w:vertAlign w:val="superscript"/>
        </w:rPr>
        <w:t xml:space="preserve">,</w:t>
      </w:r>
      <w:r>
        <w:rPr>
          <w:vertAlign w:val="superscript"/>
        </w:rPr>
        <w:t xml:space="preserve">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11</w:t>
      </w:r>
      <w:r>
        <w:rPr>
          <w:vertAlign w:val="superscript"/>
        </w:rPr>
        <w:t xml:space="preserve">,</w:t>
      </w:r>
      <w:r>
        <w:rPr>
          <w:vertAlign w:val="superscript"/>
        </w:rPr>
        <w:t xml:space="preserve">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w:t>
      </w:r>
      <w:r>
        <w:rPr>
          <w:vertAlign w:val="superscript"/>
        </w:rPr>
        <w:t xml:space="preserve">,</w:t>
      </w:r>
      <w:r>
        <w:rPr>
          <w:vertAlign w:val="superscript"/>
        </w:rPr>
        <w:t xml:space="preserve">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w:t>
      </w:r>
      <w:r>
        <w:rPr>
          <w:vertAlign w:val="superscript"/>
        </w:rPr>
        <w:t xml:space="preserve">,</w:t>
      </w:r>
      <w:r>
        <w:rPr>
          <w:vertAlign w:val="superscript"/>
        </w:rPr>
        <w:t xml:space="preserve">16</w:t>
      </w:r>
      <w:r>
        <w:rPr>
          <w:vertAlign w:val="superscript"/>
        </w:rPr>
        <w:t xml:space="preserve">,</w:t>
      </w:r>
      <w:r>
        <w:rPr>
          <w:vertAlign w:val="superscript"/>
        </w:rPr>
        <w:t xml:space="preserve">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w:t>
      </w:r>
      <w:r>
        <w:rPr>
          <w:vertAlign w:val="superscript"/>
        </w:rPr>
        <w:t xml:space="preserve">,</w:t>
      </w:r>
      <w:r>
        <w:rPr>
          <w:vertAlign w:val="superscript"/>
        </w:rPr>
        <w:t xml:space="preserve">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w:t>
      </w:r>
      <w:r>
        <w:rPr>
          <w:vertAlign w:val="superscript"/>
        </w:rPr>
        <w:t xml:space="preserve">,</w:t>
      </w:r>
      <w:r>
        <w:rPr>
          <w:vertAlign w:val="superscript"/>
        </w:rPr>
        <w:t xml:space="preserve">23</w:t>
      </w:r>
      <w:r>
        <w:t xml:space="preserve">, with some work characterizing transcription during colonization of germ free mice</w:t>
      </w:r>
      <w:r>
        <w:rPr>
          <w:vertAlign w:val="superscript"/>
        </w:rPr>
        <w:t xml:space="preserve">24</w:t>
      </w:r>
      <w:r>
        <w:rPr>
          <w:vertAlign w:val="superscript"/>
        </w:rPr>
        <w:t xml:space="preserve">,</w:t>
      </w:r>
      <w:r>
        <w:rPr>
          <w:vertAlign w:val="superscript"/>
        </w:rPr>
        <w:t xml:space="preserve">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w:t>
      </w:r>
      <w:r>
        <w:rPr>
          <w:vertAlign w:val="superscript"/>
        </w:rPr>
        <w:t xml:space="preserve">,</w:t>
      </w:r>
      <w:r>
        <w:rPr>
          <w:vertAlign w:val="superscript"/>
        </w:rPr>
        <w:t xml:space="preserve">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w:t>
      </w:r>
      <w:r>
        <w:rPr>
          <w:vertAlign w:val="superscript"/>
        </w:rPr>
        <w:t xml:space="preserve">,</w:t>
      </w:r>
      <w:r>
        <w:rPr>
          <w:vertAlign w:val="superscript"/>
        </w:rPr>
        <w:t xml:space="preserve">27</w:t>
      </w:r>
      <w:r>
        <w:rPr>
          <w:vertAlign w:val="superscript"/>
        </w:rPr>
        <w:t xml:space="preserve">,</w:t>
      </w:r>
      <w:r>
        <w:rPr>
          <w:vertAlign w:val="superscript"/>
        </w:rPr>
        <w:t xml:space="preserve">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10</w:t>
      </w:r>
      <w:r>
        <w:rPr>
          <w:vertAlign w:val="superscript"/>
        </w:rPr>
        <w:t xml:space="preserve">,</w:t>
      </w:r>
      <w:r>
        <w:rPr>
          <w:vertAlign w:val="superscript"/>
        </w:rPr>
        <w:t xml:space="preserve">7</w:t>
      </w:r>
      <w:r>
        <w:rPr>
          <w:vertAlign w:val="superscript"/>
        </w:rPr>
        <w:t xml:space="preserve">,</w:t>
      </w:r>
      <w:r>
        <w:rPr>
          <w:vertAlign w:val="superscript"/>
        </w:rPr>
        <w:t xml:space="preserve">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w:t>
      </w:r>
      <w:r>
        <w:rPr>
          <w:i/>
        </w:rPr>
        <w:t xml:space="preserve">P</w:t>
      </w:r>
      <w:r>
        <w:t xml:space="preserve"> </w:t>
      </w:r>
      <w:r>
        <w:t xml:space="preserve">&lt; 0.05;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i/>
        </w:rPr>
        <w:t xml:space="preserve">P</w:t>
      </w:r>
      <w:r>
        <w:t xml:space="preserve"> </w:t>
      </w:r>
      <w:r>
        <w:t xml:space="preserve">&lt; 0.01), but toxin titer also varied between antibiotic treatment groups (Fig. 2c). Although similar toxin titers were found in both the cefoperazone and clindamycin-treated groups, toxin titer was not detectable in the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w:t>
      </w:r>
      <w:r>
        <w:rPr>
          <w:vertAlign w:val="superscript"/>
        </w:rPr>
        <w:t xml:space="preserve">,</w:t>
      </w:r>
      <w:r>
        <w:rPr>
          <w:vertAlign w:val="superscript"/>
        </w:rPr>
        <w:t xml:space="preserve">30</w:t>
      </w:r>
      <w:r>
        <w:rPr>
          <w:vertAlign w:val="superscript"/>
        </w:rPr>
        <w:t xml:space="preserve">,</w:t>
      </w:r>
      <w:r>
        <w:rPr>
          <w:vertAlign w:val="superscript"/>
        </w:rPr>
        <w:t xml:space="preserve">31</w:t>
      </w:r>
      <w:r>
        <w:rPr>
          <w:vertAlign w:val="superscript"/>
        </w:rPr>
        <w:t xml:space="preserve">,</w:t>
      </w:r>
      <w:r>
        <w:rPr>
          <w:vertAlign w:val="superscript"/>
        </w:rPr>
        <w:t xml:space="preserve">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w:t>
      </w:r>
      <w:r>
        <w:rPr>
          <w:vertAlign w:val="superscript"/>
        </w:rPr>
        <w:t xml:space="preserve">,</w:t>
      </w:r>
      <w:r>
        <w:rPr>
          <w:vertAlign w:val="superscript"/>
        </w:rPr>
        <w:t xml:space="preserve">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w:t>
      </w:r>
      <w:r>
        <w:rPr>
          <w:vertAlign w:val="superscript"/>
        </w:rPr>
        <w:t xml:space="preserve">,</w:t>
      </w:r>
      <w:r>
        <w:rPr>
          <w:vertAlign w:val="superscript"/>
        </w:rPr>
        <w:t xml:space="preserve">31</w:t>
      </w:r>
      <w:r>
        <w:rPr>
          <w:vertAlign w:val="superscript"/>
        </w:rPr>
        <w:t xml:space="preserve">,</w:t>
      </w:r>
      <w:r>
        <w:rPr>
          <w:vertAlign w:val="superscript"/>
        </w:rPr>
        <w:t xml:space="preserve">21</w:t>
      </w:r>
      <w:r>
        <w:rPr>
          <w:vertAlign w:val="superscript"/>
        </w:rPr>
        <w:t xml:space="preserve">,</w:t>
      </w:r>
      <w:r>
        <w:rPr>
          <w:vertAlign w:val="superscript"/>
        </w:rPr>
        <w:t xml:space="preserve">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Other conserved metabolites included fructose derivatives which are inputs, and lactate which is a product of the anaerobic glycolytic pathway. Additionally, acetate was found to be important in all conditions and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41</w:t>
      </w:r>
      <w:r>
        <w:rPr>
          <w:vertAlign w:val="superscript"/>
        </w:rPr>
        <w:t xml:space="preserve">,</w:t>
      </w:r>
      <w:r>
        <w:rPr>
          <w:vertAlign w:val="superscript"/>
        </w:rPr>
        <w:t xml:space="preserve">7</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 0).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 0; Max OD</w:t>
      </w:r>
      <w:r>
        <w:rPr>
          <w:vertAlign w:val="subscript"/>
        </w:rPr>
        <w:t xml:space="preserve">600</w:t>
      </w:r>
      <w:r>
        <w:t xml:space="preserve"> </w:t>
      </w:r>
      <w:r>
        <w:t xml:space="preserve">= 0.201),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S3). Maximum growth rate analysis for each carbohydrate also indicates potential hierarchy of growth nutrient preference (Table S4). The progression is as follows: D-fructose (slope = 0.089), N-acetyl-D-glucosamine (slope = 0.085), salicin (slope = 0.077), mannitol (slope = 0.044)/trehalose (slope = 0.017),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mammalian GI tracts.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w:t>
      </w:r>
      <w:r>
        <w:rPr>
          <w:vertAlign w:val="superscript"/>
        </w:rPr>
        <w:t xml:space="preserve">,</w:t>
      </w:r>
      <w:r>
        <w:rPr>
          <w:vertAlign w:val="superscript"/>
        </w:rPr>
        <w:t xml:space="preserve">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Another interesting result is the appearance of CO</w:t>
      </w:r>
      <w:r>
        <w:rPr>
          <w:vertAlign w:val="subscript"/>
        </w:rPr>
        <w:t xml:space="preserve">2</w:t>
      </w:r>
      <w: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As such, this platform may also prove informative for generating hypotheses through reverse ecology that could ultimately lead to uncovering new edges of competition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52</w:t>
      </w:r>
      <w:r>
        <w:t xml:space="preserve">.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w:t>
      </w:r>
      <w:r>
        <w:rPr>
          <w:vertAlign w:val="superscript"/>
        </w:rPr>
        <w:t xml:space="preserve">53</w:t>
      </w:r>
      <w:r>
        <w:t xml:space="preserve">. Concordantly, this minimizes the likelihood of labeling reactions as producing a given metabolite when in reality are consuming it, artificially decreasing a metabolite’s importance score.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w:t>
      </w:r>
    </w:p>
    <w:p>
      <w:pPr>
        <w:pStyle w:val="BodyText"/>
      </w:pPr>
      <w:r>
        <w:t xml:space="preserve">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55</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56</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57</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58</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w:t>
      </w:r>
      <w:r>
        <w:t xml:space="preserve"> </w:t>
      </w:r>
      <w:r>
        <w:t xml:space="preserve">cfu - significant differences were determined by Wilcoxon test and Holm-Bonferroni correction.</w:t>
      </w:r>
      <w:r>
        <w:t xml:space="preserve"> </w:t>
      </w:r>
      <w:r>
        <w:t xml:space="preserve">toxin titer - Significant differences were determined by Holm-Bonferroni corrected Wilcoxon tests.</w:t>
      </w:r>
      <w:r>
        <w:t xml:space="preserve"> </w:t>
      </w:r>
      <w:r>
        <w:t xml:space="preserve">acetate - wilcoxon</w:t>
      </w:r>
      <w:r>
        <w:t xml:space="preserve"> </w:t>
      </w:r>
      <w:r>
        <w:t xml:space="preserve">gorwth curves - Significant differences were determined by 2-way ANOVA with Holm-Bonferroni correction.</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the Translational Research Education Certificate (MICHR; UL1TR000433). Processed transcriptomic read data is available at...</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s"/>
      <w:bookmarkEnd w:id="35"/>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7">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8">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9">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Uzman, A., Lodish, H., Berk, A., Zipursky, L. &amp; Baltimore, D. Molecular Cell Biology (4th edition) New York, NY, 2000, ISBN 0-7167-3136-3.</w:t>
      </w:r>
      <w:r>
        <w:t xml:space="preserve"> </w:t>
      </w:r>
      <w:r>
        <w:rPr>
          <w:i/>
        </w:rPr>
        <w:t xml:space="preserve">Biochemistry and Molecular Biology Education</w:t>
      </w:r>
      <w:r>
        <w:t xml:space="preserve"> </w:t>
      </w:r>
      <w:r>
        <w:rPr>
          <w:b/>
        </w:rPr>
        <w:t xml:space="preserve">29,</w:t>
      </w:r>
      <w:r>
        <w:t xml:space="preserve"> </w:t>
      </w:r>
      <w:r>
        <w:t xml:space="preserve">Section 1.2The Molecules of Life (2000).</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0">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1">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a4ce0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7" Target="https://doi.org/10.1038/ncomms4114.Antibiotic-induced" TargetMode="External" /><Relationship Type="http://schemas.openxmlformats.org/officeDocument/2006/relationships/hyperlink" Id="rId39" Target="https://doi.org/10.1128/JB.00986-15" TargetMode="External" /><Relationship Type="http://schemas.openxmlformats.org/officeDocument/2006/relationships/hyperlink" Id="rId38" Target="https://doi.org/10.1186/s12866-015-0614-2" TargetMode="External" /><Relationship Type="http://schemas.openxmlformats.org/officeDocument/2006/relationships/hyperlink" Id="rId40" Target="https://doi.org/10.3791/3293" TargetMode="External" /><Relationship Type="http://schemas.openxmlformats.org/officeDocument/2006/relationships/hyperlink" Id="rId41"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