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w:t>
      </w:r>
      <w:r>
        <w:rPr>
          <w:vertAlign w:val="superscript"/>
        </w:rP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41</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 0).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 0; Max OD</w:t>
      </w:r>
      <w:r>
        <w:rPr>
          <w:vertAlign w:val="subscript"/>
        </w:rPr>
        <w:t xml:space="preserve">600</w:t>
      </w:r>
      <w:r>
        <w:t xml:space="preserve"> </w:t>
      </w:r>
      <w:r>
        <w:t xml:space="preserve">= 0.201),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0.017),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mammalian GI tracts.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w:t>
      </w:r>
      <w:r>
        <w:rPr>
          <w:vertAlign w:val="superscript"/>
        </w:rPr>
        <w:t xml:space="preserve">,</w:t>
      </w:r>
      <w:r>
        <w:rPr>
          <w:vertAlign w:val="superscript"/>
        </w:rPr>
        <w:t xml:space="preserve">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52</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53</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55</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56</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57</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58</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w:t>
      </w:r>
      <w:r>
        <w:t xml:space="preserve"> </w:t>
      </w:r>
      <w:r>
        <w:t xml:space="preserve">cfu - significant differences were determined by Wilcoxon test and Holm-Bonferroni correction.</w:t>
      </w:r>
      <w:r>
        <w:t xml:space="preserve"> </w:t>
      </w:r>
      <w:r>
        <w:t xml:space="preserve">toxin titer - Significant differences were determined by Holm-Bonferroni corrected Wilcoxon tests.</w:t>
      </w:r>
      <w:r>
        <w:t xml:space="preserve"> </w:t>
      </w:r>
      <w:r>
        <w:t xml:space="preserve">acetate - wilcoxon</w:t>
      </w:r>
      <w:r>
        <w:t xml:space="preserve"> </w:t>
      </w:r>
      <w:r>
        <w:t xml:space="preserve">gorwth curves - Significant differences were determined by 2-way ANOVA with Holm-Bonferroni correction.</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the Translational Research Education Certificate (MICHR; UL1TR000433). Processed transcriptomic read data is available at...</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d525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