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SourceCode"/>
      </w:pPr>
      <w:r>
        <w:rPr>
          <w:rStyle w:val="VerbatimChar"/>
        </w:rPr>
        <w:t xml:space="preserve">*Clostridium difficile*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*C. difficile* 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*C. difficile* as it colonizes the ceca of mice, we performed *in vivo* *C. difficile*-focused RNA-Seq analysis from cecal content of infected mice. This approach revealed numerous variations between condition in metabolic pathways associated with carbohydrate and amino acid catabolism, indicating that *C. difficile* likely colonizes alternative nutrient niches across the environments it colonizes. In order to assess which aspects of the gut environment *C. difficile* is exploiting during infection, we used a reverse ecology approach and developed a novel substrate scoring algorithm within the genome-scale bipartite metabolic network of *C. difficile* str. 630 that incorporates both network topology and transcript abundance for enzymes within the model to infer the likelihood that a given substrate in acquired from the environment. Applying the importance algorithm, we found that *C. difficile* indeed occupies alternative nutrient niches across each antibiotic class tested. Results from this analysis support specific sugar alcohols and host derived amino sugars as the most probable growth nutrients that *C. difficile* differentially utilizes across the susceptible gut environments it colonizes. We then confirmed the capacity of each implicated substrate to support substantial *C. difficile* growth *in vitro*. This work has implications for elucidating specifics of the nutrient niche of *C. difficile* during infection, and may lead to the discovery of targeted measures for *C. difficile* colonization prevention.</w:t>
      </w:r>
    </w:p>
    <w:p>
      <w:pPr>
        <w:pStyle w:val="Heading3"/>
      </w:pPr>
      <w:bookmarkStart w:id="22" w:name="introduction"/>
      <w:bookmarkEnd w:id="22"/>
      <w:r>
        <w:t xml:space="preserve">Introduction</w:t>
      </w:r>
    </w:p>
    <w:p>
      <w:pPr>
        <w:pStyle w:val="SourceCode"/>
      </w:pPr>
      <w:r>
        <w:rPr>
          <w:rStyle w:val="VerbatimChar"/>
        </w:rPr>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*C. difficile*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FirstParagraph"/>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 (Chen, 2008; Theriot, 2013; Schubert, 2015).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 (Koenigsknecht, 2015).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 (Antunes 2011; Theriot, 2014; Ferreyra, 2014; Jump, 2014).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 (Freter, 1983; Wilson, 1988) in which an organism must be able to utilize a subset of available resources better than all competitors to colonize the intestine.</w:t>
      </w:r>
      <w:r>
        <w:t xml:space="preserve"> </w:t>
      </w: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ccpA, which are under the control of environmental nutrient concentrations, especially carbohydrates (Antunes, 2012; Bouillaut, 2015).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r>
        <w:t xml:space="preserve"> </w:t>
      </w: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(Matamouros, 2007; Antunes, 2011), with some work characterizing transcription during colonization of germ free mice (Janoir, 2013; Kansau, 2016).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t xml:space="preserve"> </w:t>
      </w:r>
      <w:r>
        <w:t xml:space="preserve">(Kansau, 2016).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 (Theriot, 2013; Jump, 2014);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w:t>
      </w:r>
      <w:r>
        <w:t xml:space="preserve"> </w:t>
      </w:r>
      <w:r>
        <w:rPr>
          <w:i/>
        </w:rPr>
        <w:t xml:space="preserve">C. difficile</w:t>
      </w:r>
      <w:r>
        <w:t xml:space="preserve"> </w:t>
      </w:r>
      <w:r>
        <w:t xml:space="preserve">colonization would allow us to directly test our hypothesis.</w:t>
      </w:r>
      <w:r>
        <w:t xml:space="preserve"> </w:t>
      </w: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r>
        <w:t xml:space="preserve"> </w:t>
      </w:r>
      <w:r>
        <w:t xml:space="preserve">Due to the connection between metabolism and sporulation and toxin production in</w:t>
      </w:r>
      <w:r>
        <w:t xml:space="preserve"> </w:t>
      </w:r>
      <w:r>
        <w:rPr>
          <w:i/>
        </w:rPr>
        <w:t xml:space="preserve">C. difficile</w:t>
      </w:r>
      <w:r>
        <w:t xml:space="preserve">, we measured both phenotypes at 18 hours post infection.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 (Koenigsknecht, 2015). There was not a significant difference in the number of vegetative cells between any susceptible condition tested (P &gt; 0.05; Fig. 2a). All antibiotic treated specific pathogen free (SPF) and germ free (GF) animals were colonized to ~1×108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(P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(P &lt;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t xml:space="preserve"> </w:t>
      </w:r>
      <w:r>
        <w:t xml:space="preserve">(Antunes, 2012).</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 (Putnam, 2005; Underwood, 2009; Fimlaid, 2013; Saujet, 2014),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r>
        <w:t xml:space="preserve"> </w:t>
      </w: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r>
        <w:t xml:space="preserve"> </w:t>
      </w: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r>
        <w:t xml:space="preserve"> </w:t>
      </w: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r>
        <w:t xml:space="preserve"> </w:t>
      </w: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We then applied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top 50 scoring metabolites from each treatment group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 (Karlsson, 2008).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r>
        <w:t xml:space="preserve"> </w:t>
      </w: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substrates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t xml:space="preserve"> </w:t>
      </w:r>
      <w:r>
        <w:t xml:space="preserve">(Ng, 2013; Theriot, 2014).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OD600 = 0.212).</w:t>
      </w:r>
      <w:r>
        <w:t xml:space="preserve"> </w:t>
      </w: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OD600 = 0.774) was observed compared to no carbohydrate controls (P &lt;&lt;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(P &lt;&lt; 0.001). This included D-fructose (streptomycin; Max OD600 = 0.671), mannitol (cefoperazone; Max OD600 = 0.464), salicin (clindamycin; Max OD600 = 0.869), and N-acetylneuraminate (GF; Max OD600 =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SourceCode"/>
      </w:pPr>
      <w:r>
        <w:rPr>
          <w:rStyle w:val="VerbatimChar"/>
        </w:rPr>
        <w:t xml:space="preserve">Collectively, our results support the hypothesis that *C. difficile* can adapt its metabolism to the available niche landscape across susceptible gut environments. We showed that mice treated with different antibiotics harbor distinct microbial communities and that when *C. difficile* colonizes these communities it alters its gene expression. Mapping this gene expression onto a metabolic network model for *C. difficile* allowed us to quantify the importance of different metabolites acquired from its environment. That the most important metabolites differed between antibiotic treatment groups indicated a shift in *C. difficile* metabolism. Furthermore, we validated these results by growing *C. difficile* in media where important metabolites were the sole carbohydrate and observed robust growth. These results give insight to the adaptive strategies that *C. difficile* can use to colonize diverse human microbiota.</w:t>
      </w:r>
    </w:p>
    <w:p>
      <w:pPr>
        <w:pStyle w:val="FirstParagraph"/>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 (Janvilisri, 2009; Scaria, 2015),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 (Janoir, 2013),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 (Kim, 2014).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 (Theriot, 2014). Similar trends of increased concentration for</w:t>
      </w:r>
      <w:r>
        <w:t xml:space="preserve"> </w:t>
      </w:r>
      <w:r>
        <w:rPr>
          <w:i/>
        </w:rPr>
        <w:t xml:space="preserve">C. difficile</w:t>
      </w:r>
      <w:r>
        <w:t xml:space="preserve"> </w:t>
      </w:r>
      <w:r>
        <w:t xml:space="preserve">growth substrates are also true in streptomycin-treated conventional (amino sugars and fructose; Antunes, 2011) and GF mice (N-acetylneurminate; Matsumoto, 2012). Interestingly, the capacity for bacteria to catabolize the amino sugar N-acetylneurminate is highly distributed among species that inhabit the mammalian gut (Vimr, 2004).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r>
        <w:t xml:space="preserve"> </w:t>
      </w: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This may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 (Jackson, 2006), eventually leading through the intermediate 3−hydroxybutanoyl−CoA ultimately toward the production of butyrate (Aboulnaga, 2013).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 (Fonknechten, 2010). Another interesting result is the appearance of CO_2_,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CO_2_ in the conserved metabolite list between all conditions (Kopke, 2013). As such, this platform may also prove informative for generating hypotheses through reverse ecology that could ultimately lead to uncovering new edges of competition between species.</w:t>
      </w:r>
      <w:r>
        <w:t xml:space="preserve"> </w:t>
      </w: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 (Green, 2006).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 (Uzman, 2000).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r>
        <w:t xml:space="preserve"> </w:t>
      </w:r>
      <w:r>
        <w:t xml:space="preserve">Aside from limitations due to annotation, our network-based approach makes a set of basic simplifications of bacterial metabolism as well. First, this method also operates under the oversimplification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r>
        <w:t xml:space="preserve"> </w:t>
      </w: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Theriot et al., 2011,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CO_2_, 74% N_2_) with anaerobic PBS. Samples were plated on CCFAE plates (fructose agar plus cycloserine, cefoxitin, and erythromycin) and counted for culture forming units (c.f.u.) after 24 hours of anaerobic growth at 37° C (Buggy, 1983). It is important to note that the germination agent taurocholate was omitted from these plates in order to only quantify vegetative cells. Undiluted samples with then heated at 60° C for 30 minutes in order to eliminate vegetative cells and leave only spores (Sorg, 2010).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 (Leslie, 2014).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 2011.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 (Ogata, 1999).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(e_o_ or e_i_) to normalize for highly connected metabolite nodes. Next the raw metabolite importance score is calculated by subtracting the creation value from the consumption value to weight for metabolites that are likely acquired exogenously. The difference is Log_2_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CO_2_, 92.0% N, 0.0% O_2_).</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OD600 values were normalized to readings from wells containing sterile media of the same type at equal time of incubation. Growth rates and other curve metrics were determined by differentiation analysis of the measured OD600 over time in R to obtain the slope at each time point.</w:t>
      </w:r>
    </w:p>
    <w:p>
      <w:pPr>
        <w:pStyle w:val="BodyText"/>
      </w:pPr>
      <w:r>
        <w:rPr>
          <w:b/>
        </w:rPr>
        <w:t xml:space="preserve">Statistical Methods.</w:t>
      </w:r>
      <w:r>
        <w:t xml:space="preserve"> </w:t>
      </w:r>
      <w:r>
        <w:t xml:space="preserve">All statistical analyses were performed using R (v.3.2.0).</w:t>
      </w:r>
      <w:r>
        <w:t xml:space="preserve"> </w:t>
      </w:r>
      <w:r>
        <w:t xml:space="preserve">cfu - significant differences were determined by Wilcoxon test and Holm-Bonferroni correction.</w:t>
      </w:r>
      <w:r>
        <w:t xml:space="preserve"> </w:t>
      </w:r>
      <w:r>
        <w:t xml:space="preserve">toxin titer - Significant differences were determined by Holm-Bonferroni corrected Wilcoxon tests.</w:t>
      </w:r>
      <w:r>
        <w:t xml:space="preserve"> </w:t>
      </w:r>
      <w:r>
        <w:t xml:space="preserve">acetate - wilcoxon</w:t>
      </w:r>
      <w:r>
        <w:t xml:space="preserve"> </w:t>
      </w:r>
      <w:r>
        <w:t xml:space="preserve">gorwth curves - Significant differences were determined by 2-way ANOVA with Holm-Bonferroni correction.</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(U01...), and Jhansi's grant. Data availability...</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Contributions</w:t>
      </w:r>
      <w:r>
        <w:t xml:space="preserve"> </w:t>
      </w:r>
      <w:r>
        <w:t xml:space="preserve">M.L.J. conceived, designed and performed experiments, analyzed data, and wrote the manuscript. J.L.L. performed experiments and analyzed data. P.D.S. wrote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7a8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