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Heading3"/>
      </w:pPr>
      <w:bookmarkStart w:id="24" w:name="insert-table-1-here"/>
      <w:bookmarkEnd w:id="24"/>
      <w:r>
        <w:t xml:space="preserve">Insert Table 1 here</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suggested that polysaccharide fermentation occurred this condition. More subtle differences were seen in those gene associated with glycolysis (Fig. 4d).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however, since it can use amino acids for growth through Stickland fermentation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S5).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from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58</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58</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59</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60</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62</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64</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1" w:name="acknowledgements"/>
      <w:bookmarkEnd w:id="31"/>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PDS (R01GM099514, P30DK034933, U19AI09087, and U01AI124255), VBY (P30DK034933, U19AI09087, and U01AI124255), and a Translational Research Education Certificate grant to JLL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S3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59.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60.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61.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62.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64.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8697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