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w:t>
      </w:r>
      <w:r>
        <w:t xml:space="preserve"> </w:t>
      </w:r>
      <w:r>
        <w:rPr>
          <w:i/>
        </w:rPr>
        <w:t xml:space="preserve">In silico</w:t>
      </w:r>
      <w:r>
        <w:t xml:space="preserve"> </w:t>
      </w:r>
      <w:r>
        <w:t xml:space="preserve">findings were further validated using</w:t>
      </w:r>
      <w:r>
        <w:t xml:space="preserve"> </w:t>
      </w:r>
      <w:r>
        <w:rPr>
          <w:i/>
        </w:rPr>
        <w:t xml:space="preserve">in vivo</w:t>
      </w:r>
      <w:r>
        <w:t xml:space="preserve"> </w:t>
      </w:r>
      <w:r>
        <w:t xml:space="preserve">metabolomic analysis to compare resitant and susceptible cecal conditions. These results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significance"/>
      <w:bookmarkEnd w:id="22"/>
      <w:r>
        <w:t xml:space="preserve">Significance</w:t>
      </w:r>
    </w:p>
    <w:p>
      <w:pPr>
        <w:pStyle w:val="FirstParagraph"/>
      </w:pPr>
      <w:r>
        <w:rPr>
          <w:i/>
        </w:rPr>
        <w:t xml:space="preserve">Clostridium difficile</w:t>
      </w:r>
      <w:r>
        <w:t xml:space="preserve"> </w:t>
      </w:r>
      <w:r>
        <w:t xml:space="preserve">infection has grown to be the largest single cause of hospital-acquired infection in the United States. A compromised gut microbiota, typically through previous antibiotic treatment, is a prerequisite feature of</w:t>
      </w:r>
      <w:r>
        <w:t xml:space="preserve"> </w:t>
      </w:r>
      <w:r>
        <w:rPr>
          <w:i/>
        </w:rPr>
        <w:t xml:space="preserve">C. difficile</w:t>
      </w:r>
      <w:r>
        <w:t xml:space="preserve"> </w:t>
      </w:r>
      <w:r>
        <w:t xml:space="preserve">colonization susceptibility. This loss of resistance has also been described across classes of antibiotics, in which many result in distinct gut communities and each presumably presents individual metabolic challenges to</w:t>
      </w:r>
      <w:r>
        <w:t xml:space="preserve"> </w:t>
      </w:r>
      <w:r>
        <w:rPr>
          <w:i/>
        </w:rPr>
        <w:t xml:space="preserve">C. difficile</w:t>
      </w:r>
      <w:r>
        <w:t xml:space="preserve"> </w:t>
      </w:r>
      <w:r>
        <w:t xml:space="preserve">as it colonizes. In this study we demonstrate that not only does</w:t>
      </w:r>
      <w:r>
        <w:t xml:space="preserve"> </w:t>
      </w:r>
      <w:r>
        <w:rPr>
          <w:i/>
        </w:rPr>
        <w:t xml:space="preserve">C. difficile</w:t>
      </w:r>
      <w:r>
        <w:t xml:space="preserve"> </w:t>
      </w:r>
      <w:r>
        <w:t xml:space="preserve">alter its pathogenesis between differentially sensitized hosts, but also exploits separate available nutrient niches across these environments. We accomplish this through an</w:t>
      </w:r>
      <w:r>
        <w:t xml:space="preserve"> </w:t>
      </w:r>
      <w:r>
        <w:rPr>
          <w:i/>
        </w:rPr>
        <w:t xml:space="preserve">in vivo</w:t>
      </w:r>
      <w:r>
        <w:t xml:space="preserve"> </w:t>
      </w:r>
      <w:r>
        <w:t xml:space="preserve">murine model of infection, characterized using transcriptomic-enabled genome-scale metabolic modeling in combination with untargeted metabolomic analysis. Our results support that</w:t>
      </w:r>
      <w:r>
        <w:t xml:space="preserve"> </w:t>
      </w:r>
      <w:r>
        <w:rPr>
          <w:i/>
        </w:rPr>
        <w:t xml:space="preserve">C. difficile</w:t>
      </w:r>
      <w:r>
        <w:t xml:space="preserve"> </w:t>
      </w:r>
      <w:r>
        <w:t xml:space="preserve">possesses a highly plastic nutrient niche space, allowing it to successfully infect numerous different hosts and ultimately cause disease. This work also provides evidence that</w:t>
      </w:r>
      <w:r>
        <w:t xml:space="preserve"> </w:t>
      </w:r>
      <w:r>
        <w:rPr>
          <w:i/>
        </w:rPr>
        <w:t xml:space="preserve">C. difficile</w:t>
      </w:r>
      <w:r>
        <w:t xml:space="preserve"> </w:t>
      </w:r>
      <w:r>
        <w:t xml:space="preserve">virulence may be driven by the concentrations of specific carbohydrate sources that are accessible for growth during each unique infection.</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N-acetylneuriminate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7a) and salicylate (Fig. 7b) were found to be significantly decreased in all susceptible treatment groups compared to resistant controls (</w:t>
      </w:r>
      <w:r>
        <w:rPr>
          <w:i/>
        </w:rPr>
        <w:t xml:space="preserve">P</w:t>
      </w:r>
      <w:r>
        <w:t xml:space="preserve"> </w:t>
      </w:r>
      <w:r>
        <w:t xml:space="preserve">&lt; 0.05). Additionally, we found that galactitol (Fig. 7c), mannitol + sorbitol (Fig. 7d), and N-acetylneuraminate (Fig. 7e) were significantly increased in both cefoperazone-treated SPF and GF mice (</w:t>
      </w:r>
      <w:r>
        <w:rPr>
          <w:i/>
        </w:rPr>
        <w:t xml:space="preserve">P</w:t>
      </w:r>
      <w:r>
        <w:t xml:space="preserve"> </w:t>
      </w:r>
      <w:r>
        <w:t xml:space="preserve">&lt; 0.05). Finally, these assays also revealed that proline (Fig. 7f)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7g)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(61)</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acknowledgements"/>
      <w:bookmarkEnd w:id="31"/>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http://www.github.com/SchlossLab/Jenior_Modeling_PNAS_2016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7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N−Acetylneuriminate.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48.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49.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50.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51.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52.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53.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54.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55.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56.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57.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58.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59. Ogata H, et al. (1999) KEGG: Kyoto encyclopedia of genes and genomes. 27:29–34.</w:t>
      </w:r>
    </w:p>
    <w:p>
      <w:pPr>
        <w:pStyle w:val="Bibliography"/>
      </w:pPr>
      <w:r>
        <w:t xml:space="preserve">60.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61.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1e4f0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PNAS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PNAS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