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w:t>
      </w:r>
      <w:r>
        <w:t xml:space="preserve"> </w:t>
      </w:r>
      <w:r>
        <w:rPr>
          <w:i/>
        </w:rPr>
        <w:t xml:space="preserve">In silico</w:t>
      </w:r>
      <w:r>
        <w:t xml:space="preserve"> </w:t>
      </w:r>
      <w:r>
        <w:t xml:space="preserve">findings were further validated using</w:t>
      </w:r>
      <w:r>
        <w:t xml:space="preserve"> </w:t>
      </w:r>
      <w:r>
        <w:rPr>
          <w:i/>
        </w:rPr>
        <w:t xml:space="preserve">in vivo</w:t>
      </w:r>
      <w:r>
        <w:t xml:space="preserve"> </w:t>
      </w:r>
      <w:r>
        <w:t xml:space="preserve">metabolomic analysis to compare resitant and susceptible cecal conditions. These results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significance"/>
      <w:bookmarkEnd w:id="22"/>
      <w:r>
        <w:t xml:space="preserve">Significance</w:t>
      </w:r>
    </w:p>
    <w:p>
      <w:pPr>
        <w:pStyle w:val="FirstParagraph"/>
      </w:pPr>
      <w:r>
        <w:rPr>
          <w:i/>
        </w:rPr>
        <w:t xml:space="preserve">Clostridium difficile</w:t>
      </w:r>
      <w:r>
        <w:t xml:space="preserve"> </w:t>
      </w:r>
      <w:r>
        <w:t xml:space="preserve">infection has grown to be the largest single cause of hospital-acquired infection in the United States. A compromised gut microbiota, typically through previous antibiotic treatment, is a prerequisite feature of</w:t>
      </w:r>
      <w:r>
        <w:t xml:space="preserve"> </w:t>
      </w:r>
      <w:r>
        <w:rPr>
          <w:i/>
        </w:rPr>
        <w:t xml:space="preserve">C. difficile</w:t>
      </w:r>
      <w:r>
        <w:t xml:space="preserve"> </w:t>
      </w:r>
      <w:r>
        <w:t xml:space="preserve">colonization susceptibility. This loss of resistance has also been characterized across classes of antibiotics, in which many result in distinct gut communities and each presumeably presents individual metabolic challenges to</w:t>
      </w:r>
      <w:r>
        <w:t xml:space="preserve"> </w:t>
      </w:r>
      <w:r>
        <w:rPr>
          <w:i/>
        </w:rPr>
        <w:t xml:space="preserve">C. difficile</w:t>
      </w:r>
      <w:r>
        <w:t xml:space="preserve"> </w:t>
      </w:r>
      <w:r>
        <w:t xml:space="preserve">as it colonizes. In this study we demonstrate that not only does</w:t>
      </w:r>
      <w:r>
        <w:t xml:space="preserve"> </w:t>
      </w:r>
      <w:r>
        <w:rPr>
          <w:i/>
        </w:rPr>
        <w:t xml:space="preserve">C. difficile</w:t>
      </w:r>
      <w:r>
        <w:t xml:space="preserve"> </w:t>
      </w:r>
      <w:r>
        <w:t xml:space="preserve">alter its pathogenesis between differentially sensitized hosts, but also exploits seperate available nutrient niches across these environments. We accomplish this through an</w:t>
      </w:r>
      <w:r>
        <w:t xml:space="preserve"> </w:t>
      </w:r>
      <w:r>
        <w:rPr>
          <w:i/>
        </w:rPr>
        <w:t xml:space="preserve">in vivo</w:t>
      </w:r>
      <w:r>
        <w:t xml:space="preserve"> </w:t>
      </w:r>
      <w:r>
        <w:t xml:space="preserve">murine model of infection, characterized using transcriptomic-enabled genome-scale metabolic modeling in combination with untargeted metabolomic analysis. Our results support that</w:t>
      </w:r>
      <w:r>
        <w:t xml:space="preserve"> </w:t>
      </w:r>
      <w:r>
        <w:rPr>
          <w:i/>
        </w:rPr>
        <w:t xml:space="preserve">C. difficile</w:t>
      </w:r>
      <w:r>
        <w:t xml:space="preserve"> </w:t>
      </w:r>
      <w:r>
        <w:t xml:space="preserve">possesses a highly plastic nutrient niche space, allowing it to successfully infect numerous different hosts and ultimately cause disease. This work also provides evidence that</w:t>
      </w:r>
      <w:r>
        <w:t xml:space="preserve"> </w:t>
      </w:r>
      <w:r>
        <w:rPr>
          <w:i/>
        </w:rPr>
        <w:t xml:space="preserve">C. difficile</w:t>
      </w:r>
      <w:r>
        <w:t xml:space="preserve"> </w:t>
      </w:r>
      <w:r>
        <w:t xml:space="preserve">virulence may be driven by the concentrations of specific carbohydrate sources that are accessible for growth during each unique infection.</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t xml:space="preserve"> </w:t>
      </w:r>
      <w: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(34, 35)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(20, 21, 31, 36)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t xml:space="preserve"> </w:t>
      </w:r>
      <w:r>
        <w:t xml:space="preserve">(39)</w:t>
      </w:r>
      <w:r>
        <w:t xml:space="preserve"> </w:t>
      </w:r>
      <w:r>
        <w:t xml:space="preserve">and OCCI indicates those enzymes and substrates that are the most central components of the organism’s metabolism</w:t>
      </w:r>
      <w:r>
        <w:t xml:space="preserve"> </w:t>
      </w:r>
      <w: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N-acetylneuriminate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0.022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 We compared cecal content from mock</w:t>
      </w:r>
      <w:r>
        <w:t xml:space="preserve"> </w:t>
      </w:r>
      <w:r>
        <w:rPr>
          <w:i/>
        </w:rPr>
        <w:t xml:space="preserve">C. difficile</w:t>
      </w:r>
      <w:r>
        <w:t xml:space="preserve">-infected susceptible and resistant mice at the same 18 hour time point as the previous analyses. Initially N-acetylglucosamine + N-acetylgalactosamine (Fig. 7a) and salicylate (Fig. 7b) were found to be significantly decreased in all susceptible treatment groups compared to resistant controls (</w:t>
      </w:r>
      <w:r>
        <w:rPr>
          <w:i/>
        </w:rPr>
        <w:t xml:space="preserve">P</w:t>
      </w:r>
      <w:r>
        <w:t xml:space="preserve"> </w:t>
      </w:r>
      <w:r>
        <w:t xml:space="preserve">&lt; 0.05). Additionally, we found that galactitol (Fig. 7c), mannitol + sorbitol (Fig. 7d), and N-acetylneuraminate (Fig. 7e) were significantly increased in both cefoperazone-treated SPF and GF mice (</w:t>
      </w:r>
      <w:r>
        <w:rPr>
          <w:i/>
        </w:rPr>
        <w:t xml:space="preserve">P</w:t>
      </w:r>
      <w:r>
        <w:t xml:space="preserve"> </w:t>
      </w:r>
      <w:r>
        <w:t xml:space="preserve">&lt; 0.05). Finally, these assays also revealed that proline (Fig. 7f)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7g)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(47)</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(48)</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(49)</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(50)</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(52)</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(61)</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1" w:name="acknowledgements"/>
      <w:bookmarkEnd w:id="31"/>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2">
        <w:r>
          <w:rPr>
            <w:rStyle w:val="Hyperlink"/>
          </w:rPr>
          <w:t xml:space="preserve">http://www.github.com/SchlossLab/Jenior_Modeling_NatMicro_2016</w:t>
        </w:r>
      </w:hyperlink>
      <w:r>
        <w:t xml:space="preserve">.</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7 | Relative</w:t>
      </w:r>
      <w:r>
        <w:rPr>
          <w:b/>
        </w:rPr>
        <w:t xml:space="preserve"> </w:t>
      </w:r>
      <w:r>
        <w:rPr>
          <w:i/>
          <w:b/>
        </w:rPr>
        <w:t xml:space="preserve">in vivo</w:t>
      </w:r>
      <w:r>
        <w:rPr>
          <w:b/>
        </w:rPr>
        <w:t xml:space="preserve"> </w:t>
      </w:r>
      <w:r>
        <w:rPr>
          <w:b/>
        </w:rPr>
        <w:t xml:space="preserve">concentrations of metabolites highlighted through network-based analysis</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 (These metabolites are quantified simultaneously as they only differ by chirality),</w:t>
      </w:r>
      <w:r>
        <w:t xml:space="preserve"> </w:t>
      </w:r>
      <w:r>
        <w:rPr>
          <w:b/>
        </w:rPr>
        <w:t xml:space="preserve">(D)</w:t>
      </w:r>
      <w:r>
        <w:t xml:space="preserve"> </w:t>
      </w:r>
      <w:r>
        <w:t xml:space="preserve">Salicylate, and</w:t>
      </w:r>
      <w:r>
        <w:t xml:space="preserve"> </w:t>
      </w:r>
      <w:r>
        <w:rPr>
          <w:b/>
        </w:rPr>
        <w:t xml:space="preserve">(E)</w:t>
      </w:r>
      <w:r>
        <w:t xml:space="preserve"> </w:t>
      </w:r>
      <w:r>
        <w:t xml:space="preserve">N−Acetylneuriminate.</w:t>
      </w:r>
      <w:r>
        <w:t xml:space="preserve"> </w:t>
      </w:r>
      <w:r>
        <w:rPr>
          <w:b/>
        </w:rPr>
        <w:t xml:space="preserve">(F)</w:t>
      </w:r>
      <w:r>
        <w:t xml:space="preserve"> </w:t>
      </w:r>
      <w:r>
        <w:t xml:space="preserve">Proline and</w:t>
      </w:r>
      <w:r>
        <w:t xml:space="preserve"> </w:t>
      </w:r>
      <w:r>
        <w:rPr>
          <w:b/>
        </w:rPr>
        <w:t xml:space="preserve">(G)</w:t>
      </w:r>
      <w:r>
        <w:t xml:space="preserve"> </w:t>
      </w:r>
      <w:r>
        <w:t xml:space="preserve">Glycine were also quantified.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Normalized untargeted metabolomics results.</w:t>
      </w:r>
    </w:p>
    <w:p>
      <w:pPr>
        <w:pStyle w:val="Heading3"/>
      </w:pPr>
      <w:bookmarkStart w:id="36" w:name="references"/>
      <w:bookmarkEnd w:id="36"/>
      <w:r>
        <w:t xml:space="preserve">References</w:t>
      </w:r>
    </w:p>
    <w:p>
      <w:pPr>
        <w:pStyle w:val="Bibliography"/>
      </w:pPr>
      <w:r>
        <w:t xml:space="preserve">1. Lessa FC, Gould CV, McDonald LC (2012)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t xml:space="preserve">55 Suppl 2(Suppl 2):S65–70.</w:t>
      </w:r>
    </w:p>
    <w:p>
      <w:pPr>
        <w:pStyle w:val="Bibliography"/>
      </w:pPr>
      <w:r>
        <w:t xml:space="preserve">2. Lessa FC, et al. (2015) 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t xml:space="preserve">372(9):825–834.</w:t>
      </w:r>
    </w:p>
    <w:p>
      <w:pPr>
        <w:pStyle w:val="Bibliography"/>
      </w:pPr>
      <w:r>
        <w:t xml:space="preserve">3. Leffler DA, Lamont JT (2015)</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t xml:space="preserve">372(16):1539–1548.</w:t>
      </w:r>
    </w:p>
    <w:p>
      <w:pPr>
        <w:pStyle w:val="Bibliography"/>
      </w:pPr>
      <w:r>
        <w:t xml:space="preserve">4. Young VB, Schmidt TM (2004) Antibiotic-Associated Diarrhea Accompanied by Large-Scale Alterations in the Composition of the Fecal Microbiota.</w:t>
      </w:r>
      <w:r>
        <w:t xml:space="preserve"> </w:t>
      </w:r>
      <w:r>
        <w:rPr>
          <w:i/>
        </w:rPr>
        <w:t xml:space="preserve">Journal of Clinical Microbiology</w:t>
      </w:r>
      <w:r>
        <w:t xml:space="preserve"> </w:t>
      </w:r>
      <w:r>
        <w:t xml:space="preserve">42(3):1203–1206.</w:t>
      </w:r>
    </w:p>
    <w:p>
      <w:pPr>
        <w:pStyle w:val="Bibliography"/>
      </w:pPr>
      <w:r>
        <w:t xml:space="preserve">5. Lawley TD, Walker AW (2013) Intestinal colonization resistance.</w:t>
      </w:r>
      <w:r>
        <w:t xml:space="preserve"> </w:t>
      </w:r>
      <w:r>
        <w:rPr>
          <w:i/>
        </w:rPr>
        <w:t xml:space="preserve">Immunology</w:t>
      </w:r>
      <w:r>
        <w:t xml:space="preserve"> </w:t>
      </w:r>
      <w:r>
        <w:t xml:space="preserve">138(1):1–11.</w:t>
      </w:r>
    </w:p>
    <w:p>
      <w:pPr>
        <w:pStyle w:val="Bibliography"/>
      </w:pPr>
      <w:r>
        <w:t xml:space="preserve">6. Chen X, et al. (2008) A Mouse Model of</w:t>
      </w:r>
      <w:r>
        <w:t xml:space="preserve"> </w:t>
      </w:r>
      <w:r>
        <w:rPr>
          <w:i/>
        </w:rPr>
        <w:t xml:space="preserve">Clostridium difficile</w:t>
      </w:r>
      <w:r>
        <w:t xml:space="preserve">-Associated Disease.</w:t>
      </w:r>
      <w:r>
        <w:t xml:space="preserve"> </w:t>
      </w:r>
      <w:r>
        <w:rPr>
          <w:i/>
        </w:rPr>
        <w:t xml:space="preserve">Gastroenterology</w:t>
      </w:r>
      <w:r>
        <w:t xml:space="preserve"> </w:t>
      </w:r>
      <w:r>
        <w:t xml:space="preserve">135(6):1984–1992.</w:t>
      </w:r>
    </w:p>
    <w:p>
      <w:pPr>
        <w:pStyle w:val="Bibliography"/>
      </w:pPr>
      <w:r>
        <w:t xml:space="preserve">7. Theriot CM, et al. (2014) Antibiotic-induced shifts in the mouse gut microbiome and metabolome increase susceptibility to</w:t>
      </w:r>
      <w:r>
        <w:t xml:space="preserve"> </w:t>
      </w:r>
      <w:r>
        <w:rPr>
          <w:i/>
        </w:rPr>
        <w:t xml:space="preserve">Clostridium difficile</w:t>
      </w:r>
      <w:r>
        <w:t xml:space="preserve"> </w:t>
      </w:r>
      <w:r>
        <w:t xml:space="preserve">infection. doi:</w:t>
      </w:r>
      <w:hyperlink r:id="rId37">
        <w:r>
          <w:rPr>
            <w:rStyle w:val="Hyperlink"/>
          </w:rPr>
          <w:t xml:space="preserve">10.1038/ncomms4114.Antibiotic-induced</w:t>
        </w:r>
      </w:hyperlink>
      <w:r>
        <w:t xml:space="preserve">.</w:t>
      </w:r>
    </w:p>
    <w:p>
      <w:pPr>
        <w:pStyle w:val="Bibliography"/>
      </w:pPr>
      <w:r>
        <w:t xml:space="preserve">8. Schubert AM, Sinani H, Schloss PD (2015)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t xml:space="preserve">6(4). doi:</w:t>
      </w:r>
      <w:hyperlink r:id="rId38">
        <w:r>
          <w:rPr>
            <w:rStyle w:val="Hyperlink"/>
          </w:rPr>
          <w:t xml:space="preserve">10.1128/mBio.00974-15</w:t>
        </w:r>
      </w:hyperlink>
      <w:r>
        <w:t xml:space="preserve">.</w:t>
      </w:r>
    </w:p>
    <w:p>
      <w:pPr>
        <w:pStyle w:val="Bibliography"/>
      </w:pPr>
      <w:r>
        <w:t xml:space="preserve">9. Koenigsknecht MJ, et al. (2015) 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t xml:space="preserve">83(3):934–941.</w:t>
      </w:r>
    </w:p>
    <w:p>
      <w:pPr>
        <w:pStyle w:val="Bibliography"/>
      </w:pPr>
      <w:r>
        <w:t xml:space="preserve">10. Antunes LCM, et al. (2011) Effect of antibiotic treatment on the intestinal metabolome.</w:t>
      </w:r>
      <w:r>
        <w:t xml:space="preserve"> </w:t>
      </w:r>
      <w:r>
        <w:rPr>
          <w:i/>
        </w:rPr>
        <w:t xml:space="preserve">Antimicrobial Agents and Chemotherapy</w:t>
      </w:r>
      <w:r>
        <w:t xml:space="preserve"> </w:t>
      </w:r>
      <w:r>
        <w:t xml:space="preserve">55(4):1494–1503.</w:t>
      </w:r>
    </w:p>
    <w:p>
      <w:pPr>
        <w:pStyle w:val="Bibliography"/>
      </w:pPr>
      <w:r>
        <w:t xml:space="preserve">11. Ferreyra JA, et al. (2014) 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t xml:space="preserve">16(6):770–777.</w:t>
      </w:r>
    </w:p>
    <w:p>
      <w:pPr>
        <w:pStyle w:val="Bibliography"/>
      </w:pPr>
      <w:r>
        <w:t xml:space="preserve">12. Jump RLP, et al. (2014) Metabolomics analysis identifies intestinal microbiota-derived biomarkers of colonization resistance in clindamycin-treated mice.</w:t>
      </w:r>
      <w:r>
        <w:t xml:space="preserve"> </w:t>
      </w:r>
      <w:r>
        <w:rPr>
          <w:i/>
        </w:rPr>
        <w:t xml:space="preserve">PLoS ONE</w:t>
      </w:r>
      <w:r>
        <w:t xml:space="preserve"> </w:t>
      </w:r>
      <w:r>
        <w:t xml:space="preserve">9(7). doi:</w:t>
      </w:r>
      <w:hyperlink r:id="rId39">
        <w:r>
          <w:rPr>
            <w:rStyle w:val="Hyperlink"/>
          </w:rPr>
          <w:t xml:space="preserve">10.1371/journal.pone.0101267</w:t>
        </w:r>
      </w:hyperlink>
      <w:r>
        <w:t xml:space="preserve">.</w:t>
      </w:r>
    </w:p>
    <w:p>
      <w:pPr>
        <w:pStyle w:val="Bibliography"/>
      </w:pPr>
      <w:r>
        <w:t xml:space="preserve">13. Freter R, Brickner H, Botney M, Cleven D, Aranki A (1983) Mechanisms that control bacterial populations in continuous-flow culture models of mouse large intestinal flora.</w:t>
      </w:r>
      <w:r>
        <w:t xml:space="preserve"> </w:t>
      </w:r>
      <w:r>
        <w:rPr>
          <w:i/>
        </w:rPr>
        <w:t xml:space="preserve">Infection and Immunity</w:t>
      </w:r>
      <w:r>
        <w:t xml:space="preserve"> </w:t>
      </w:r>
      <w:r>
        <w:t xml:space="preserve">39(2):676–685.</w:t>
      </w:r>
    </w:p>
    <w:p>
      <w:pPr>
        <w:pStyle w:val="Bibliography"/>
      </w:pPr>
      <w:r>
        <w:t xml:space="preserve">14. Wilson KH, Perini F (1988)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t xml:space="preserve">56(10):2610–2614.</w:t>
      </w:r>
    </w:p>
    <w:p>
      <w:pPr>
        <w:pStyle w:val="Bibliography"/>
      </w:pPr>
      <w:r>
        <w:t xml:space="preserve">15. Sebaihia M, et al. (2006) 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t xml:space="preserve">38(7):779–786.</w:t>
      </w:r>
    </w:p>
    <w:p>
      <w:pPr>
        <w:pStyle w:val="Bibliography"/>
      </w:pPr>
      <w:r>
        <w:t xml:space="preserve">16. Tracy BP, Jones SW, Fast AG, Indurthi DC, Papoutsakis ET (2012) Clostridia: The importance of their exceptional substrate and metabolite diversity for biofuel and biorefinery applications. 23:364–381.</w:t>
      </w:r>
    </w:p>
    <w:p>
      <w:pPr>
        <w:pStyle w:val="Bibliography"/>
      </w:pPr>
      <w:r>
        <w:t xml:space="preserve">17. Songer JG, Anderson MA (2006)</w:t>
      </w:r>
      <w:r>
        <w:t xml:space="preserve"> </w:t>
      </w:r>
      <w:r>
        <w:rPr>
          <w:i/>
        </w:rPr>
        <w:t xml:space="preserve">Clostridium difficile</w:t>
      </w:r>
      <w:r>
        <w:t xml:space="preserve">: An important pathogen of food animals. 12:1–4.</w:t>
      </w:r>
    </w:p>
    <w:p>
      <w:pPr>
        <w:pStyle w:val="Bibliography"/>
      </w:pPr>
      <w:r>
        <w:t xml:space="preserve">18. Neumann-Schaal M, Hofmann JD, Will SE, Schomburg D (2015)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:281.</w:t>
      </w:r>
    </w:p>
    <w:p>
      <w:pPr>
        <w:pStyle w:val="Bibliography"/>
      </w:pPr>
      <w:r>
        <w:t xml:space="preserve">19. Nawrocki KL, Edwards AN, Daou N, Bouillaut L, McBride SM (2016)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t xml:space="preserve">198(15):2113–2130.</w:t>
      </w:r>
    </w:p>
    <w:p>
      <w:pPr>
        <w:pStyle w:val="Bibliography"/>
      </w:pPr>
      <w:r>
        <w:t xml:space="preserve">20. Antunes A, et al. (2012) Global transcriptional control by glucose and carbon regulator CcpA in</w:t>
      </w:r>
      <w:r>
        <w:t xml:space="preserve"> </w:t>
      </w:r>
      <w:r>
        <w:rPr>
          <w:i/>
        </w:rPr>
        <w:t xml:space="preserve">Clostridium difficile</w:t>
      </w:r>
      <w:r>
        <w:t xml:space="preserve">. 40:10701–10718.</w:t>
      </w:r>
    </w:p>
    <w:p>
      <w:pPr>
        <w:pStyle w:val="Bibliography"/>
      </w:pPr>
      <w:r>
        <w:t xml:space="preserve">21. Bouillaut L, Dubois T, Sonenshein AL, Dupuy B (2015)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t xml:space="preserve">166(4):375–383.</w:t>
      </w:r>
    </w:p>
    <w:p>
      <w:pPr>
        <w:pStyle w:val="Bibliography"/>
      </w:pPr>
      <w:r>
        <w:t xml:space="preserve">22. Matamouros S, England P, Dupuy B (2007)</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t xml:space="preserve">64(5):1274–1288.</w:t>
      </w:r>
    </w:p>
    <w:p>
      <w:pPr>
        <w:pStyle w:val="Bibliography"/>
      </w:pPr>
      <w:r>
        <w:t xml:space="preserve">23. Antunes A, Martin-Verstraete I, Dupuy B (2011)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t xml:space="preserve">79(4):882–899.</w:t>
      </w:r>
    </w:p>
    <w:p>
      <w:pPr>
        <w:pStyle w:val="Bibliography"/>
      </w:pPr>
      <w:r>
        <w:t xml:space="preserve">24. Janoir C, et al.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t xml:space="preserve">81(10):3757–3769.</w:t>
      </w:r>
    </w:p>
    <w:p>
      <w:pPr>
        <w:pStyle w:val="Bibliography"/>
      </w:pPr>
      <w:r>
        <w:t xml:space="preserve">25. Kansau I, et al. (2016) 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t xml:space="preserve">11(6). doi:</w:t>
      </w:r>
      <w:hyperlink r:id="rId40">
        <w:r>
          <w:rPr>
            <w:rStyle w:val="Hyperlink"/>
          </w:rPr>
          <w:t xml:space="preserve">10.1371/journal.pone.0158204</w:t>
        </w:r>
      </w:hyperlink>
      <w:r>
        <w:t xml:space="preserve">.</w:t>
      </w:r>
    </w:p>
    <w:p>
      <w:pPr>
        <w:pStyle w:val="Bibliography"/>
      </w:pPr>
      <w:r>
        <w:t xml:space="preserve">26. Patil KR, Nielsen J (2005)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t xml:space="preserve">102(8):2685–2689.</w:t>
      </w:r>
    </w:p>
    <w:p>
      <w:pPr>
        <w:pStyle w:val="Bibliography"/>
      </w:pPr>
      <w:r>
        <w:t xml:space="preserve">27. 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t xml:space="preserve">105(38):14482–14487.</w:t>
      </w:r>
    </w:p>
    <w:p>
      <w:pPr>
        <w:pStyle w:val="Bibliography"/>
      </w:pPr>
      <w:r>
        <w:t xml:space="preserve">28. Suthers PF, et al. (2009) Genome-scale metabolic reconstruction Of mycoplasma genitalium, iPS189.</w:t>
      </w:r>
      <w:r>
        <w:t xml:space="preserve"> </w:t>
      </w:r>
      <w:r>
        <w:rPr>
          <w:i/>
        </w:rPr>
        <w:t xml:space="preserve">PLoS Computational Biology</w:t>
      </w:r>
      <w:r>
        <w:t xml:space="preserve"> </w:t>
      </w:r>
      <w:r>
        <w:t xml:space="preserve">5(2). doi:</w:t>
      </w:r>
      <w:hyperlink r:id="rId41">
        <w:r>
          <w:rPr>
            <w:rStyle w:val="Hyperlink"/>
          </w:rPr>
          <w:t xml:space="preserve">10.1371/journal.pcbi.1000285</w:t>
        </w:r>
      </w:hyperlink>
      <w:r>
        <w:t xml:space="preserve">.</w:t>
      </w:r>
    </w:p>
    <w:p>
      <w:pPr>
        <w:pStyle w:val="Bibliography"/>
      </w:pPr>
      <w:r>
        <w:t xml:space="preserve">29. Putnam EE, Nock AM, Lawley TD, Shen A (2013)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t xml:space="preserve">195(6):1214–1225.</w:t>
      </w:r>
    </w:p>
    <w:p>
      <w:pPr>
        <w:pStyle w:val="Bibliography"/>
      </w:pPr>
      <w:r>
        <w:t xml:space="preserve">30. Underwood S, et al. (2009) 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t xml:space="preserve">191(23):7296–7305.</w:t>
      </w:r>
    </w:p>
    <w:p>
      <w:pPr>
        <w:pStyle w:val="Bibliography"/>
      </w:pPr>
      <w:r>
        <w:t xml:space="preserve">31. Fimlaid KA, et al. (2013) 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t xml:space="preserve">9(8). doi:</w:t>
      </w:r>
      <w:hyperlink r:id="rId42">
        <w:r>
          <w:rPr>
            <w:rStyle w:val="Hyperlink"/>
          </w:rPr>
          <w:t xml:space="preserve">10.1371/journal.pgen.1003660</w:t>
        </w:r>
      </w:hyperlink>
      <w:r>
        <w:t xml:space="preserve">.</w:t>
      </w:r>
    </w:p>
    <w:p>
      <w:pPr>
        <w:pStyle w:val="Bibliography"/>
      </w:pPr>
      <w:r>
        <w:t xml:space="preserve">32. Saujet L, Pereira FC, Henriques AO, Martin-Verstraete I (2014)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t xml:space="preserve">358(1):1–10.</w:t>
      </w:r>
    </w:p>
    <w:p>
      <w:pPr>
        <w:pStyle w:val="Bibliography"/>
      </w:pPr>
      <w:r>
        <w:t xml:space="preserve">33. Matsuno K, Sonenshein AL (1999)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t xml:space="preserve">181(11):3392–3401.</w:t>
      </w:r>
    </w:p>
    <w:p>
      <w:pPr>
        <w:pStyle w:val="Bibliography"/>
      </w:pPr>
      <w:r>
        <w:t xml:space="preserve">34. Lee ASY, Song KP (2005)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t xml:space="preserve">335(3):659–666.</w:t>
      </w:r>
    </w:p>
    <w:p>
      <w:pPr>
        <w:pStyle w:val="Bibliography"/>
      </w:pPr>
      <w:r>
        <w:t xml:space="preserve">35. Martin MJ, et al.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t xml:space="preserve">195(16):3672–3681.</w:t>
      </w:r>
    </w:p>
    <w:p>
      <w:pPr>
        <w:pStyle w:val="Bibliography"/>
      </w:pPr>
      <w:r>
        <w:t xml:space="preserve">36. Donnelly ML, Fimlaid KA, Shen A (2016)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(April):JB.00986–15.</w:t>
      </w:r>
    </w:p>
    <w:p>
      <w:pPr>
        <w:pStyle w:val="Bibliography"/>
      </w:pPr>
      <w:r>
        <w:t xml:space="preserve">37. Dineen SS, Villapakkam AC, Nordman JT, Sonenshein AL (2007)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t xml:space="preserve">66(1):206–219.</w:t>
      </w:r>
    </w:p>
    <w:p>
      <w:pPr>
        <w:pStyle w:val="Bibliography"/>
      </w:pPr>
      <w:r>
        <w:t xml:space="preserve">38. Martin-Verstraete I, Peltier J, Dupuy B (2016) The regulatory networks that control</w:t>
      </w:r>
      <w:r>
        <w:t xml:space="preserve"> </w:t>
      </w:r>
      <w:r>
        <w:rPr>
          <w:i/>
        </w:rPr>
        <w:t xml:space="preserve">Clostridium difficile</w:t>
      </w:r>
      <w:r>
        <w:t xml:space="preserve"> </w:t>
      </w:r>
      <w:r>
        <w:t xml:space="preserve">toxin synthesis. 8. doi:</w:t>
      </w:r>
      <w:hyperlink r:id="rId43">
        <w:r>
          <w:rPr>
            <w:rStyle w:val="Hyperlink"/>
          </w:rPr>
          <w:t xml:space="preserve">10.3390/toxins8050153</w:t>
        </w:r>
      </w:hyperlink>
      <w:r>
        <w:t xml:space="preserve">.</w:t>
      </w:r>
    </w:p>
    <w:p>
      <w:pPr>
        <w:pStyle w:val="Bibliography"/>
      </w:pPr>
      <w:r>
        <w:t xml:space="preserve">39. Potapov AP, Voss N, Sasse N, Wingender E (2005) Topology of mammalian transcription networks.</w:t>
      </w:r>
      <w:r>
        <w:t xml:space="preserve"> </w:t>
      </w:r>
      <w:r>
        <w:rPr>
          <w:i/>
        </w:rPr>
        <w:t xml:space="preserve">Genome informatics International Conference on Genome Informatics</w:t>
      </w:r>
      <w:r>
        <w:t xml:space="preserve"> </w:t>
      </w:r>
      <w:r>
        <w:t xml:space="preserve">16(2):270–278.</w:t>
      </w:r>
    </w:p>
    <w:p>
      <w:pPr>
        <w:pStyle w:val="Bibliography"/>
      </w:pPr>
      <w:r>
        <w:t xml:space="preserve">40. Ma HW, Zeng AP (2003) The connectivity structure, giant strong component and centrality of metabolic networks.</w:t>
      </w:r>
      <w:r>
        <w:t xml:space="preserve"> </w:t>
      </w:r>
      <w:r>
        <w:rPr>
          <w:i/>
        </w:rPr>
        <w:t xml:space="preserve">Bioinformatics</w:t>
      </w:r>
      <w:r>
        <w:t xml:space="preserve"> </w:t>
      </w:r>
      <w:r>
        <w:t xml:space="preserve">19(11):1423–1430.</w:t>
      </w:r>
    </w:p>
    <w:p>
      <w:pPr>
        <w:pStyle w:val="Bibliography"/>
      </w:pPr>
      <w:r>
        <w:t xml:space="preserve">41. McGill R, Tukey JW, Larsen Wa (1978) Variations of Box Plots.</w:t>
      </w:r>
      <w:r>
        <w:t xml:space="preserve"> </w:t>
      </w:r>
      <w:r>
        <w:rPr>
          <w:i/>
        </w:rPr>
        <w:t xml:space="preserve">The American Statistician</w:t>
      </w:r>
      <w:r>
        <w:t xml:space="preserve"> </w:t>
      </w:r>
      <w:r>
        <w:t xml:space="preserve">32(1):12–16.</w:t>
      </w:r>
    </w:p>
    <w:p>
      <w:pPr>
        <w:pStyle w:val="Bibliography"/>
      </w:pPr>
      <w:r>
        <w:t xml:space="preserve">42. Aboulnaga EH, et al.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t xml:space="preserve">195(16):3704–3713.</w:t>
      </w:r>
    </w:p>
    <w:p>
      <w:pPr>
        <w:pStyle w:val="Bibliography"/>
      </w:pPr>
      <w:r>
        <w:t xml:space="preserve">43. Fonknechten N, et al. (2010)</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t xml:space="preserve">11:555.</w:t>
      </w:r>
    </w:p>
    <w:p>
      <w:pPr>
        <w:pStyle w:val="Bibliography"/>
      </w:pPr>
      <w:r>
        <w:t xml:space="preserve">44. Jackson S, Calos M, Myers A, Self WT (2006)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t xml:space="preserve">188(24):8487–8495.</w:t>
      </w:r>
    </w:p>
    <w:p>
      <w:pPr>
        <w:pStyle w:val="Bibliography"/>
      </w:pPr>
      <w:r>
        <w:t xml:space="preserve">45. Karlsson S, Burman LG, Åkerlund T (2008)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t xml:space="preserve">154(11):3430–3436.</w:t>
      </w:r>
    </w:p>
    <w:p>
      <w:pPr>
        <w:pStyle w:val="Bibliography"/>
      </w:pPr>
      <w:r>
        <w:t xml:space="preserve">46. Ng KM, et al. (2013) Microbiota-liberated host sugars facilitate post-antibiotic expansion of enteric pathogens.</w:t>
      </w:r>
      <w:r>
        <w:t xml:space="preserve"> </w:t>
      </w:r>
      <w:r>
        <w:rPr>
          <w:i/>
        </w:rPr>
        <w:t xml:space="preserve">Nature</w:t>
      </w:r>
      <w:r>
        <w:t xml:space="preserve"> </w:t>
      </w:r>
      <w:r>
        <w:t xml:space="preserve">502(7469):96–9.</w:t>
      </w:r>
    </w:p>
    <w:p>
      <w:pPr>
        <w:pStyle w:val="Bibliography"/>
      </w:pPr>
      <w:r>
        <w:t xml:space="preserve">47. Fuller MF, Reeds PJ (1998) Nitrogen cycling in the gut.</w:t>
      </w:r>
      <w:r>
        <w:t xml:space="preserve"> </w:t>
      </w:r>
      <w:r>
        <w:rPr>
          <w:i/>
        </w:rPr>
        <w:t xml:space="preserve">Annual review of nutrition</w:t>
      </w:r>
      <w:r>
        <w:t xml:space="preserve"> </w:t>
      </w:r>
      <w:r>
        <w:t xml:space="preserve">18:385–411.</w:t>
      </w:r>
    </w:p>
    <w:p>
      <w:pPr>
        <w:pStyle w:val="Bibliography"/>
      </w:pPr>
      <w:r>
        <w:t xml:space="preserve">48. Köpke M, Straub M, Dürre P (2013)</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t xml:space="preserve">8(4). doi:</w:t>
      </w:r>
      <w:hyperlink r:id="rId44">
        <w:r>
          <w:rPr>
            <w:rStyle w:val="Hyperlink"/>
          </w:rPr>
          <w:t xml:space="preserve">10.1371/journal.pone.0062157</w:t>
        </w:r>
      </w:hyperlink>
      <w:r>
        <w:t xml:space="preserve">.</w:t>
      </w:r>
    </w:p>
    <w:p>
      <w:pPr>
        <w:pStyle w:val="Bibliography"/>
      </w:pPr>
      <w:r>
        <w:t xml:space="preserve">49. Green ML, Karp PD (2006) The outcomes of pathway database computations depend on pathway ontology.</w:t>
      </w:r>
      <w:r>
        <w:t xml:space="preserve"> </w:t>
      </w:r>
      <w:r>
        <w:rPr>
          <w:i/>
        </w:rPr>
        <w:t xml:space="preserve">Nucleic Acids Research</w:t>
      </w:r>
      <w:r>
        <w:t xml:space="preserve"> </w:t>
      </w:r>
      <w:r>
        <w:t xml:space="preserve">34(13):3687–3697.</w:t>
      </w:r>
    </w:p>
    <w:p>
      <w:pPr>
        <w:pStyle w:val="Bibliography"/>
      </w:pPr>
      <w:r>
        <w:t xml:space="preserve">50. Levy R, Borenstein E (2012) Reverse Ecology: from systems to environments and back.</w:t>
      </w:r>
      <w:r>
        <w:t xml:space="preserve"> </w:t>
      </w:r>
      <w:r>
        <w:rPr>
          <w:i/>
        </w:rPr>
        <w:t xml:space="preserve">Advances in experimental medicine and biology</w:t>
      </w:r>
      <w:r>
        <w:t xml:space="preserve"> </w:t>
      </w:r>
      <w:r>
        <w:t xml:space="preserve">751:329–345.</w:t>
      </w:r>
    </w:p>
    <w:p>
      <w:pPr>
        <w:pStyle w:val="Bibliography"/>
      </w:pPr>
      <w:r>
        <w:t xml:space="preserve">51. Theriot CM, et al. (2011) 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t xml:space="preserve">2(6):326–334.</w:t>
      </w:r>
    </w:p>
    <w:p>
      <w:pPr>
        <w:pStyle w:val="Bibliography"/>
      </w:pPr>
      <w:r>
        <w:t xml:space="preserve">52. Wilson KH, Kennedy MJ, Fekety FR (1982)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t xml:space="preserve">15(3):443–446.</w:t>
      </w:r>
    </w:p>
    <w:p>
      <w:pPr>
        <w:pStyle w:val="Bibliography"/>
      </w:pPr>
      <w:r>
        <w:t xml:space="preserve">53. Sorg Ja, Sonenshein AL (2010)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t xml:space="preserve">192(19):4983–4990.</w:t>
      </w:r>
    </w:p>
    <w:p>
      <w:pPr>
        <w:pStyle w:val="Bibliography"/>
      </w:pPr>
      <w:r>
        <w:t xml:space="preserve">54. Leslie JL, et al.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t xml:space="preserve">83(1):138–145.</w:t>
      </w:r>
    </w:p>
    <w:p>
      <w:pPr>
        <w:pStyle w:val="Bibliography"/>
      </w:pPr>
      <w:r>
        <w:t xml:space="preserve">55. Kozich J( of M, Schloss P (2013) 16S Sequencing with the Illumina MiSeq Personal Sequencer.</w:t>
      </w:r>
      <w:r>
        <w:t xml:space="preserve"> </w:t>
      </w:r>
      <w:r>
        <w:rPr>
          <w:i/>
        </w:rPr>
        <w:t xml:space="preserve">University of Michigan Health System SOP</w:t>
      </w:r>
      <w:r>
        <w:t xml:space="preserve"> </w:t>
      </w:r>
      <w:r>
        <w:t xml:space="preserve">3.1:1–16.</w:t>
      </w:r>
    </w:p>
    <w:p>
      <w:pPr>
        <w:pStyle w:val="Bibliography"/>
      </w:pPr>
      <w:r>
        <w:t xml:space="preserve">56. Wang Q, Garrity GM, Tiedje JM, Cole JR (2007) Naive Bayesian classifier for rapid assignment of rRNA sequences into the new bacterial taxonomy.</w:t>
      </w:r>
      <w:r>
        <w:t xml:space="preserve"> </w:t>
      </w:r>
      <w:r>
        <w:rPr>
          <w:i/>
        </w:rPr>
        <w:t xml:space="preserve">Applied and Environmental Microbiology</w:t>
      </w:r>
      <w:r>
        <w:t xml:space="preserve"> </w:t>
      </w:r>
      <w:r>
        <w:t xml:space="preserve">73(16):5261–5267.</w:t>
      </w:r>
    </w:p>
    <w:p>
      <w:pPr>
        <w:pStyle w:val="Bibliography"/>
      </w:pPr>
      <w:r>
        <w:t xml:space="preserve">57. Lopez-Medina E, Neubauer MM, Pier GB, Koh AY (2011)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(55):6–9.</w:t>
      </w:r>
    </w:p>
    <w:p>
      <w:pPr>
        <w:pStyle w:val="Bibliography"/>
      </w:pPr>
      <w:r>
        <w:t xml:space="preserve">58. Langmead B, Trapnell C, Pop M, Salzberg SL (2009) Ultrafast and memory-efficient alignment of short DNA sequences to the human genome.</w:t>
      </w:r>
      <w:r>
        <w:t xml:space="preserve"> </w:t>
      </w:r>
      <w:r>
        <w:rPr>
          <w:i/>
        </w:rPr>
        <w:t xml:space="preserve">Genome Biol</w:t>
      </w:r>
      <w:r>
        <w:t xml:space="preserve">:1–10.</w:t>
      </w:r>
    </w:p>
    <w:p>
      <w:pPr>
        <w:pStyle w:val="Bibliography"/>
      </w:pPr>
      <w:r>
        <w:t xml:space="preserve">59. Ogata H, et al. (1999) KEGG: Kyoto encyclopedia of genes and genomes. 27:29–34.</w:t>
      </w:r>
    </w:p>
    <w:p>
      <w:pPr>
        <w:pStyle w:val="Bibliography"/>
      </w:pPr>
      <w:r>
        <w:t xml:space="preserve">60. Li H, et al. (2009) The Sequence Alignment/Map format and SAMtools.</w:t>
      </w:r>
      <w:r>
        <w:t xml:space="preserve"> </w:t>
      </w:r>
      <w:r>
        <w:rPr>
          <w:i/>
        </w:rPr>
        <w:t xml:space="preserve">Bioinformatics</w:t>
      </w:r>
      <w:r>
        <w:t xml:space="preserve"> </w:t>
      </w:r>
      <w:r>
        <w:t xml:space="preserve">25(16):2078–2079.</w:t>
      </w:r>
    </w:p>
    <w:p>
      <w:pPr>
        <w:pStyle w:val="Bibliography"/>
      </w:pPr>
      <w:r>
        <w:t xml:space="preserve">61. Basler G, Ebenhöh O, Selbig J, Nikoloski Z (2011) Mass-balanced randomization of metabolic networks.</w:t>
      </w:r>
      <w:r>
        <w:t xml:space="preserve"> </w:t>
      </w:r>
      <w:r>
        <w:rPr>
          <w:i/>
        </w:rPr>
        <w:t xml:space="preserve">Bioinformatics</w:t>
      </w:r>
      <w:r>
        <w:t xml:space="preserve"> </w:t>
      </w:r>
      <w:r>
        <w:t xml:space="preserve">27(10):1397–1403.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fdc2a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