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pretretments. We found levels of spore and toxin production varied between each antibiotic treatment group, and both processes are knwon to be regulated by specific nutrient concnetrations.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the metabolic model architecture, we were able to infer that a given metabolite was acquired from the environment. Our results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 Additionally, these data highlight conserved elements of</w:t>
      </w:r>
      <w:r>
        <w:t xml:space="preserve"> </w:t>
      </w:r>
      <w:r>
        <w:rPr>
          <w:i/>
        </w:rPr>
        <w:t xml:space="preserve">C. difficile</w:t>
      </w:r>
      <w:r>
        <w:t xml:space="preserve">'s metabolic strategy across infections, including the consumption of N-acetyl-D-glucosamine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descibed here could provide a useful platform to enable more rapid discoveries for the nutrient requirements of bacteria to be made in the future.</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30.</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31.</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32.</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33.</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34.</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35.</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36.</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37.</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38.</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39.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41.</w:t>
      </w:r>
      <w:r>
        <w:t xml:space="preserve"> </w:t>
      </w:r>
      <w:r>
        <w:rPr>
          <w:b/>
        </w:rPr>
        <w:t xml:space="preserve">McGill, R.</w:t>
      </w:r>
      <w:r>
        <w:t xml:space="preserve">,</w:t>
      </w:r>
      <w:r>
        <w:t xml:space="preserve"> </w:t>
      </w:r>
      <w:r>
        <w:rPr>
          <w:b/>
        </w:rPr>
        <w:t xml:space="preserve">J. W. Tukey</w:t>
      </w:r>
      <w:r>
        <w:t xml:space="preserve">, and</w:t>
      </w:r>
      <w:r>
        <w:t xml:space="preserve"> </w:t>
      </w:r>
      <w:r>
        <w:rPr>
          <w:b/>
        </w:rPr>
        <w:t xml:space="preserve">W. a. Larsen</w:t>
      </w:r>
      <w:r>
        <w:t xml:space="preserve">. 1978. Variations of Box Plots. The American Statistician</w:t>
      </w:r>
      <w:r>
        <w:t xml:space="preserve"> </w:t>
      </w:r>
      <w:r>
        <w:rPr>
          <w:b/>
        </w:rPr>
        <w:t xml:space="preserve">32</w:t>
      </w:r>
      <w:r>
        <w:t xml:space="preserve">:12–16.</w:t>
      </w:r>
    </w:p>
    <w:p>
      <w:pPr>
        <w:pStyle w:val="Bibliography"/>
      </w:pPr>
      <w:r>
        <w:t xml:space="preserve">42.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43.</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45.</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47.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50.</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51.</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55.</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3a33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2016-12-20T16:55:24Z</dcterms:created>
  <dcterms:modified xsi:type="dcterms:W3CDTF">2016-12-20T16:55:24Z</dcterms:modified>
</cp:coreProperties>
</file>