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a prerequisite of</w:t>
      </w:r>
      <w:r>
        <w:t xml:space="preserve"> </w:t>
      </w:r>
      <w:r>
        <w:rPr>
          <w:i/>
        </w:rPr>
        <w:t xml:space="preserve">C. difficile</w:t>
      </w:r>
      <w:r>
        <w:t xml:space="preserve"> </w:t>
      </w:r>
      <w:r>
        <w:t xml:space="preserve">colonization susceptibility. This has been described for multiple antibiotic classes, which many result in distinct gut communities and each present individual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must adapt its physiology to nutrient availability within the gut. Utilizing an</w:t>
      </w:r>
      <w:r>
        <w:t xml:space="preserve"> </w:t>
      </w:r>
      <w:r>
        <w:rPr>
          <w:i/>
        </w:rPr>
        <w:t xml:space="preserve">in vivo</w:t>
      </w:r>
      <w:r>
        <w:t xml:space="preserve"> </w:t>
      </w:r>
      <w:r>
        <w:t xml:space="preserve">model of CDI with three separate antibiotic pretreatments, we demonstrated</w:t>
      </w:r>
      <w:r>
        <w:t xml:space="preserve"> </w:t>
      </w:r>
      <w:r>
        <w:rPr>
          <w:i/>
        </w:rPr>
        <w:t xml:space="preserve">C. difficile</w:t>
      </w:r>
      <w:r>
        <w:t xml:space="preserve"> </w:t>
      </w:r>
      <w:r>
        <w:t xml:space="preserve">highly colonized the cecum of mice in each group. Levels of spore and toxin production varied between treatments, both processes having been linked nutrient concentrations. To more closely investigate specific responses of</w:t>
      </w:r>
      <w:r>
        <w:t xml:space="preserve"> </w:t>
      </w:r>
      <w:r>
        <w:rPr>
          <w:i/>
        </w:rPr>
        <w:t xml:space="preserve">C. difficile</w:t>
      </w:r>
      <w:r>
        <w:t xml:space="preserve"> </w:t>
      </w:r>
      <w:r>
        <w:t xml:space="preserve">during infection, we performed targeted transcriptional analysis from cecal content of infected mice. This revealed variation in expression of life-cycle switches and catabolic pathways for various carbon sources. In order to assess which substrates</w:t>
      </w:r>
      <w:r>
        <w:t xml:space="preserve"> </w:t>
      </w:r>
      <w:r>
        <w:rPr>
          <w:i/>
        </w:rPr>
        <w:t xml:space="preserve">C. difficile</w:t>
      </w:r>
      <w:r>
        <w:t xml:space="preserve"> </w:t>
      </w:r>
      <w:r>
        <w:t xml:space="preserve">was exploiting, we further characterized the systems using transcriptomic-enabled genome-scale metabolic modeling and untargeted metabolomic analysis. Through development of a novel metabolite scoring algorithm, leveraging the metabolic model architecture, we were able to infer that a given metabolite was acquired from the environment. Our results support the hypothesis that</w:t>
      </w:r>
      <w:r>
        <w:t xml:space="preserve"> </w:t>
      </w:r>
      <w:r>
        <w:rPr>
          <w:i/>
        </w:rPr>
        <w:t xml:space="preserve">C. difficile</w:t>
      </w:r>
      <w:r>
        <w:t xml:space="preserve"> </w:t>
      </w:r>
      <w:r>
        <w:t xml:space="preserve">occupies alternative nutrient niches by metabolizing separate carbohydrate sources in each infection and these distinctions track with disparity in pathogenicity. Additionally, these data highlight conserved elements of</w:t>
      </w:r>
      <w:r>
        <w:t xml:space="preserve"> </w:t>
      </w:r>
      <w:r>
        <w:rPr>
          <w:i/>
        </w:rPr>
        <w:t xml:space="preserve">C. difficile</w:t>
      </w:r>
      <w:r>
        <w:t xml:space="preserve">'s metabolic strategy, including consumption of N-acetyl-D-glucosamine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hosts and ultimately cause disease. This work also provides evidence that</w:t>
      </w:r>
      <w:r>
        <w:t xml:space="preserve"> </w:t>
      </w:r>
      <w:r>
        <w:rPr>
          <w:i/>
        </w:rPr>
        <w:t xml:space="preserve">C. difficile</w:t>
      </w:r>
      <w:r>
        <w:t xml:space="preserve"> </w:t>
      </w:r>
      <w:r>
        <w:t xml:space="preserve">virulence may be driven by accessibility of specific carbohydrates utilized for growth during each infection. This work has implications for elucidating drivers of</w:t>
      </w:r>
      <w:r>
        <w:t xml:space="preserve"> </w:t>
      </w:r>
      <w:r>
        <w:rPr>
          <w:i/>
        </w:rPr>
        <w:t xml:space="preserve">C. difficile</w:t>
      </w:r>
      <w:r>
        <w:t xml:space="preserve"> </w:t>
      </w:r>
      <w:r>
        <w:t xml:space="preserve">pathogenesis and uncover specifics colonization resistance. This could lead to the discovery of targeted measures to prevent</w:t>
      </w:r>
      <w:r>
        <w:t xml:space="preserve"> </w:t>
      </w:r>
      <w:r>
        <w:rPr>
          <w:i/>
        </w:rPr>
        <w:t xml:space="preserve">C. difficile</w:t>
      </w:r>
      <w:r>
        <w:t xml:space="preserve"> </w:t>
      </w:r>
      <w:r>
        <w:t xml:space="preserve">colonization including potential pre- or probiotic therapies. Furthermore, the metabolite importance calculation platform developed here provides a tool to enable identification of the nutrient requirements for diverse bacterial species through strictly transcriptomic analysis.</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t xml:space="preserve"> </w:t>
      </w:r>
      <w: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t xml:space="preserve"> </w:t>
      </w:r>
      <w: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which have been shown to result in susceptibility</w:t>
      </w:r>
      <w:r>
        <w:t xml:space="preserve"> </w:t>
      </w:r>
      <w:r>
        <w:rPr>
          <w:i/>
        </w:rPr>
        <w:t xml:space="preserve">C. difficile</w:t>
      </w:r>
      <w:r>
        <w:t xml:space="preserve"> </w:t>
      </w:r>
      <w:r>
        <w:t xml:space="preserve">colonization</w:t>
      </w:r>
      <w:r>
        <w:t xml:space="preserve"> </w:t>
      </w:r>
      <w:r>
        <w:t xml:space="preserve">(6–8)</w:t>
      </w:r>
      <w:r>
        <w:t xml:space="preserve">. In this case, the antibiotics chosen significantly impact the structure and diversity of the cecal microbiome (Fig. S1a &amp; S1b). It has been further demonstrated that at 18 hours after being introduced to a cefoperazone treated mouse,</w:t>
      </w:r>
      <w:r>
        <w:t xml:space="preserve"> </w:t>
      </w:r>
      <w:r>
        <w:rPr>
          <w:i/>
        </w:rPr>
        <w:t xml:space="preserve">C. difficile</w:t>
      </w:r>
      <w:r>
        <w:t xml:space="preserve"> </w:t>
      </w:r>
      <w:r>
        <w:t xml:space="preserve">reached its maximum vegetative cell density in the cecum</w:t>
      </w:r>
      <w:r>
        <w:t xml:space="preserve"> </w:t>
      </w:r>
      <w: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t xml:space="preserve"> </w:t>
      </w:r>
      <w:r>
        <w:t xml:space="preserve">(7, 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(13, 14)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t xml:space="preserve"> </w:t>
      </w:r>
      <w:r>
        <w:t xml:space="preserve">(18, 19)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t xml:space="preserve"> </w:t>
      </w:r>
      <w:r>
        <w:t xml:space="preserve">(20, 21)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t xml:space="preserve"> </w:t>
      </w:r>
      <w:r>
        <w:t xml:space="preserve">(22, 23)</w:t>
      </w:r>
      <w:r>
        <w:t xml:space="preserve">, with some work characterizing transcription during colonization of germfree mice</w:t>
      </w:r>
      <w:r>
        <w:t xml:space="preserve"> </w:t>
      </w:r>
      <w:r>
        <w:t xml:space="preserve">(24, 25)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t xml:space="preserve"> </w:t>
      </w:r>
      <w: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t xml:space="preserve"> </w:t>
      </w:r>
      <w:r>
        <w:t xml:space="preserve">(7, 12)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t xml:space="preserve"> </w:t>
      </w:r>
      <w: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cefoperazone, and clindamycin (Table 1; Fig. S1). These antibiotics differentially affect the structure of the gut microbiota</w:t>
      </w:r>
      <w:r>
        <w:t xml:space="preserve"> </w:t>
      </w:r>
      <w:r>
        <w:t xml:space="preserve">(8)</w:t>
      </w:r>
      <w:r>
        <w:t xml:space="preserve">. Each has also been shown to alter the gut metabolome relative to untreated animals</w:t>
      </w:r>
      <w:r>
        <w:t xml:space="preserve"> </w:t>
      </w:r>
      <w:r>
        <w:t xml:space="preserve">(7, 10, 12)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BodyText"/>
      </w:pPr>
      <w:r>
        <w:t xml:space="preserve">Need to add something about why this matters at all</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0.001), but toxin titer also varied between antibiotic treatment groups (Fig. 1c).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&lt;0.001% of the bacterial load in the ceca of antibiotic-treated SPF mice (By read abundance; Fig. S2C), with rRNA depletion also eliminating &gt;90% of each raw RNA isolation</w:t>
      </w:r>
      <w:r>
        <w:t xml:space="preserve"> </w:t>
      </w:r>
      <w:r>
        <w:t xml:space="preserve">(29)</w:t>
      </w:r>
      <w:r>
        <w:t xml:space="preserve">, it was necessary to pool samples within each treatment group. Moreover, this also required a high degree of sequencing depth per sample in order to yeild sufficient numbers of reads that mapped to</w:t>
      </w:r>
      <w:r>
        <w:t xml:space="preserve"> </w:t>
      </w:r>
      <w:r>
        <w:rPr>
          <w:i/>
        </w:rPr>
        <w:t xml:space="preserve">C. difficile</w:t>
      </w:r>
      <w:r>
        <w:t xml:space="preserve"> </w:t>
      </w:r>
      <w:r>
        <w:t xml:space="preserve">str. 630 (4019 genes and putative ORFs; KEGG 2016) with 100% fidelity. Approximately 300 million raw paired-end reads were sequenced per pooled sample, with an average of ~167 thousand reads attributed to</w:t>
      </w:r>
      <w:r>
        <w:t xml:space="preserve"> </w:t>
      </w:r>
      <w:r>
        <w:rPr>
          <w:i/>
        </w:rPr>
        <w:t xml:space="preserve">C. dificile</w:t>
      </w:r>
      <w:r>
        <w:t xml:space="preserve"> </w:t>
      </w:r>
      <w:r>
        <w:t xml:space="preserve">following all curation steps (outlined in Methods). This corresponded to an average of ~42x coverage across the</w:t>
      </w:r>
      <w:r>
        <w:t xml:space="preserve"> </w:t>
      </w:r>
      <w:r>
        <w:rPr>
          <w:i/>
        </w:rPr>
        <w:t xml:space="preserve">C. difficile</w:t>
      </w:r>
      <w:r>
        <w:t xml:space="preserve"> </w:t>
      </w:r>
      <w:r>
        <w:t xml:space="preserve">str. 630 reference used, while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gnotobiotic monoassociation</w:t>
      </w:r>
      <w:r>
        <w:t xml:space="preserve"> </w:t>
      </w:r>
      <w:r>
        <w:t xml:space="preserve">(20, 24)</w:t>
      </w:r>
      <w:r>
        <w:t xml:space="preserve">, is not feasible in the context of a diverse bacterial community. Because of these factors the read abundances for</w:t>
      </w:r>
      <w:r>
        <w:t xml:space="preserve"> </w:t>
      </w:r>
      <w:r>
        <w:rPr>
          <w:i/>
        </w:rPr>
        <w:t xml:space="preserve">C. difficile</w:t>
      </w:r>
      <w:r>
        <w:t xml:space="preserve"> </w:t>
      </w:r>
      <w:r>
        <w:t xml:space="preserve">reported here were unavoidable, however these levels have been shown to be largely acceptable for our type of analysis due to the focus on large-scale differences in specific annotated genes</w:t>
      </w:r>
      <w:r>
        <w:t xml:space="preserve"> </w:t>
      </w:r>
      <w:r>
        <w:t xml:space="preserve">(30)</w:t>
      </w:r>
      <w:r>
        <w:t xml:space="preserve">. Furthermore, microarray-based gene expression analysis was also not a viable alternative as the amount of background transcription from other bacterial species would contribute greatly to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initially focused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t xml:space="preserve"> </w:t>
      </w:r>
      <w:r>
        <w:t xml:space="preserve">(31–34)</w:t>
      </w:r>
      <w:r>
        <w:t xml:space="preserve"> </w:t>
      </w:r>
      <w:r>
        <w:t xml:space="preserve">(Fig. 2a). Across the four conditions where</w:t>
      </w:r>
      <w:r>
        <w:t xml:space="preserve"> </w:t>
      </w:r>
      <w:r>
        <w:rPr>
          <w:i/>
        </w:rPr>
        <w:t xml:space="preserve">C. difficile</w:t>
      </w:r>
      <w:r>
        <w:t xml:space="preserve"> </w:t>
      </w:r>
      <w:r>
        <w:t xml:space="preserve">colonized, we observed transcriptional profiles consistent with observed spore levels (Fig. 1b). The mice treated with cefoperazone had the lowest spore density and had the highest level of expression for the anti-sigma factor</w:t>
      </w:r>
      <w:r>
        <w:t xml:space="preserve"> </w:t>
      </w:r>
      <w:r>
        <w:rPr>
          <w:i/>
        </w:rPr>
        <w:t xml:space="preserve">spoVG</w:t>
      </w:r>
      <w:r>
        <w:t xml:space="preserve">. The products of these genes are involved in suppressing expression of genes found later in the sporulation pathway</w:t>
      </w:r>
      <w:r>
        <w:t xml:space="preserve"> </w:t>
      </w:r>
      <w:r>
        <w:t xml:space="preserve">(35)</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w:t>
      </w:r>
      <w:r>
        <w:t xml:space="preserve"> </w:t>
      </w:r>
      <w:r>
        <w:rPr>
          <w:i/>
        </w:rPr>
        <w:t xml:space="preserve">spoVS</w:t>
      </w:r>
      <w:r>
        <w:t xml:space="preserve">,and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re-add quorum sensing and map to remaining agr genes</w:t>
      </w:r>
    </w:p>
    <w:p>
      <w:pPr>
        <w:pStyle w:val="BodyText"/>
      </w:pPr>
      <w:r>
        <w:t xml:space="preserve">Moving upstream, we next focused on the regulators of metabolic pathways. Specific sigma factors are master regulators and a subset have been shown to integrate signals from intra- and extracellular nutrient concentrations</w:t>
      </w:r>
      <w:r>
        <w:t xml:space="preserve"> </w:t>
      </w:r>
      <w:r>
        <w:t xml:space="preserve">(20, 21, 33, 36)</w:t>
      </w:r>
      <w:r>
        <w:t xml:space="preserve">. The transcription of the global repressor</w:t>
      </w:r>
      <w:r>
        <w:t xml:space="preserve"> </w:t>
      </w:r>
      <w:r>
        <w:rPr>
          <w:i/>
        </w:rPr>
        <w:t xml:space="preserve">codY</w:t>
      </w:r>
      <w:r>
        <w:t xml:space="preserve"> </w:t>
      </w:r>
      <w:r>
        <w:t xml:space="preserve">is responsive to intracellular concentrations of</w:t>
      </w:r>
      <w:r>
        <w:t xml:space="preserve"> </w:t>
      </w:r>
      <w:r>
        <w:rPr>
          <w:i/>
        </w:rPr>
        <w:t xml:space="preserve">C. difficile</w:t>
      </w:r>
      <w:r>
        <w:t xml:space="preserve"> </w:t>
      </w:r>
      <w:r>
        <w:t xml:space="preserve">energy sources</w:t>
      </w:r>
      <w:r>
        <w:t xml:space="preserve"> </w:t>
      </w:r>
      <w:r>
        <w:t xml:space="preserve">(37)</w:t>
      </w:r>
      <w:r>
        <w:t xml:space="preserve">. Highest transcription for this gene was found in cefoperazone-treated and GF mice (Fig. 2d). The regulation networks of CodY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t xml:space="preserve"> </w:t>
      </w:r>
      <w: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2d),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2d).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2d).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S2A). We then focused on general differences in carbohydrate (Fig. S2b) and amino acid (Fig. S2C)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GF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3). We then identified the condition in which each gene was most highly transcribed and adjusted the size of the corresponding point relative to the largest transcript abundance.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indentify associations of gene sets with each condition, we also analyzed each set separately. First, we found that the expression of genes associated with amino acid catabolism were expressed at nearly consistent levels across the conditions.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t xml:space="preserve"> </w:t>
      </w:r>
      <w:r>
        <w:t xml:space="preserve">(25)</w:t>
      </w:r>
      <w:r>
        <w:t xml:space="preserve">. Among the genes classified as PTS transporters were overrepresented in both clindamycin and streptomycin-treated mice, while ABC sugar transporters were overrepresented in the cefoparazone-treated mice. The most stark differences were seen in transcription for genes involved in sugar alcohol catabolism.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and polysaccharide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Together these patterns suggested that polysaccharide fermentation occurred this condition. More subtle differences were seen in those gene associated with glycolysis. This category includes genes for not only the steps of glycolysis, but also several genes that mediate entry points of monosaccharides to glycolysis.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interactions by directed connecting edges (Fig. 4a).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w:t>
      </w:r>
      <w:r>
        <w:t xml:space="preserve"> </w:t>
      </w:r>
      <w:r>
        <w:rPr>
          <w:i/>
        </w:rPr>
        <w:t xml:space="preserve">quantity</w:t>
      </w:r>
      <w:r>
        <w:t xml:space="preserve"> </w:t>
      </w:r>
      <w:r>
        <w:t xml:space="preserve">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(39)</w:t>
      </w:r>
      <w:r>
        <w:t xml:space="preserve">. Similarly, CC is instead a calculation for the reciprocal sum of the</w:t>
      </w:r>
      <w:r>
        <w:t xml:space="preserve"> </w:t>
      </w:r>
      <w:r>
        <w:rPr>
          <w:i/>
        </w:rPr>
        <w:t xml:space="preserve">lengths</w:t>
      </w:r>
      <w:r>
        <w:t xml:space="preserve"> </w:t>
      </w:r>
      <w:r>
        <w:t xml:space="preserve">of those shortest paths quantified by the BC. This value demonstrates how essential a given node is the the overall structure of the metabolic network</w:t>
      </w:r>
      <w:r>
        <w:t xml:space="preserve"> </w:t>
      </w:r>
      <w:r>
        <w:t xml:space="preserve">(40)</w:t>
      </w:r>
      <w:r>
        <w:t xml:space="preserve">. Together, these metrics allow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(41)</w:t>
      </w:r>
      <w:r>
        <w:t xml:space="preserve">. Interestingly, both ATP and GTP were not included in the top 10 of either list, despite still scoring relatively highly. Their exclusion may be a byproduct of the KEGG reference used for network construction (reaction_mapformula.lst) which focuses on conversions of smaller molecules and mostly excludes the synthesis of large macromolecules (ex. DNA, RNA, Proteins, etc.) which require higher input energy. While may be a limitation of certain analyses, ours was not effected as the interest of this study was in those simple nutrients acquired from the environment. Together, these results indicated that the topology of the overall network reflects established bacterial physiology and amino acid catabolism is a central strategy of</w:t>
      </w:r>
      <w:r>
        <w:t xml:space="preserve"> </w:t>
      </w:r>
      <w:r>
        <w:rPr>
          <w:i/>
        </w:rPr>
        <w:t xml:space="preserve">C. difficile</w:t>
      </w:r>
      <w:r>
        <w:t xml:space="preserve"> </w:t>
      </w:r>
      <w:r>
        <w:t xml:space="preserve">str. 630 based on the structure of its metabolic network.</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in order to impute active metabolism. Concordantly, several models of bacterial protein expression determinants also suggest that intracellular concentration of mRNA is the strongest predictor for abundance of the corresponding protein products</w:t>
      </w:r>
      <w:r>
        <w:t xml:space="preserve"> </w:t>
      </w:r>
      <w:r>
        <w:t xml:space="preserve">(42)</w:t>
      </w:r>
      <w:r>
        <w:t xml:space="preserve">. Because of this, we were reasonably confident in utilizing normalized transcript abundance as a proxy for enzyme levels. The importance of each metabolite was measured as the log-transformed difference between the average transcript levels of enzymes that use the metabolite as a substrate and those that generate it as a product (Fig. 4a). A metabolite with a high importance score is most likely obtained from the environment because the expression of genes for enzymes that produce the metabolite are low. Due to the fact that separate sequencing efforts for each individual mouse in each group was impossible, we instead adopted a Monte Carlo-style simulation in order to achieve some degree of statistical validation to our findings. To accomplish this,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(43)</w:t>
      </w:r>
      <w:r>
        <w:t xml:space="preserve">. This ultimately allowed for computing the significance level that a given score had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5a). The host derived amino sugar N-acetyl-D-glucosamine was found to be consistently important.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(44–46)</w:t>
      </w:r>
      <w:r>
        <w:t xml:space="preserve">. This indicated that these metabolites may be an integral component of the nutrient niche for</w:t>
      </w:r>
      <w:r>
        <w:t xml:space="preserve"> </w:t>
      </w:r>
      <w:r>
        <w:rPr>
          <w:i/>
        </w:rPr>
        <w:t xml:space="preserve">C. difficile</w:t>
      </w:r>
      <w:r>
        <w:t xml:space="preserve"> </w:t>
      </w:r>
      <w:r>
        <w:t xml:space="preserve">in any infection condition. Additionally, acetate was found to be important in all conditions, but was just below the significance cutoff in GF mice (Table S3). It has been shown that</w:t>
      </w:r>
      <w:r>
        <w:t xml:space="preserve"> </w:t>
      </w:r>
      <w:r>
        <w:rPr>
          <w:i/>
        </w:rPr>
        <w:t xml:space="preserve">C. difficile</w:t>
      </w:r>
      <w:r>
        <w:t xml:space="preserve"> </w:t>
      </w:r>
      <w:r>
        <w:t xml:space="preserve">metabolizes acetate for use in glycolysis</w:t>
      </w:r>
      <w:r>
        <w:t xml:space="preserve"> </w:t>
      </w:r>
      <w:r>
        <w:t xml:space="preserve">(47)</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S4)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5b). Each group of metabolites contained at least one known carbohydrate growth substrate of</w:t>
      </w:r>
      <w:r>
        <w:t xml:space="preserve"> </w:t>
      </w:r>
      <w:r>
        <w:rPr>
          <w:i/>
        </w:rPr>
        <w:t xml:space="preserve">C. difficile</w:t>
      </w:r>
      <w:r>
        <w:t xml:space="preserve"> </w:t>
      </w:r>
      <w:r>
        <w:t xml:space="preserve">(7, 48)</w:t>
      </w:r>
      <w:r>
        <w:t xml:space="preserve">. This included sorbitol, galactitol,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Carbohydrates predicted to be important using network-based approach differentially supported</w:t>
      </w:r>
      <w:r>
        <w:rPr>
          <w:b/>
        </w:rPr>
        <w:t xml:space="preserve"> </w:t>
      </w:r>
      <w:r>
        <w:rPr>
          <w:i/>
          <w:b/>
        </w:rPr>
        <w:t xml:space="preserve">C. difficile</w:t>
      </w:r>
      <w:r>
        <w:rPr>
          <w:b/>
        </w:rPr>
        <w:t xml:space="preserve"> </w:t>
      </w:r>
      <w:r>
        <w:rPr>
          <w:b/>
        </w:rPr>
        <w:t xml:space="preserve">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5C). This was performed using a modified defined</w:t>
      </w:r>
      <w:r>
        <w:t xml:space="preserve"> </w:t>
      </w:r>
      <w:r>
        <w:rPr>
          <w:i/>
        </w:rPr>
        <w:t xml:space="preserve">C. difficile</w:t>
      </w:r>
      <w:r>
        <w:t xml:space="preserve"> </w:t>
      </w:r>
      <w:r>
        <w:t xml:space="preserve">minimal media</w:t>
      </w:r>
      <w:r>
        <w:t xml:space="preserve"> </w:t>
      </w:r>
      <w: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is auxotrophic for several amino acids, it was necessary to include amino acids in the minimal media despite the capability to achieve modest growth through Stickland fermentation of these substrates. This focused our analysis on carbohydtrates and made the most effective negative control growth in media lacking carbohydrates but containing amino acids.</w:t>
      </w:r>
    </w:p>
    <w:p>
      <w:pPr>
        <w:pStyle w:val="BodyText"/>
      </w:pPr>
      <w:r>
        <w:t xml:space="preserve">Relying on network-based analysis a single carbohydrate source, N-acetyl-D-glucosamine, was found to be important to</w:t>
      </w:r>
      <w:r>
        <w:t xml:space="preserve"> </w:t>
      </w:r>
      <w:r>
        <w:rPr>
          <w:i/>
        </w:rPr>
        <w:t xml:space="preserve">C. difficile</w:t>
      </w:r>
      <w:r>
        <w:t xml:space="preserve"> </w:t>
      </w:r>
      <w:r>
        <w:t xml:space="preserve">in each condition tested (Fig. 5a). When tested for improved growth, significantly more growth (Max OD</w:t>
      </w:r>
      <w:r>
        <w:rPr>
          <w:vertAlign w:val="subscript"/>
        </w:rPr>
        <w:t xml:space="preserve">600</w:t>
      </w:r>
      <w:r>
        <w:t xml:space="preserve"> </w:t>
      </w:r>
      <w:r>
        <w:t xml:space="preserve">= 0.774) was observed compared to negative controls (</w:t>
      </w:r>
      <w:r>
        <w:rPr>
          <w:i/>
        </w:rPr>
        <w:t xml:space="preserve">P</w:t>
      </w:r>
      <w:r>
        <w:t xml:space="preserve"> </w:t>
      </w:r>
      <w:r>
        <w:t xml:space="preserve">&lt;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Upon analysis of carbon sources identified as distinctly important across treatment groups, we found that at least one substrate from cefoperazone-treated, clindamycin-treated, and GF groups provided high levels of</w:t>
      </w:r>
      <w:r>
        <w:t xml:space="preserve"> </w:t>
      </w:r>
      <w:r>
        <w:rPr>
          <w:i/>
        </w:rPr>
        <w:t xml:space="preserve">C. difficile</w:t>
      </w:r>
      <w:r>
        <w:t xml:space="preserve"> </w:t>
      </w:r>
      <w:r>
        <w:t xml:space="preserve">growth relative to negative controls (</w:t>
      </w:r>
      <w:r>
        <w:rPr>
          <w:i/>
        </w:rPr>
        <w:t xml:space="preserve">P</w:t>
      </w:r>
      <w:r>
        <w:t xml:space="preserve"> </w:t>
      </w:r>
      <w:r>
        <w:t xml:space="preserve">&lt; 0.001). This included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Distinctly important from streptomycin-treated mice, D-sorbitol (streptomycin; Max OD</w:t>
      </w:r>
      <w:r>
        <w:rPr>
          <w:vertAlign w:val="subscript"/>
        </w:rPr>
        <w:t xml:space="preserve">600</w:t>
      </w:r>
      <w:r>
        <w:t xml:space="preserve"> </w:t>
      </w:r>
      <w:r>
        <w:t xml:space="preserve">= 0.202) and galactitol (streptomycin; Max OD</w:t>
      </w:r>
      <w:r>
        <w:rPr>
          <w:vertAlign w:val="subscript"/>
        </w:rPr>
        <w:t xml:space="preserve">600</w:t>
      </w:r>
      <w:r>
        <w:t xml:space="preserve"> </w:t>
      </w:r>
      <w:r>
        <w:t xml:space="preserve">= 0.211), significantly altered growth compared to negative controls (</w:t>
      </w:r>
      <w:r>
        <w:rPr>
          <w:i/>
        </w:rPr>
        <w:t xml:space="preserve">P</w:t>
      </w:r>
      <w:r>
        <w:t xml:space="preserve"> </w:t>
      </w:r>
      <w:r>
        <w:t xml:space="preserve">&lt; 0.001), however did not overall growth rate (Table S4). Maximum growth rate analysis for each carbohydrate also indicated potential hierarchy in carbohydrate preference (Table S4) which is as follows: N-acetyl-D-glucosamine (</w:t>
      </w:r>
      <w:r>
        <w:rPr>
          <w:i/>
        </w:rPr>
        <w:t xml:space="preserve">k</w:t>
      </w:r>
      <w:r>
        <w:t xml:space="preserve"> </w:t>
      </w:r>
      <w:r>
        <w:t xml:space="preserve">= 0.085 hr</w:t>
      </w:r>
      <w:r>
        <w:rPr>
          <w:vertAlign w:val="superscript"/>
        </w:rPr>
        <w:t xml:space="preserve">-1</w:t>
      </w:r>
      <w:r>
        <w:t xml:space="preserve">), salicin (</w:t>
      </w:r>
      <w:r>
        <w:rPr>
          <w:i/>
        </w:rPr>
        <w:t xml:space="preserve">k</w:t>
      </w:r>
      <w:r>
        <w:t xml:space="preserve"> </w:t>
      </w:r>
      <w:r>
        <w:t xml:space="preserve">= 0.077 hr</w:t>
      </w:r>
      <w:r>
        <w:rPr>
          <w:vertAlign w:val="superscript"/>
        </w:rPr>
        <w:t xml:space="preserve">-1</w:t>
      </w:r>
      <w:r>
        <w:t xml:space="preserve">), mannitol (</w:t>
      </w:r>
      <w:r>
        <w:rPr>
          <w:i/>
        </w:rPr>
        <w:t xml:space="preserve">k</w:t>
      </w:r>
      <w:r>
        <w:t xml:space="preserve"> </w:t>
      </w:r>
      <w:r>
        <w:t xml:space="preserve">= 0.044 hr</w:t>
      </w:r>
      <w:r>
        <w:rPr>
          <w:vertAlign w:val="superscript"/>
        </w:rPr>
        <w:t xml:space="preserve">-1</w:t>
      </w:r>
      <w:r>
        <w:t xml:space="preserve">), N-acetylneuraminate (</w:t>
      </w:r>
      <w:r>
        <w:rPr>
          <w:i/>
        </w:rPr>
        <w:t xml:space="preserve">k</w:t>
      </w:r>
      <w:r>
        <w:t xml:space="preserve"> </w:t>
      </w:r>
      <w:r>
        <w:t xml:space="preserve">= 0.024 hr</w:t>
      </w:r>
      <w:r>
        <w:rPr>
          <w:vertAlign w:val="superscript"/>
        </w:rPr>
        <w:t xml:space="preserve">-1</w:t>
      </w:r>
      <w:r>
        <w:t xml:space="preserve">), sorbitol (</w:t>
      </w:r>
      <w:r>
        <w:rPr>
          <w:i/>
        </w:rPr>
        <w:t xml:space="preserve">k</w:t>
      </w:r>
      <w:r>
        <w:t xml:space="preserve"> </w:t>
      </w:r>
      <w:r>
        <w:t xml:space="preserve">= 0.022 hr</w:t>
      </w:r>
      <w:r>
        <w:rPr>
          <w:vertAlign w:val="superscript"/>
        </w:rPr>
        <w:t xml:space="preserve">-1</w:t>
      </w:r>
      <w:r>
        <w:t xml:space="preserve">), and finally galactitol (</w:t>
      </w:r>
      <w:r>
        <w:rPr>
          <w:i/>
        </w:rPr>
        <w:t xml:space="preserve">k</w:t>
      </w:r>
      <w:r>
        <w:t xml:space="preserve"> </w:t>
      </w:r>
      <w:r>
        <w:t xml:space="preserve">= 0.02 hr</w:t>
      </w:r>
      <w:r>
        <w:rPr>
          <w:vertAlign w:val="superscript"/>
        </w:rPr>
        <w:t xml:space="preserve">-1</w:t>
      </w:r>
      <w:r>
        <w:t xml:space="preserve">). Although not a carbohydrate, we also tested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showed no improvement over negative controls (Fig. S5). These data suggested that</w:t>
      </w:r>
      <w:r>
        <w:t xml:space="preserve"> </w:t>
      </w:r>
      <w:r>
        <w:rPr>
          <w:i/>
        </w:rPr>
        <w:t xml:space="preserve">C. difficile</w:t>
      </w:r>
      <w:r>
        <w:t xml:space="preserve"> </w:t>
      </w:r>
      <w:r>
        <w:t xml:space="preserve">was well-suited to adapt its metabolism toward nutrient sources that were differentially available across susceptible mouse ceca.</w:t>
      </w:r>
    </w:p>
    <w:p>
      <w:pPr>
        <w:pStyle w:val="BodyText"/>
      </w:pPr>
      <w:r>
        <w:rPr>
          <w:b/>
        </w:rPr>
        <w:t xml:space="preserve">Metabolomic analysis supported network-based results for metabolic adaptation and uncovered additional aspects of</w:t>
      </w:r>
      <w:r>
        <w:rPr>
          <w:b/>
        </w:rPr>
        <w:t xml:space="preserve"> </w:t>
      </w:r>
      <w:r>
        <w:rPr>
          <w:i/>
          <w:b/>
        </w:rPr>
        <w:t xml:space="preserve">C. difficile</w:t>
      </w:r>
      <w:r>
        <w:rPr>
          <w:b/>
        </w:rPr>
        <w:t xml:space="preserve">’s nutrient niche.</w:t>
      </w:r>
      <w:r>
        <w:t xml:space="preserve"> </w:t>
      </w:r>
      <w:r>
        <w:t xml:space="preserve">In order to validate results from transcriptomic and metabolic modeling analyses, we utilized untargeted mass-specrometry (Table S5) to measure the relative</w:t>
      </w:r>
      <w:r>
        <w:t xml:space="preserve"> </w:t>
      </w:r>
      <w:r>
        <w:rPr>
          <w:i/>
        </w:rPr>
        <w:t xml:space="preserve">in vivo</w:t>
      </w:r>
      <w:r>
        <w:t xml:space="preserve"> </w:t>
      </w:r>
      <w:r>
        <w:t xml:space="preserve">concentrations of metabolites highlighted by network-based importance scores.</w:t>
      </w:r>
    </w:p>
    <w:p>
      <w:pPr>
        <w:pStyle w:val="BodyText"/>
      </w:pPr>
      <w:r>
        <w:t xml:space="preserve">We compared cecal content from mock</w:t>
      </w:r>
      <w:r>
        <w:t xml:space="preserve"> </w:t>
      </w:r>
      <w:r>
        <w:rPr>
          <w:i/>
        </w:rPr>
        <w:t xml:space="preserve">C. difficile</w:t>
      </w:r>
      <w:r>
        <w:t xml:space="preserve">-infected susceptible and resistant mice at the same 18 hour time point as the previous analyses.</w:t>
      </w:r>
    </w:p>
    <w:p>
      <w:pPr>
        <w:pStyle w:val="BodyText"/>
      </w:pPr>
      <w:r>
        <w:t xml:space="preserve">Initially N-acetylglucosamine + N-acetylgalactosamine (Fig. 6a) and salicylate (Fig. 6b) were found to be significantly decreased in all susceptible treatment groups compared to resistant controls (</w:t>
      </w:r>
      <w:r>
        <w:rPr>
          <w:i/>
        </w:rPr>
        <w:t xml:space="preserve">P</w:t>
      </w:r>
      <w:r>
        <w:t xml:space="preserve"> </w:t>
      </w:r>
      <w:r>
        <w:t xml:space="preserve">&lt; 0.05). Additionally, we found that galactitol (Fig. 6c), mannitol + sorbitol (Fig. 6d), and N-acetylneuraminate (Fig. 6e) were significantly increased in both cefoperazone-treated SPF and GF mice (</w:t>
      </w:r>
      <w:r>
        <w:rPr>
          <w:i/>
        </w:rPr>
        <w:t xml:space="preserve">P</w:t>
      </w:r>
      <w:r>
        <w:t xml:space="preserve"> </w:t>
      </w:r>
      <w:r>
        <w:t xml:space="preserve">&lt; 0.05). Finally, these assays also revealed that proline (Fig. 6f) was significantly increased in all</w:t>
      </w:r>
      <w:r>
        <w:t xml:space="preserve"> </w:t>
      </w:r>
      <w:r>
        <w:rPr>
          <w:i/>
        </w:rPr>
        <w:t xml:space="preserve">C. difficile</w:t>
      </w:r>
      <w:r>
        <w:t xml:space="preserve"> </w:t>
      </w:r>
      <w:r>
        <w:t xml:space="preserve">susceptible conditions (</w:t>
      </w:r>
      <w:r>
        <w:rPr>
          <w:i/>
        </w:rPr>
        <w:t xml:space="preserve">P</w:t>
      </w:r>
      <w:r>
        <w:t xml:space="preserve"> </w:t>
      </w:r>
      <w:r>
        <w:t xml:space="preserve">&lt; 0.05), while glycine (Fig. 6g) was found to also be concordantly increased. These amino acids are required together for</w:t>
      </w:r>
      <w:r>
        <w:t xml:space="preserve"> </w:t>
      </w:r>
      <w:r>
        <w:rPr>
          <w:i/>
        </w:rPr>
        <w:t xml:space="preserve">C. difficile</w:t>
      </w:r>
      <w:r>
        <w:t xml:space="preserve"> </w:t>
      </w:r>
      <w:r>
        <w:t xml:space="preserve">to perform Stickland fermentation. Together metabolomic results further supported network-derived importance scores and our hypothesis that</w:t>
      </w:r>
      <w:r>
        <w:t xml:space="preserve"> </w:t>
      </w:r>
      <w:r>
        <w:rPr>
          <w:i/>
        </w:rPr>
        <w:t xml:space="preserve">C. difficile</w:t>
      </w:r>
      <w:r>
        <w:t xml:space="preserve"> </w:t>
      </w:r>
      <w:r>
        <w:t xml:space="preserve">adapts its metabolic strategy in distinct susceptible environments.</w:t>
      </w:r>
    </w:p>
    <w:p>
      <w:pPr>
        <w:pStyle w:val="BodyText"/>
      </w:pPr>
      <w:r>
        <w:t xml:space="preserve">Hierarchy:</w:t>
      </w:r>
      <w:r>
        <w:t xml:space="preserve"> </w:t>
      </w:r>
      <w:r>
        <w:t xml:space="preserve">proline + glycine &gt; acetylglucosamine &gt; acetylneuraminate or salicin &gt; mannitol &gt; sorbitol</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All of our</w:t>
      </w:r>
      <w:r>
        <w:t xml:space="preserve"> </w:t>
      </w:r>
      <w:r>
        <w:rPr>
          <w:i/>
        </w:rPr>
        <w:t xml:space="preserve">in vivo</w:t>
      </w:r>
      <w:r>
        <w:t xml:space="preserve">,</w:t>
      </w:r>
      <w:r>
        <w:t xml:space="preserve"> </w:t>
      </w:r>
      <w:r>
        <w:rPr>
          <w:i/>
        </w:rPr>
        <w:t xml:space="preserve">in vitro</w:t>
      </w:r>
      <w:r>
        <w:t xml:space="preserve">, and</w:t>
      </w:r>
      <w:r>
        <w:t xml:space="preserve"> </w:t>
      </w:r>
      <w:r>
        <w:rPr>
          <w:i/>
        </w:rPr>
        <w:t xml:space="preserve">in silico</w:t>
      </w:r>
      <w:r>
        <w:t xml:space="preserve"> </w:t>
      </w:r>
      <w:r>
        <w:t xml:space="preserve">data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 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t xml:space="preserve"> </w:t>
      </w:r>
      <w:r>
        <w:t xml:space="preserve">(49)</w:t>
      </w:r>
      <w:r>
        <w:t xml:space="preserve">.</w:t>
      </w:r>
    </w:p>
    <w:p>
      <w:pPr>
        <w:pStyle w:val="BodyText"/>
      </w:pPr>
      <w:r>
        <w:t xml:space="preserve">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5a).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(50)</w:t>
      </w:r>
      <w:r>
        <w:t xml:space="preserve">. This highlights that our method does not only identify growth substrates, but also reports any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(51)</w:t>
      </w:r>
      <w:r>
        <w:t xml:space="preserve">, however this does not completely eliminate the possibility for this type of error. Due to the topology of the metabolic network, we were also unable to integrate stoichiometry for each reaction which may effect rates of consumption or production. In addition to computational limitations, our network-based approach simplifies several aspects of bacterial physiology including the assumptions that all detectable transcript is translated to effector protein, that each metabolite is available, and that only the neighboring pathway is important in determining a metabolite's importance. In spite of these assumptions, the method outlined here supports known elements of</w:t>
      </w:r>
      <w:r>
        <w:t xml:space="preserve"> </w:t>
      </w:r>
      <w:r>
        <w:rPr>
          <w:i/>
        </w:rPr>
        <w:t xml:space="preserve">C. difficile</w:t>
      </w:r>
      <w:r>
        <w:t xml:space="preserve"> </w:t>
      </w:r>
      <w:r>
        <w:t xml:space="preserve">biology and our subsequent</w:t>
      </w:r>
      <w:r>
        <w:t xml:space="preserve"> </w:t>
      </w:r>
      <w:r>
        <w:rPr>
          <w:i/>
        </w:rPr>
        <w:t xml:space="preserve">in vitro</w:t>
      </w:r>
      <w:r>
        <w:t xml:space="preserve"> </w:t>
      </w:r>
      <w:r>
        <w:t xml:space="preserve">and</w:t>
      </w:r>
      <w:r>
        <w:t xml:space="preserve"> </w:t>
      </w:r>
      <w:r>
        <w:rPr>
          <w:i/>
        </w:rPr>
        <w:t xml:space="preserve">in vivo</w:t>
      </w:r>
      <w:r>
        <w:t xml:space="preserve"> </w:t>
      </w:r>
      <w:r>
        <w:t xml:space="preserve">metabolomic analysis confirmed the predictions made here.</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This may be particularly true with competitors for proline and glycine as our data also suggests that overall</w:t>
      </w:r>
      <w:r>
        <w:t xml:space="preserve"> </w:t>
      </w:r>
      <w:r>
        <w:rPr>
          <w:i/>
        </w:rPr>
        <w:t xml:space="preserve">C. difficile</w:t>
      </w:r>
      <w:r>
        <w:t xml:space="preserve"> </w:t>
      </w:r>
      <w:r>
        <w:t xml:space="preserve">colonization resistance may be driven by the availability of fermentable amino acids.</w:t>
      </w:r>
      <w:r>
        <w:t xml:space="preserve"> </w:t>
      </w:r>
      <w:r>
        <w:rPr>
          <w:i/>
        </w:rPr>
        <w:t xml:space="preserve">C. difficile</w:t>
      </w:r>
      <w:r>
        <w:t xml:space="preserve"> </w:t>
      </w:r>
      <w:r>
        <w:t xml:space="preserve">may also have evolved to utilize the host-derived aminoglycan N-acetyl-D-glucosamine in all infection conditions as it is a consistently available nutrient source across susceptible hosts. Additionally, differential importance scores for carbohydrates in agreement with metabolomic results across distinct environments, and when considered with variable sporulation and toxin production, may indicate that</w:t>
      </w:r>
      <w:r>
        <w:t xml:space="preserve"> </w:t>
      </w:r>
      <w:r>
        <w:rPr>
          <w:i/>
        </w:rPr>
        <w:t xml:space="preserve">C. difficile</w:t>
      </w:r>
      <w:r>
        <w:t xml:space="preserve"> </w:t>
      </w:r>
      <w:r>
        <w:t xml:space="preserve">pathogenesis is directed by which carbohydrates are available for use. Furthermore , competition for nutrients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In light of these findings, our metabolic network platform may also prove informative for generating hypotheses through reverse ecology that could ultimately lead to uncovering new interaction between species that ultimately impact host health</w:t>
      </w:r>
      <w:r>
        <w:t xml:space="preserve"> </w:t>
      </w:r>
      <w:r>
        <w:t xml:space="preserve">(52)</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BodyText"/>
      </w:pPr>
      <w:r>
        <w:t xml:space="preserve">add also about how models are valuable for looking at entire community, setting up next paper</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(53)</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t xml:space="preserve"> </w:t>
      </w:r>
      <w:r>
        <w:t xml:space="preserve">(54)</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t xml:space="preserve"> </w:t>
      </w:r>
      <w:r>
        <w:t xml:space="preserve">(55)</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(56)</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(57)</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(57)</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(58)</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(59)</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(60)</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(61)</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(62)</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(63)</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4a) favors metabolites that are more likely acquired from the environment (not produced within the network), and will award them a higher score (Fig. 5b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t xml:space="preserve">(64)</w:t>
      </w:r>
      <w:r>
        <w:t xml:space="preserve">. These calculations are also included within the standard bigSMALL workflow presented above and examples can be found in Fig. S6.</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(7)</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Finally, samples were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acetate concentration were determined by Wilcoxon rank-abundance test with Benjamini-Hochberg correction. Significant differences for growth curves compared to no carbohydrate control (+ amino acids) were calculated using 2-way ANOVA with Benjamini-Hochberg correction. Significance for metabolite importance scores was determined as described above. Wilcoxon rank-abundance test with Benjamini-Hochberg correction was also used to calculate significant differences is relative metabolite concentrations from mass-spectrometry data.</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Median values are shown for each group with significant differences calculated using Wilcoxon rank-sum test with the Benjamini-Hochberg correction. Dotted lines denote the limit of detection for both assays (10</w:t>
      </w:r>
      <w:r>
        <w:rPr>
          <w:vertAlign w:val="superscript"/>
        </w:rPr>
        <w:t xml:space="preserve">2</w:t>
      </w:r>
      <w:r>
        <w:t xml:space="preserve"> </w:t>
      </w:r>
      <w:r>
        <w:t xml:space="preserve">and 2.3 respectively), and undetectable points are shown just below the limit of detection for clarity.</w:t>
      </w:r>
    </w:p>
    <w:p>
      <w:pPr>
        <w:pStyle w:val="BodyText"/>
      </w:pPr>
      <w:r>
        <w:rPr>
          <w:b/>
        </w:rPr>
        <w:t xml:space="preserve">Figure 2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3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 Gene groups from are shown individually below without abundance information for ease of comparison. Genes included in each group with normalized transcript abundances can be found in Table S1, and refer to Fig. S3 for additional explanation of figure interpretation.</w:t>
      </w:r>
    </w:p>
    <w:p>
      <w:pPr>
        <w:pStyle w:val="BodyText"/>
      </w:pPr>
      <w:r>
        <w:rPr>
          <w:b/>
        </w:rPr>
        <w:t xml:space="preserve">Figure 4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r>
        <w:t xml:space="preserve"> </w:t>
      </w:r>
      <w:r>
        <w:rPr>
          <w:b/>
        </w:rPr>
        <w:t xml:space="preserve">(C)</w:t>
      </w:r>
      <w:r>
        <w:t xml:space="preserve"> </w:t>
      </w:r>
      <w:r>
        <w:t xml:space="preserve">Example Mont-Carlo simulation results for a single metabolite.Shown here are the distributions resulting from 10000-fold Monte-Carlo simulation of transcript randomization for enzymes interacting with select metabolites. These scores were derived from transcriptome of</w:t>
      </w:r>
      <w:r>
        <w:t xml:space="preserve"> </w:t>
      </w:r>
      <w:r>
        <w:rPr>
          <w:i/>
        </w:rPr>
        <w:t xml:space="preserve">C. difficile</w:t>
      </w:r>
      <w:r>
        <w:t xml:space="preserve"> </w:t>
      </w:r>
      <w:r>
        <w:t xml:space="preserve">colonizing streptomycin-treated mice. The black solid line represents the median of the distribution, the red dotted lines denote the 95% confidence interval, and the blue arrow indicates the actual measured score for each metabolite.</w:t>
      </w:r>
      <w:r>
        <w:t xml:space="preserve"> </w:t>
      </w:r>
      <w:r>
        <w:rPr>
          <w:b/>
        </w:rPr>
        <w:t xml:space="preserve">Figure 5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Benjamini-Hochberg correction.</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and importance scores derived from transcript-informed metabolic modeling.</w:t>
      </w:r>
      <w:r>
        <w:t xml:space="preserve"> </w:t>
      </w:r>
      <w:r>
        <w:t xml:space="preserve">Spearman correlations for combined metabolome and metabolic model output in each condition with least squared-residuals analysis to identify outlier metabolites. (</w:t>
      </w:r>
      <w:r>
        <w:t xml:space="preserve"> </w:t>
      </w:r>
      <w:r>
        <w:t xml:space="preserve">) Scaled intensity was calculated by dividing the log10-scaled intensity of each metabolite from GS-MS in mock-infected mice by its corresponding intensity in</w:t>
      </w:r>
      <w:r>
        <w:t xml:space="preserve"> </w:t>
      </w:r>
      <w:r>
        <w:rPr>
          <w:i/>
        </w:rPr>
        <w:t xml:space="preserve">C. difficile</w:t>
      </w:r>
      <w:r>
        <w:t xml:space="preserve">-infected mice. Larger values represent metabolites which decrease in concentration upon infection. These values are shown here relative to their calculated importance score in each condition separately using the algortihm outlined in Fig. 4B.</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&lt; 0.05). Importance scores were first paired with their matching (</w:t>
      </w:r>
      <w:r>
        <w:t xml:space="preserve"> </w:t>
      </w:r>
      <w:r>
        <w:t xml:space="preserve">) scaled intensity within each treatment group prior to combining datasets. Outliers are labelled by their KEGG metabolite family annotation and were defined as those points with a (</w:t>
      </w:r>
      <w:r>
        <w:t xml:space="preserve"> </w:t>
      </w:r>
      <w:r>
        <w:t xml:space="preserve">) scaled intensity squared residual &gt;1.5. Correlations and outliers were recalculated for each component condition as follows:</w:t>
      </w:r>
      <w:r>
        <w:t xml:space="preserve"> </w:t>
      </w:r>
      <w:r>
        <w:rPr>
          <w:b/>
        </w:rPr>
        <w:t xml:space="preserve">(B)</w:t>
      </w:r>
      <w:r>
        <w:t xml:space="preserve"> </w:t>
      </w:r>
      <w:r>
        <w:t xml:space="preserve">Streptomycin pretreatment,</w:t>
      </w:r>
      <w:r>
        <w:t xml:space="preserve"> </w:t>
      </w:r>
      <w:r>
        <w:rPr>
          <w:b/>
        </w:rPr>
        <w:t xml:space="preserve">(C)</w:t>
      </w:r>
      <w:r>
        <w:t xml:space="preserve"> </w:t>
      </w:r>
      <w:r>
        <w:t xml:space="preserve">Cefoperazone pretreatment,</w:t>
      </w:r>
      <w:r>
        <w:t xml:space="preserve"> </w:t>
      </w:r>
      <w:r>
        <w:rPr>
          <w:b/>
        </w:rPr>
        <w:t xml:space="preserve">(D)</w:t>
      </w:r>
      <w:r>
        <w:t xml:space="preserve"> </w:t>
      </w:r>
      <w:r>
        <w:t xml:space="preserve">Clindamycin pretreatment (</w:t>
      </w:r>
      <w:r>
        <w:rPr>
          <w:i/>
        </w:rPr>
        <w:t xml:space="preserve">P</w:t>
      </w:r>
      <w:r>
        <w:t xml:space="preserve"> </w:t>
      </w:r>
      <w:r>
        <w:t xml:space="preserve">&lt; 0.05),</w:t>
      </w:r>
      <w:r>
        <w:t xml:space="preserve"> </w:t>
      </w:r>
      <w:r>
        <w:rPr>
          <w:b/>
        </w:rPr>
        <w:t xml:space="preserve">(E)</w:t>
      </w:r>
      <w:r>
        <w:t xml:space="preserve"> </w:t>
      </w:r>
      <w:r>
        <w:t xml:space="preserve">and Gnotobiotic mice (</w:t>
      </w:r>
      <w:r>
        <w:rPr>
          <w:i/>
        </w:rPr>
        <w:t xml:space="preserve">P</w:t>
      </w:r>
      <w:r>
        <w:t xml:space="preserve"> </w:t>
      </w:r>
      <w:r>
        <w:t xml:space="preserve">&lt; 0.05). Unless shown as an outlier, the point for N-acetyl-D-glucosamine is shown in each panel as an open circle.</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No infected condition had &gt;3.6% of the bacterial reads sequenced annotate as</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rank-sum test (</w:t>
      </w:r>
      <w:r>
        <w:rPr>
          <w:i/>
        </w:rPr>
        <w:t xml:space="preserve">P</w:t>
      </w:r>
      <w:r>
        <w:t xml:space="preserve"> </w:t>
      </w:r>
      <w:r>
        <w:t xml:space="preserve">&lt; 0.001). All mock-infected conditions had &lt;0.042% of reads annotating as</w:t>
      </w:r>
      <w:r>
        <w:t xml:space="preserve"> </w:t>
      </w:r>
      <w:r>
        <w:rPr>
          <w:i/>
        </w:rPr>
        <w:t xml:space="preserve">C. difficile</w:t>
      </w:r>
      <w:r>
        <w:t xml:space="preserve">, which has within the acceptable margin of error for our data curation pipeline. It should also be noted that mock-infected groups were culture (Fig. 1) and PCR negative (data not shown) for</w:t>
      </w:r>
      <w:r>
        <w:t xml:space="preserve"> </w:t>
      </w:r>
      <w:r>
        <w:rPr>
          <w:i/>
        </w:rPr>
        <w:t xml:space="preserve">C. difficile</w:t>
      </w:r>
      <w:r>
        <w:t xml:space="preserve"> </w:t>
      </w:r>
      <w:r>
        <w:t xml:space="preserve">str. 630.</w:t>
      </w:r>
    </w:p>
    <w:p>
      <w:pPr>
        <w:pStyle w:val="BodyText"/>
      </w:pPr>
      <w:r>
        <w:rPr>
          <w:b/>
        </w:rPr>
        <w:t xml:space="preserve">Supplementary Figure 3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4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 algorithm.</w:t>
      </w:r>
    </w:p>
    <w:p>
      <w:pPr>
        <w:pStyle w:val="BodyText"/>
      </w:pPr>
      <w:r>
        <w:t xml:space="preserve">Significance was determined using Wilcoxon signed-rank test.</w:t>
      </w:r>
    </w:p>
    <w:p>
      <w:pPr>
        <w:pStyle w:val="BodyText"/>
      </w:pPr>
      <w:r>
        <w:rPr>
          <w:b/>
        </w:rPr>
        <w:t xml:space="preserve">Supplementary Figure 6 | Within-group sample variance for multiple levels of data with replicates.</w:t>
      </w:r>
      <w:r>
        <w:t xml:space="preserve"> </w:t>
      </w:r>
      <w:r>
        <w:rPr>
          <w:b/>
        </w:rPr>
        <w:t xml:space="preserve">(A)</w:t>
      </w:r>
      <w:r>
        <w:t xml:space="preserve"> </w:t>
      </w:r>
      <w:r>
        <w:t xml:space="preserve">16S</w:t>
      </w:r>
      <w:r>
        <w:t xml:space="preserve"> </w:t>
      </w:r>
      <w:r>
        <w:rPr>
          <w:b/>
        </w:rPr>
        <w:t xml:space="preserve">(B)</w:t>
      </w:r>
      <w:r>
        <w:t xml:space="preserve"> </w:t>
      </w:r>
      <w:r>
        <w:t xml:space="preserve">Metabolome</w:t>
      </w:r>
      <w:r>
        <w:t xml:space="preserve"> </w:t>
      </w:r>
      <w:r>
        <w:t xml:space="preserve">In both groups of calculations all median sample variances are below 1, indicating extremely low levels of variability between samples of the same type.</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Normalized untargeted metabolomics results for molecules highlighted by network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Young, V. B.</w:t>
      </w:r>
      <w:r>
        <w:t xml:space="preserve">, and</w:t>
      </w:r>
      <w:r>
        <w:t xml:space="preserve"> </w:t>
      </w:r>
      <w:r>
        <w:rPr>
          <w:b/>
        </w:rPr>
        <w:t xml:space="preserve">T. M. Schmidt</w:t>
      </w:r>
      <w:r>
        <w:t xml:space="preserve">. 2004. Antibiotic-Associated Diarrhea Accompanied by Large-Scale Alterations in the Composition of the Fecal Microbiota. Journal of Clinical Microbiology</w:t>
      </w:r>
      <w:r>
        <w:t xml:space="preserve"> </w:t>
      </w:r>
      <w:r>
        <w:rPr>
          <w:b/>
        </w:rPr>
        <w:t xml:space="preserve">42</w:t>
      </w:r>
      <w:r>
        <w:t xml:space="preserve">:1203–1206.</w:t>
      </w:r>
    </w:p>
    <w:p>
      <w:pPr>
        <w:pStyle w:val="Bibliography"/>
      </w:pPr>
      <w:r>
        <w:t xml:space="preserve">5.</w:t>
      </w:r>
      <w:r>
        <w:t xml:space="preserve"> </w:t>
      </w:r>
      <w:r>
        <w:rPr>
          <w:b/>
        </w:rPr>
        <w:t xml:space="preserve">Lawley, T. D.</w:t>
      </w:r>
      <w:r>
        <w:t xml:space="preserve">, and</w:t>
      </w:r>
      <w:r>
        <w:t xml:space="preserve"> </w:t>
      </w:r>
      <w:r>
        <w:rPr>
          <w:b/>
        </w:rPr>
        <w:t xml:space="preserve">A. W. Walker</w:t>
      </w:r>
      <w:r>
        <w:t xml:space="preserve">. 2013. Intestinal colonization resistance. Immunology</w:t>
      </w:r>
      <w:r>
        <w:t xml:space="preserve"> </w:t>
      </w:r>
      <w:r>
        <w:rPr>
          <w:b/>
        </w:rPr>
        <w:t xml:space="preserve">138</w:t>
      </w:r>
      <w:r>
        <w:t xml:space="preserve">:1–11.</w:t>
      </w:r>
    </w:p>
    <w:p>
      <w:pPr>
        <w:pStyle w:val="Bibliography"/>
      </w:pPr>
      <w:r>
        <w:t xml:space="preserve">6.</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7.</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8.</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9.</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10.</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11.</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12.</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13.</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14.</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15.</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16.</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17.</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18.</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19.</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20.</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21.</w:t>
      </w:r>
      <w:r>
        <w:t xml:space="preserve"> </w:t>
      </w:r>
      <w:r>
        <w:rPr>
          <w:b/>
        </w:rPr>
        <w:t xml:space="preserve">Bouillaut, L.</w:t>
      </w:r>
      <w:r>
        <w:t xml:space="preserve">,</w:t>
      </w:r>
      <w:r>
        <w:t xml:space="preserve"> </w:t>
      </w:r>
      <w:r>
        <w:rPr>
          <w:b/>
        </w:rPr>
        <w:t xml:space="preserve">T. Dubois</w:t>
      </w:r>
      <w:r>
        <w:t xml:space="preserve">,</w:t>
      </w:r>
      <w:r>
        <w:t xml:space="preserve"> </w:t>
      </w:r>
      <w:r>
        <w:rPr>
          <w:b/>
        </w:rPr>
        <w:t xml:space="preserve">A. L. Sonenshein</w:t>
      </w:r>
      <w:r>
        <w:t xml:space="preserve">, and</w:t>
      </w:r>
      <w:r>
        <w:t xml:space="preserve"> </w:t>
      </w:r>
      <w:r>
        <w:rPr>
          <w:b/>
        </w:rPr>
        <w:t xml:space="preserve">B. Dupuy</w:t>
      </w:r>
      <w:r>
        <w:t xml:space="preserve">. 2015. Integration of metabolism and virulence in</w:t>
      </w:r>
      <w:r>
        <w:t xml:space="preserve"> </w:t>
      </w:r>
      <w:r>
        <w:rPr>
          <w:i/>
        </w:rPr>
        <w:t xml:space="preserve">Clostridium difficile</w:t>
      </w:r>
      <w:r>
        <w:t xml:space="preserve">. Research in Microbiology</w:t>
      </w:r>
      <w:r>
        <w:t xml:space="preserve"> </w:t>
      </w:r>
      <w:r>
        <w:rPr>
          <w:b/>
        </w:rPr>
        <w:t xml:space="preserve">166</w:t>
      </w:r>
      <w:r>
        <w:t xml:space="preserve">:375–383.</w:t>
      </w:r>
    </w:p>
    <w:p>
      <w:pPr>
        <w:pStyle w:val="Bibliography"/>
      </w:pPr>
      <w:r>
        <w:t xml:space="preserve">22.</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23.</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24.</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25.</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26.</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the Sciences of the United States of America</w:t>
      </w:r>
      <w:r>
        <w:t xml:space="preserve"> </w:t>
      </w:r>
      <w:r>
        <w:rPr>
          <w:b/>
        </w:rPr>
        <w:t xml:space="preserve">102</w:t>
      </w:r>
      <w:r>
        <w:t xml:space="preserve">:2685–2689.</w:t>
      </w:r>
    </w:p>
    <w:p>
      <w:pPr>
        <w:pStyle w:val="Bibliography"/>
      </w:pPr>
      <w:r>
        <w:t xml:space="preserve">27.</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28.</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29.</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30.</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31.</w:t>
      </w:r>
      <w:r>
        <w:t xml:space="preserve"> </w:t>
      </w:r>
      <w:r>
        <w:rPr>
          <w:b/>
        </w:rPr>
        <w:t xml:space="preserve">Putnam, E. E.</w:t>
      </w:r>
      <w:r>
        <w:t xml:space="preserve">,</w:t>
      </w:r>
      <w:r>
        <w:t xml:space="preserve"> </w:t>
      </w:r>
      <w:r>
        <w:rPr>
          <w:b/>
        </w:rPr>
        <w:t xml:space="preserve">A. M. Nock</w:t>
      </w:r>
      <w:r>
        <w:t xml:space="preserve">,</w:t>
      </w:r>
      <w:r>
        <w:t xml:space="preserve"> </w:t>
      </w:r>
      <w:r>
        <w:rPr>
          <w:b/>
        </w:rPr>
        <w:t xml:space="preserve">T. D. Lawley</w:t>
      </w:r>
      <w:r>
        <w:t xml:space="preserve">, and</w:t>
      </w:r>
      <w:r>
        <w:t xml:space="preserve"> </w:t>
      </w:r>
      <w:r>
        <w:rPr>
          <w:b/>
        </w:rPr>
        <w:t xml:space="preserve">A. Shen</w:t>
      </w:r>
      <w:r>
        <w:t xml:space="preserve">. 2013. SpoIVA and sipl are</w:t>
      </w:r>
      <w:r>
        <w:t xml:space="preserve"> </w:t>
      </w:r>
      <w:r>
        <w:rPr>
          <w:i/>
        </w:rPr>
        <w:t xml:space="preserve">Clostridium difficile</w:t>
      </w:r>
      <w:r>
        <w:t xml:space="preserve"> </w:t>
      </w:r>
      <w:r>
        <w:t xml:space="preserve">spore morphogenetic proteins. Journal of Bacteriology</w:t>
      </w:r>
      <w:r>
        <w:t xml:space="preserve"> </w:t>
      </w:r>
      <w:r>
        <w:rPr>
          <w:b/>
        </w:rPr>
        <w:t xml:space="preserve">195</w:t>
      </w:r>
      <w:r>
        <w:t xml:space="preserve">:1214–1225.</w:t>
      </w:r>
    </w:p>
    <w:p>
      <w:pPr>
        <w:pStyle w:val="Bibliography"/>
      </w:pPr>
      <w:r>
        <w:t xml:space="preserve">32.</w:t>
      </w:r>
      <w:r>
        <w:t xml:space="preserve"> </w:t>
      </w:r>
      <w:r>
        <w:rPr>
          <w:b/>
        </w:rPr>
        <w:t xml:space="preserve">Underwood, S.</w:t>
      </w:r>
      <w:r>
        <w:t xml:space="preserve">,</w:t>
      </w:r>
      <w:r>
        <w:t xml:space="preserve"> </w:t>
      </w:r>
      <w:r>
        <w:rPr>
          <w:b/>
        </w:rPr>
        <w:t xml:space="preserve">S. Guan</w:t>
      </w:r>
      <w:r>
        <w:t xml:space="preserve">,</w:t>
      </w:r>
      <w:r>
        <w:t xml:space="preserve"> </w:t>
      </w:r>
      <w:r>
        <w:rPr>
          <w:b/>
        </w:rPr>
        <w:t xml:space="preserve">V. Vijayasubhash</w:t>
      </w:r>
      <w:r>
        <w:t xml:space="preserve">,</w:t>
      </w:r>
      <w:r>
        <w:t xml:space="preserve"> </w:t>
      </w:r>
      <w:r>
        <w:rPr>
          <w:b/>
        </w:rPr>
        <w:t xml:space="preserve">S. D. Baines</w:t>
      </w:r>
      <w:r>
        <w:t xml:space="preserve">,</w:t>
      </w:r>
      <w:r>
        <w:t xml:space="preserve"> </w:t>
      </w:r>
      <w:r>
        <w:rPr>
          <w:b/>
        </w:rPr>
        <w:t xml:space="preserve">L. Graham</w:t>
      </w:r>
      <w:r>
        <w:t xml:space="preserve">,</w:t>
      </w:r>
      <w:r>
        <w:t xml:space="preserve"> </w:t>
      </w:r>
      <w:r>
        <w:rPr>
          <w:b/>
        </w:rPr>
        <w:t xml:space="preserve">R. J. Lewis</w:t>
      </w:r>
      <w:r>
        <w:t xml:space="preserve">,</w:t>
      </w:r>
      <w:r>
        <w:t xml:space="preserve"> </w:t>
      </w:r>
      <w:r>
        <w:rPr>
          <w:b/>
        </w:rPr>
        <w:t xml:space="preserve">M. H. Wilcox</w:t>
      </w:r>
      <w:r>
        <w:t xml:space="preserve">, and</w:t>
      </w:r>
      <w:r>
        <w:t xml:space="preserve"> </w:t>
      </w:r>
      <w:r>
        <w:rPr>
          <w:b/>
        </w:rPr>
        <w:t xml:space="preserve">K. Stephenson</w:t>
      </w:r>
      <w:r>
        <w:t xml:space="preserve">. 2009. Characterization of the sporulation initiation pathway of</w:t>
      </w:r>
      <w:r>
        <w:t xml:space="preserve"> </w:t>
      </w:r>
      <w:r>
        <w:rPr>
          <w:i/>
        </w:rPr>
        <w:t xml:space="preserve">Clostridium difficile</w:t>
      </w:r>
      <w:r>
        <w:t xml:space="preserve"> </w:t>
      </w:r>
      <w:r>
        <w:t xml:space="preserve">and its role in toxin production. Journal of Bacteriology</w:t>
      </w:r>
      <w:r>
        <w:t xml:space="preserve"> </w:t>
      </w:r>
      <w:r>
        <w:rPr>
          <w:b/>
        </w:rPr>
        <w:t xml:space="preserve">191</w:t>
      </w:r>
      <w:r>
        <w:t xml:space="preserve">:7296–7305.</w:t>
      </w:r>
    </w:p>
    <w:p>
      <w:pPr>
        <w:pStyle w:val="Bibliography"/>
      </w:pPr>
      <w:r>
        <w:t xml:space="preserve">33.</w:t>
      </w:r>
      <w:r>
        <w:t xml:space="preserve"> </w:t>
      </w:r>
      <w:r>
        <w:rPr>
          <w:b/>
        </w:rPr>
        <w:t xml:space="preserve">Fimlaid, K. A.</w:t>
      </w:r>
      <w:r>
        <w:t xml:space="preserve">,</w:t>
      </w:r>
      <w:r>
        <w:t xml:space="preserve"> </w:t>
      </w:r>
      <w:r>
        <w:rPr>
          <w:b/>
        </w:rPr>
        <w:t xml:space="preserve">J. P. Bond</w:t>
      </w:r>
      <w:r>
        <w:t xml:space="preserve">,</w:t>
      </w:r>
      <w:r>
        <w:t xml:space="preserve"> </w:t>
      </w:r>
      <w:r>
        <w:rPr>
          <w:b/>
        </w:rPr>
        <w:t xml:space="preserve">K. C. Schutz</w:t>
      </w:r>
      <w:r>
        <w:t xml:space="preserve">,</w:t>
      </w:r>
      <w:r>
        <w:t xml:space="preserve"> </w:t>
      </w:r>
      <w:r>
        <w:rPr>
          <w:b/>
        </w:rPr>
        <w:t xml:space="preserve">E. E. Putnam</w:t>
      </w:r>
      <w:r>
        <w:t xml:space="preserve">,</w:t>
      </w:r>
      <w:r>
        <w:t xml:space="preserve"> </w:t>
      </w:r>
      <w:r>
        <w:rPr>
          <w:b/>
        </w:rPr>
        <w:t xml:space="preserve">J. M. Leung</w:t>
      </w:r>
      <w:r>
        <w:t xml:space="preserve">,</w:t>
      </w:r>
      <w:r>
        <w:t xml:space="preserve"> </w:t>
      </w:r>
      <w:r>
        <w:rPr>
          <w:b/>
        </w:rPr>
        <w:t xml:space="preserve">T. D. Lawley</w:t>
      </w:r>
      <w:r>
        <w:t xml:space="preserve">, and</w:t>
      </w:r>
      <w:r>
        <w:t xml:space="preserve"> </w:t>
      </w:r>
      <w:r>
        <w:rPr>
          <w:b/>
        </w:rPr>
        <w:t xml:space="preserve">A. Shen</w:t>
      </w:r>
      <w:r>
        <w:t xml:space="preserve">. 2013. Global Analysis of the Sporulation Pathway of</w:t>
      </w:r>
      <w:r>
        <w:t xml:space="preserve"> </w:t>
      </w:r>
      <w:r>
        <w:rPr>
          <w:i/>
        </w:rPr>
        <w:t xml:space="preserve">Clostridium difficile</w:t>
      </w:r>
      <w:r>
        <w:t xml:space="preserve">. PLoS Genetics</w:t>
      </w:r>
      <w:r>
        <w:t xml:space="preserve"> </w:t>
      </w:r>
      <w:r>
        <w:rPr>
          <w:b/>
        </w:rPr>
        <w:t xml:space="preserve">9</w:t>
      </w:r>
      <w:r>
        <w:t xml:space="preserve">.</w:t>
      </w:r>
    </w:p>
    <w:p>
      <w:pPr>
        <w:pStyle w:val="Bibliography"/>
      </w:pPr>
      <w:r>
        <w:t xml:space="preserve">34.</w:t>
      </w:r>
      <w:r>
        <w:t xml:space="preserve"> </w:t>
      </w:r>
      <w:r>
        <w:rPr>
          <w:b/>
        </w:rPr>
        <w:t xml:space="preserve">Saujet, L.</w:t>
      </w:r>
      <w:r>
        <w:t xml:space="preserve">,</w:t>
      </w:r>
      <w:r>
        <w:t xml:space="preserve"> </w:t>
      </w:r>
      <w:r>
        <w:rPr>
          <w:b/>
        </w:rPr>
        <w:t xml:space="preserve">F. C. Pereira</w:t>
      </w:r>
      <w:r>
        <w:t xml:space="preserve">,</w:t>
      </w:r>
      <w:r>
        <w:t xml:space="preserve"> </w:t>
      </w:r>
      <w:r>
        <w:rPr>
          <w:b/>
        </w:rPr>
        <w:t xml:space="preserve">A. O. Henriques</w:t>
      </w:r>
      <w:r>
        <w:t xml:space="preserve">, and</w:t>
      </w:r>
      <w:r>
        <w:t xml:space="preserve"> </w:t>
      </w:r>
      <w:r>
        <w:rPr>
          <w:b/>
        </w:rPr>
        <w:t xml:space="preserve">I. Martin-Verstraete</w:t>
      </w:r>
      <w:r>
        <w:t xml:space="preserve">. 2014. The regulatory network controlling spore formation in</w:t>
      </w:r>
      <w:r>
        <w:t xml:space="preserve"> </w:t>
      </w:r>
      <w:r>
        <w:rPr>
          <w:i/>
        </w:rPr>
        <w:t xml:space="preserve">Clostridium difficile</w:t>
      </w:r>
      <w:r>
        <w:t xml:space="preserve">. FEMS Microbiology Letters</w:t>
      </w:r>
      <w:r>
        <w:t xml:space="preserve"> </w:t>
      </w:r>
      <w:r>
        <w:rPr>
          <w:b/>
        </w:rPr>
        <w:t xml:space="preserve">358</w:t>
      </w:r>
      <w:r>
        <w:t xml:space="preserve">:1–10.</w:t>
      </w:r>
    </w:p>
    <w:p>
      <w:pPr>
        <w:pStyle w:val="Bibliography"/>
      </w:pPr>
      <w:r>
        <w:t xml:space="preserve">35.</w:t>
      </w:r>
      <w:r>
        <w:t xml:space="preserve"> </w:t>
      </w:r>
      <w:r>
        <w:rPr>
          <w:b/>
        </w:rPr>
        <w:t xml:space="preserve">Matsuno, K.</w:t>
      </w:r>
      <w:r>
        <w:t xml:space="preserve">, and</w:t>
      </w:r>
      <w:r>
        <w:t xml:space="preserve"> </w:t>
      </w:r>
      <w:r>
        <w:rPr>
          <w:b/>
        </w:rPr>
        <w:t xml:space="preserve">A. L. Sonenshein</w:t>
      </w:r>
      <w:r>
        <w:t xml:space="preserve">. 1999. Role of SpoVG in asymmetric septation in</w:t>
      </w:r>
      <w:r>
        <w:t xml:space="preserve"> </w:t>
      </w:r>
      <w:r>
        <w:rPr>
          <w:i/>
        </w:rPr>
        <w:t xml:space="preserve">Bacillus subtilis</w:t>
      </w:r>
      <w:r>
        <w:t xml:space="preserve">. Journal of Bacteriology</w:t>
      </w:r>
      <w:r>
        <w:t xml:space="preserve"> </w:t>
      </w:r>
      <w:r>
        <w:rPr>
          <w:b/>
        </w:rPr>
        <w:t xml:space="preserve">181</w:t>
      </w:r>
      <w:r>
        <w:t xml:space="preserve">:3392–3401.</w:t>
      </w:r>
    </w:p>
    <w:p>
      <w:pPr>
        <w:pStyle w:val="Bibliography"/>
      </w:pPr>
      <w:r>
        <w:t xml:space="preserve">36.</w:t>
      </w:r>
      <w:r>
        <w:t xml:space="preserve"> </w:t>
      </w:r>
      <w:r>
        <w:rPr>
          <w:b/>
        </w:rPr>
        <w:t xml:space="preserve">Donnelly, M. L.</w:t>
      </w:r>
      <w:r>
        <w:t xml:space="preserve">,</w:t>
      </w:r>
      <w:r>
        <w:t xml:space="preserve"> </w:t>
      </w:r>
      <w:r>
        <w:rPr>
          <w:b/>
        </w:rPr>
        <w:t xml:space="preserve">K. A. Fimlaid</w:t>
      </w:r>
      <w:r>
        <w:t xml:space="preserve">, and</w:t>
      </w:r>
      <w:r>
        <w:t xml:space="preserve"> </w:t>
      </w:r>
      <w:r>
        <w:rPr>
          <w:b/>
        </w:rPr>
        <w:t xml:space="preserve">A. Shen</w:t>
      </w:r>
      <w:r>
        <w:t xml:space="preserve">. 2016. Characterization of</w:t>
      </w:r>
      <w:r>
        <w:t xml:space="preserve"> </w:t>
      </w:r>
      <w:r>
        <w:rPr>
          <w:i/>
        </w:rPr>
        <w:t xml:space="preserve">Clostridium difficile</w:t>
      </w:r>
      <w:r>
        <w:t xml:space="preserve"> </w:t>
      </w:r>
      <w:r>
        <w:t xml:space="preserve">spores lacking either SpoVAC or DPA Synthetase. Journal of Bacteriology JB.00986–15.</w:t>
      </w:r>
    </w:p>
    <w:p>
      <w:pPr>
        <w:pStyle w:val="Bibliography"/>
      </w:pPr>
      <w:r>
        <w:t xml:space="preserve">37.</w:t>
      </w:r>
      <w:r>
        <w:t xml:space="preserve"> </w:t>
      </w:r>
      <w:r>
        <w:rPr>
          <w:b/>
        </w:rPr>
        <w:t xml:space="preserve">Dineen, S. S.</w:t>
      </w:r>
      <w:r>
        <w:t xml:space="preserve">,</w:t>
      </w:r>
      <w:r>
        <w:t xml:space="preserve"> </w:t>
      </w:r>
      <w:r>
        <w:rPr>
          <w:b/>
        </w:rPr>
        <w:t xml:space="preserve">A. C. Villapakkam</w:t>
      </w:r>
      <w:r>
        <w:t xml:space="preserve">,</w:t>
      </w:r>
      <w:r>
        <w:t xml:space="preserve"> </w:t>
      </w:r>
      <w:r>
        <w:rPr>
          <w:b/>
        </w:rPr>
        <w:t xml:space="preserve">J. T. Nordman</w:t>
      </w:r>
      <w:r>
        <w:t xml:space="preserve">, and</w:t>
      </w:r>
      <w:r>
        <w:t xml:space="preserve"> </w:t>
      </w:r>
      <w:r>
        <w:rPr>
          <w:b/>
        </w:rPr>
        <w:t xml:space="preserve">A. L. Sonenshein</w:t>
      </w:r>
      <w:r>
        <w:t xml:space="preserve">. 2007. Repression of</w:t>
      </w:r>
      <w:r>
        <w:t xml:space="preserve"> </w:t>
      </w:r>
      <w:r>
        <w:rPr>
          <w:i/>
        </w:rPr>
        <w:t xml:space="preserve">Clostridium difficile</w:t>
      </w:r>
      <w:r>
        <w:t xml:space="preserve"> </w:t>
      </w:r>
      <w:r>
        <w:t xml:space="preserve">toxin gene expression by CodY. Molecular Microbiology</w:t>
      </w:r>
      <w:r>
        <w:t xml:space="preserve"> </w:t>
      </w:r>
      <w:r>
        <w:rPr>
          <w:b/>
        </w:rPr>
        <w:t xml:space="preserve">66</w:t>
      </w:r>
      <w:r>
        <w:t xml:space="preserve">:206–219.</w:t>
      </w:r>
    </w:p>
    <w:p>
      <w:pPr>
        <w:pStyle w:val="Bibliography"/>
      </w:pPr>
      <w:r>
        <w:t xml:space="preserve">38.</w:t>
      </w:r>
      <w:r>
        <w:t xml:space="preserve"> </w:t>
      </w:r>
      <w:r>
        <w:rPr>
          <w:b/>
        </w:rPr>
        <w:t xml:space="preserve">Martin-Verstraete, I.</w:t>
      </w:r>
      <w:r>
        <w:t xml:space="preserve">,</w:t>
      </w:r>
      <w:r>
        <w:t xml:space="preserve"> </w:t>
      </w:r>
      <w:r>
        <w:rPr>
          <w:b/>
        </w:rPr>
        <w:t xml:space="preserve">J. Peltier</w:t>
      </w:r>
      <w:r>
        <w:t xml:space="preserve">, and</w:t>
      </w:r>
      <w:r>
        <w:t xml:space="preserve"> </w:t>
      </w:r>
      <w:r>
        <w:rPr>
          <w:b/>
        </w:rPr>
        <w:t xml:space="preserve">B. Dupuy</w:t>
      </w:r>
      <w:r>
        <w:t xml:space="preserve">. 2016. The regulatory networks that control</w:t>
      </w:r>
      <w:r>
        <w:t xml:space="preserve"> </w:t>
      </w:r>
      <w:r>
        <w:rPr>
          <w:i/>
        </w:rPr>
        <w:t xml:space="preserve">Clostridium difficile</w:t>
      </w:r>
      <w:r>
        <w:t xml:space="preserve"> </w:t>
      </w:r>
      <w:r>
        <w:t xml:space="preserve">toxin synthesis. U.S. Patent 5.</w:t>
      </w:r>
    </w:p>
    <w:p>
      <w:pPr>
        <w:pStyle w:val="Bibliography"/>
      </w:pPr>
      <w:r>
        <w:t xml:space="preserve">39.</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40.</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41.</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42.</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43.</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44.</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45.</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46.</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47.</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48.</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49.</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50.</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51.</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52.</w:t>
      </w:r>
      <w:r>
        <w:t xml:space="preserve"> </w:t>
      </w:r>
      <w:r>
        <w:rPr>
          <w:b/>
        </w:rPr>
        <w:t xml:space="preserve">Levy, R.</w:t>
      </w:r>
      <w:r>
        <w:t xml:space="preserve">, and</w:t>
      </w:r>
      <w:r>
        <w:t xml:space="preserve"> </w:t>
      </w:r>
      <w:r>
        <w:rPr>
          <w:b/>
        </w:rPr>
        <w:t xml:space="preserve">E. Borenstein</w:t>
      </w:r>
      <w:r>
        <w:t xml:space="preserve">. 2012. Reverse Ecology: from systems to environments and back. Advances in experimental medicine and biology</w:t>
      </w:r>
      <w:r>
        <w:t xml:space="preserve"> </w:t>
      </w:r>
      <w:r>
        <w:rPr>
          <w:b/>
        </w:rPr>
        <w:t xml:space="preserve">751</w:t>
      </w:r>
      <w:r>
        <w:t xml:space="preserve">:329–345.</w:t>
      </w:r>
    </w:p>
    <w:p>
      <w:pPr>
        <w:pStyle w:val="Bibliography"/>
      </w:pPr>
      <w:r>
        <w:t xml:space="preserve">53.</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54.</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55.</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56.</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57.</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58.</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59.</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60.</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61.</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62.</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63.</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64.</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fbb8c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2017-03-06T20:27:20Z</dcterms:created>
  <dcterms:modified xsi:type="dcterms:W3CDTF">2017-03-06T20:27:20Z</dcterms:modified>
</cp:coreProperties>
</file>