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of</w:t>
      </w:r>
      <w:r>
        <w:t xml:space="preserve"> </w:t>
      </w:r>
      <w:r>
        <w:rPr>
          <w:i/>
        </w:rPr>
        <w:t xml:space="preserve">C. difficile</w:t>
      </w:r>
      <w:r>
        <w:t xml:space="preserve"> </w:t>
      </w:r>
      <w:r>
        <w:t xml:space="preserve">colonization susceptibility. This has been described for multiple antibiotic classes, which many result in distinct gut communities and each present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 availability within the gut. Utilizing an</w:t>
      </w:r>
      <w:r>
        <w:t xml:space="preserve"> </w:t>
      </w:r>
      <w:r>
        <w:rPr>
          <w:i/>
        </w:rPr>
        <w:t xml:space="preserve">in vivo</w:t>
      </w:r>
      <w:r>
        <w:t xml:space="preserve"> </w:t>
      </w:r>
      <w:r>
        <w:t xml:space="preserve">model of CDI with three separate antibiotic pretretments, we demonstrated</w:t>
      </w:r>
      <w:r>
        <w:t xml:space="preserve"> </w:t>
      </w:r>
      <w:r>
        <w:rPr>
          <w:i/>
        </w:rPr>
        <w:t xml:space="preserve">C. difficile</w:t>
      </w:r>
      <w:r>
        <w:t xml:space="preserve"> </w:t>
      </w:r>
      <w:r>
        <w:t xml:space="preserve">highly colonized the cecum of mice in each group. Levels of spore and toxin production varied between treatments, both processes having been linked nutrient concentrations. To more closely investigate specific responses of</w:t>
      </w:r>
      <w:r>
        <w:t xml:space="preserve"> </w:t>
      </w:r>
      <w:r>
        <w:rPr>
          <w:i/>
        </w:rPr>
        <w:t xml:space="preserve">C. difficile</w:t>
      </w:r>
      <w:r>
        <w:t xml:space="preserve"> </w:t>
      </w:r>
      <w:r>
        <w:t xml:space="preserve">during infection, we performed targeted transcriptional analysis from cecal content of infected mice. This revealed variation in expression of life-cycle switches and catabolic pathways for various carbon sources. In order to assess which substrates</w:t>
      </w:r>
      <w:r>
        <w:t xml:space="preserve"> </w:t>
      </w:r>
      <w:r>
        <w:rPr>
          <w:i/>
        </w:rPr>
        <w:t xml:space="preserve">C. difficile</w:t>
      </w:r>
      <w:r>
        <w:t xml:space="preserve"> </w:t>
      </w:r>
      <w:r>
        <w:t xml:space="preserve">was exploiting, we further characterized the systems using transcriptomic-enabled genome-scale metabolic modeling and untargeted metabolomic analysis. Through development of a novel metabolite scoring algorithm, leveraging the metabolic model architecture, we were able to infer that a given metabolite was acquired from the environment. Our results support the hypothesis that</w:t>
      </w:r>
      <w:r>
        <w:t xml:space="preserve"> </w:t>
      </w:r>
      <w:r>
        <w:rPr>
          <w:i/>
        </w:rPr>
        <w:t xml:space="preserve">C. difficile</w:t>
      </w:r>
      <w:r>
        <w:t xml:space="preserve"> </w:t>
      </w:r>
      <w:r>
        <w:t xml:space="preserve">occupies alternative nutrient niches by metabolizing separate carbohydrate sources in each infection and these distinctions track with disparity in pathogenicity. Additionally, these data highlight conserved elements of</w:t>
      </w:r>
      <w:r>
        <w:t xml:space="preserve"> </w:t>
      </w:r>
      <w:r>
        <w:rPr>
          <w:i/>
        </w:rPr>
        <w:t xml:space="preserve">C. difficile</w:t>
      </w:r>
      <w:r>
        <w:t xml:space="preserve">'s metabolic strategy, including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descibed here could provide a useful platform to enable more rapid discoveries for the nutrient requirements of bacteria to be made in the future.</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BodyText"/>
      </w:pPr>
      <w:r>
        <w:t xml:space="preserve">Need to add something about why this matters at all</w:t>
      </w:r>
    </w:p>
    <w:p>
      <w:pPr>
        <w:pStyle w:val="BodyText"/>
      </w:pPr>
      <w:r>
        <w:t xml:space="preserve">add also about how models are valuable for looking at entire community, setting up next paper</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&lt;0.001% of the bacterial load in the ceca of antibiotic-treated SPF mice (Fig. S2C), and rRNA depletion eliminating &gt;90% of each raw RNA isolation</w:t>
      </w:r>
      <w:r>
        <w:t xml:space="preserve"> </w:t>
      </w:r>
      <w:r>
        <w:t xml:space="preserve">(29)</w:t>
      </w:r>
      <w:r>
        <w:t xml:space="preserve">, it was necessary to pool samples within each treatment group. Furthermore, this also required a high degree of sequencing depth per sample in order to yeild sufficient numbers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used, while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is not feasible in the context of a diverse bacterial community. Because of these factors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w:t>
      </w:r>
    </w:p>
    <w:p>
      <w:pPr>
        <w:pStyle w:val="BodyText"/>
      </w:pPr>
      <w:r>
        <w:t xml:space="preserve">Need to generate supplemental figure to calculate c diff load per ceca by 16S abundance</w:t>
      </w:r>
      <w:r>
        <w:t xml:space="preserve"> </w:t>
      </w:r>
      <w:r>
        <w:t xml:space="preserve">4.48% 62.93% 16.67% 14.9% 0f genes with no reads in each sample</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re-add quorum sensing and map to remaining agr genes</w:t>
      </w:r>
    </w:p>
    <w:p>
      <w:pPr>
        <w:pStyle w:val="BodyText"/>
      </w:pPr>
      <w:r>
        <w:t xml:space="preserve">Moving upstream to...</w:t>
      </w:r>
      <w:r>
        <w:t xml:space="preserve"> </w:t>
      </w: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(20, 21, 33, 36)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4a).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Why these are the most relevant here...</w:t>
      </w:r>
    </w:p>
    <w:p>
      <w:pPr>
        <w:pStyle w:val="BodyText"/>
      </w:pPr>
      <w:r>
        <w:t xml:space="preserve">In biological terms, BC reflects the amount of influence a given hub has on the overall flow of metabolism through the network</w:t>
      </w:r>
      <w:r>
        <w:t xml:space="preserve"> </w:t>
      </w:r>
      <w:r>
        <w:t xml:space="preserve">(39)</w:t>
      </w:r>
      <w:r>
        <w:t xml:space="preserve">. For both enzymes and substrates, the 18 of top 20 nodes with the highest BC values were involved in glycolysis, fermentation, and amino acid synthesis.</w:t>
      </w:r>
    </w:p>
    <w:p>
      <w:pPr>
        <w:pStyle w:val="BodyText"/>
      </w:pPr>
      <w:r>
        <w:t xml:space="preserve">Analagous to BC, OCCI indicates those enzymes and substrates that are the most central components of the organism’s metabolism</w:t>
      </w:r>
      <w:r>
        <w:t xml:space="preserve"> </w:t>
      </w:r>
      <w:r>
        <w:t xml:space="preserve">(40)</w:t>
      </w:r>
      <w:r>
        <w:t xml:space="preserve">. In agreement with BC calculations, almost all nodes with the largest OCCI values were involved in glycolysis and amino acid synthesis.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4b).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w:t>
      </w:r>
    </w:p>
    <w:p>
      <w:pPr>
        <w:pStyle w:val="BodyText"/>
      </w:pPr>
      <w:r>
        <w:t xml:space="preserve">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5a).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5b).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5a).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N-acetylneuraminate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 We compared cecal content from mock</w:t>
      </w:r>
      <w:r>
        <w:t xml:space="preserve"> </w:t>
      </w:r>
      <w:r>
        <w:rPr>
          <w:i/>
        </w:rPr>
        <w:t xml:space="preserve">C. difficile</w:t>
      </w:r>
      <w:r>
        <w:t xml:space="preserve">-infected susceptible and resistant mice at the same 18 hour time point as the previous analyses. Initially N-acetylglucosamine + N-acetylgalactosamine (Fig. 6a) and salicylate (Fig. 6b) were found to be significantly decreased in all susceptible treatment groups compared to resistant controls (</w:t>
      </w:r>
      <w:r>
        <w:rPr>
          <w:i/>
        </w:rPr>
        <w:t xml:space="preserve">P</w:t>
      </w:r>
      <w:r>
        <w:t xml:space="preserve"> </w:t>
      </w:r>
      <w:r>
        <w:t xml:space="preserve">&lt; 0.05). Additionally, we found that galactitol (Fig. 6c), mannitol + sorbitol (Fig. 6d), and N-acetylneuraminate (Fig. 6e) were significantly increased in both cefoperazone-treated SPF and GF mice (</w:t>
      </w:r>
      <w:r>
        <w:rPr>
          <w:i/>
        </w:rPr>
        <w:t xml:space="preserve">P</w:t>
      </w:r>
      <w:r>
        <w:t xml:space="preserve"> </w:t>
      </w:r>
      <w:r>
        <w:t xml:space="preserve">&lt; 0.05). Finally, these assays also revealed that proline (Fig. 6f)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6g)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(47)</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(48)</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(49)</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(50)</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(51)</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(52)</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(53)</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(54)</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(58)</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(62)</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 Wilcoxon rank-abundance test with Holm-Bonferroni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p>
    <w:p>
      <w:pPr>
        <w:pStyle w:val="BodyText"/>
      </w:pP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Figure 6 | Relative</w:t>
      </w:r>
      <w:r>
        <w:rPr>
          <w:b/>
        </w:rPr>
        <w:t xml:space="preserve"> </w:t>
      </w:r>
      <w:r>
        <w:rPr>
          <w:i/>
          <w:b/>
        </w:rPr>
        <w:t xml:space="preserve">in vivo</w:t>
      </w:r>
      <w:r>
        <w:rPr>
          <w:b/>
        </w:rPr>
        <w:t xml:space="preserve"> </w:t>
      </w:r>
      <w:r>
        <w:rPr>
          <w:b/>
        </w:rPr>
        <w:t xml:space="preserve">concentrations of metabolites highlighted through network-based analysis</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indlude:</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Galactitol.</w:t>
      </w:r>
      <w:r>
        <w:t xml:space="preserve"> </w:t>
      </w:r>
      <w:r>
        <w:rPr>
          <w:b/>
        </w:rPr>
        <w:t xml:space="preserve">(C)</w:t>
      </w:r>
      <w:r>
        <w:t xml:space="preserve"> </w:t>
      </w:r>
      <w:r>
        <w:t xml:space="preserve">Mannitol + Sorbitol (These metabolites are quantified simultaneously as they only differ by chirality),</w:t>
      </w:r>
      <w:r>
        <w:t xml:space="preserve"> </w:t>
      </w:r>
      <w:r>
        <w:rPr>
          <w:b/>
        </w:rPr>
        <w:t xml:space="preserve">(D)</w:t>
      </w:r>
      <w:r>
        <w:t xml:space="preserve"> </w:t>
      </w:r>
      <w:r>
        <w:t xml:space="preserve">Salicylate, and</w:t>
      </w:r>
      <w:r>
        <w:t xml:space="preserve"> </w:t>
      </w:r>
      <w:r>
        <w:rPr>
          <w:b/>
        </w:rPr>
        <w:t xml:space="preserve">(E)</w:t>
      </w:r>
      <w:r>
        <w:t xml:space="preserve"> </w:t>
      </w:r>
      <w:r>
        <w:t xml:space="preserve">N−acetylneuraminate.</w:t>
      </w:r>
      <w:r>
        <w:t xml:space="preserve"> </w:t>
      </w:r>
      <w:r>
        <w:rPr>
          <w:b/>
        </w:rPr>
        <w:t xml:space="preserve">(F)</w:t>
      </w:r>
      <w:r>
        <w:t xml:space="preserve"> </w:t>
      </w:r>
      <w:r>
        <w:t xml:space="preserve">Proline and</w:t>
      </w:r>
      <w:r>
        <w:t xml:space="preserve"> </w:t>
      </w:r>
      <w:r>
        <w:rPr>
          <w:b/>
        </w:rPr>
        <w:t xml:space="preserve">(G)</w:t>
      </w:r>
      <w:r>
        <w:t xml:space="preserve"> </w:t>
      </w:r>
      <w:r>
        <w:t xml:space="preserve">Glycine were also quantified. Paired metabolites were quantified simultaneously as the only differ by chirality making differentiation impossible.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Holm-Bonferroni correction.</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6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37.</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38.</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39.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41.</w:t>
      </w:r>
      <w:r>
        <w:t xml:space="preserve"> </w:t>
      </w:r>
      <w:r>
        <w:rPr>
          <w:b/>
        </w:rPr>
        <w:t xml:space="preserve">McGill, R.</w:t>
      </w:r>
      <w:r>
        <w:t xml:space="preserve">,</w:t>
      </w:r>
      <w:r>
        <w:t xml:space="preserve"> </w:t>
      </w:r>
      <w:r>
        <w:rPr>
          <w:b/>
        </w:rPr>
        <w:t xml:space="preserve">J. W. Tukey</w:t>
      </w:r>
      <w:r>
        <w:t xml:space="preserve">, and</w:t>
      </w:r>
      <w:r>
        <w:t xml:space="preserve"> </w:t>
      </w:r>
      <w:r>
        <w:rPr>
          <w:b/>
        </w:rPr>
        <w:t xml:space="preserve">W. a. Larsen</w:t>
      </w:r>
      <w:r>
        <w:t xml:space="preserve">. 1978. Variations of Box Plots. The American Statistician</w:t>
      </w:r>
      <w:r>
        <w:t xml:space="preserve"> </w:t>
      </w:r>
      <w:r>
        <w:rPr>
          <w:b/>
        </w:rPr>
        <w:t xml:space="preserve">32</w:t>
      </w:r>
      <w:r>
        <w:t xml:space="preserve">:12–16.</w:t>
      </w:r>
    </w:p>
    <w:p>
      <w:pPr>
        <w:pStyle w:val="Bibliography"/>
      </w:pPr>
      <w:r>
        <w:t xml:space="preserve">42.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43.</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45.</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47.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48.</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49.</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50.</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51.</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55.</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bacd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dcterms:created xsi:type="dcterms:W3CDTF">2017-02-18T17:53:24Z</dcterms:created>
  <dcterms:modified xsi:type="dcterms:W3CDTF">2017-02-18T17:53:24Z</dcterms:modified>
</cp:coreProperties>
</file>