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300 million total raw paired-end reads were collected per pooled sample with an average of ~167 thousand reads attributed to</w:t>
      </w:r>
      <w:r>
        <w:t xml:space="preserve"> </w:t>
      </w:r>
      <w:r>
        <w:rPr>
          <w:i/>
        </w:rPr>
        <w:t xml:space="preserve">C. difficile</w:t>
      </w:r>
      <w:r>
        <w:t xml:space="preserve"> </w:t>
      </w:r>
      <w:r>
        <w:t xml:space="preserve">following all curation steps (refer to Methods).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(20)</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supported the hypothesis that</w:t>
      </w:r>
      <w:r>
        <w:t xml:space="preserve"> </w:t>
      </w:r>
      <w:r>
        <w:rPr>
          <w:i/>
        </w:rPr>
        <w:t xml:space="preserve">C. difficile</w:t>
      </w:r>
      <w:r>
        <w:t xml:space="preserve"> </w:t>
      </w:r>
      <w:r>
        <w:t xml:space="preserve">may exploit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936c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2017-03-16T23:24:27Z</dcterms:created>
  <dcterms:modified xsi:type="dcterms:W3CDTF">2017-03-16T23:24:27Z</dcterms:modified>
</cp:coreProperties>
</file>