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having been shown to be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These data also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As expected,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preferred specific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maintains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(26)</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(20, 27)</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(28)</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 the hypothesis that</w:t>
      </w:r>
      <w:r>
        <w:t xml:space="preserve"> </w:t>
      </w:r>
      <w:r>
        <w:rPr>
          <w:i/>
        </w:rPr>
        <w:t xml:space="preserve">C. difficile</w:t>
      </w:r>
      <w:r>
        <w:t xml:space="preserve"> </w:t>
      </w:r>
      <w:r>
        <w:t xml:space="preserve">adapts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(29)</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(30)</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(31)</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that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(32)</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(33)</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(34–36)</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(6, 12, 37)</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(38)</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(37)</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supported the hypothesis that</w:t>
      </w:r>
      <w:r>
        <w:t xml:space="preserve"> </w:t>
      </w:r>
      <w:r>
        <w:rPr>
          <w:i/>
        </w:rPr>
        <w:t xml:space="preserve">C. difficile</w:t>
      </w:r>
      <w:r>
        <w:t xml:space="preserve"> </w:t>
      </w:r>
      <w:r>
        <w:t xml:space="preserve">may exploit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(39)</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but only achieved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(40)</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but only significant in cefoperazone-pretreatment (</w:t>
      </w:r>
      <w:r>
        <w:rPr>
          <w:i/>
        </w:rPr>
        <w:t xml:space="preserve">P</w:t>
      </w:r>
      <w:r>
        <w:t xml:space="preserve"> </w:t>
      </w:r>
      <w:r>
        <w:t xml:space="preserve">= 0.217). These results most strongly support the hypothesis that amino acids are a primary energy source of</w:t>
      </w:r>
      <w:r>
        <w:t xml:space="preserve"> </w:t>
      </w:r>
      <w:r>
        <w:rPr>
          <w:i/>
        </w:rPr>
        <w:t xml:space="preserve">C. difficile</w:t>
      </w:r>
      <w:r>
        <w:t xml:space="preserve"> </w:t>
      </w:r>
      <w:r>
        <w:t xml:space="preserve">during all infections.</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(39)</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(40)</w:t>
      </w:r>
      <w:r>
        <w:t xml:space="preserve">, it may also have the ability to catabolize these purines to participate downstream in Stickland reactions</w:t>
      </w:r>
      <w:r>
        <w:t xml:space="preserve"> </w:t>
      </w:r>
      <w:r>
        <w:t xml:space="preserve">(41)</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(36)</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(42)</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(43)</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(44)</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(45)</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(54)</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rank-sum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rPr>
          <w:b/>
        </w:rPr>
        <w:t xml:space="preserve">(A)</w:t>
      </w:r>
      <w:r>
        <w:t xml:space="preserve"> </w:t>
      </w:r>
      <w:r>
        <w:t xml:space="preserve">Median shared metabolites among the 50 highest scoring metabolites from each condition (</w:t>
      </w:r>
      <w:r>
        <w:rPr>
          <w:i/>
        </w:rPr>
        <w:t xml:space="preserve">P</w:t>
      </w:r>
      <w:r>
        <w:t xml:space="preserve"> </w:t>
      </w:r>
      <w:r>
        <w:t xml:space="preserve">&lt; 0.05).</w:t>
      </w:r>
      <w:r>
        <w:t xml:space="preserve"> </w:t>
      </w:r>
      <w:r>
        <w:rPr>
          <w:b/>
        </w:rPr>
        <w:t xml:space="preserve">(B)</w:t>
      </w:r>
      <w:r>
        <w:t xml:space="preserve"> </w:t>
      </w:r>
      <w:r>
        <w:t xml:space="preserve">Distinctly important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and further support our approach to pooled transcriptomic sequencing.</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rank-abundance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27.</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28.</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38.</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40.</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41.</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44.</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4676e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2017-03-17T13:49:47Z</dcterms:created>
  <dcterms:modified xsi:type="dcterms:W3CDTF">2017-03-17T13:49:47Z</dcterms:modified>
</cp:coreProperties>
</file>