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 and trehalose/maltose/cellibiose hydrolases), Fermentation product metabolism (e.g. acetate, butyrate, and succinate),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(24)</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(25)</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(26)</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utilized by</w:t>
      </w:r>
      <w:r>
        <w:t xml:space="preserve"> </w:t>
      </w:r>
      <w:r>
        <w:rPr>
          <w:i/>
        </w:rPr>
        <w:t xml:space="preserve">C. difficile</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(27)</w:t>
      </w:r>
      <w:r>
        <w:t xml:space="preserve">. The Stickland fermentation substrate proline was also found to be important in all conditions tested</w:t>
      </w:r>
      <w:r>
        <w:t xml:space="preserve"> </w:t>
      </w:r>
      <w:r>
        <w:t xml:space="preserve">(28)</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(6, 12, 29)</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(30)</w:t>
      </w:r>
      <w:r>
        <w:t xml:space="preserve">. The concentration of N-acetylneuraminate was previously shown to be liberated by other bacterial species to the benefit of</w:t>
      </w:r>
      <w:r>
        <w:t xml:space="preserve"> </w:t>
      </w:r>
      <w:r>
        <w:rPr>
          <w:i/>
        </w:rPr>
        <w:t xml:space="preserve">C. difficile</w:t>
      </w:r>
      <w:r>
        <w:t xml:space="preserve"> </w:t>
      </w:r>
      <w:r>
        <w:t xml:space="preserve">(29)</w:t>
      </w:r>
      <w:r>
        <w:t xml:space="preserve">. Considering that N-acetylneuraminate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where no other competitors are present, our model indicated that</w:t>
      </w:r>
      <w:r>
        <w:t xml:space="preserve"> </w:t>
      </w:r>
      <w:r>
        <w:rPr>
          <w:i/>
        </w:rPr>
        <w:t xml:space="preserve">C. difficile</w:t>
      </w:r>
      <w:r>
        <w:t xml:space="preserve"> </w:t>
      </w:r>
      <w:r>
        <w:t xml:space="preserve">was more likely to acquire numerous amino acids from the environment (Table S3), presumably, instead of going through synthesizing them. We noted that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substrates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difference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N-acetylglucosamine/N−acetylgalactosamine (Fig. 5A) and N-acetylneuraminate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proline (Fig. 5B) and trans-4-hydroxyproline (Fig. S6B)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was lower in each condition following infection (Fig. S6A), with significant change in cefoperazone-pretreatment (</w:t>
      </w:r>
      <w:r>
        <w:rPr>
          <w:i/>
        </w:rPr>
        <w:t xml:space="preserve">P</w:t>
      </w:r>
      <w:r>
        <w:t xml:space="preserve"> </w:t>
      </w:r>
      <w:r>
        <w:t xml:space="preserve">&lt; 0.05). These results strongly supported the hypothesis that amino acids are a primary energy source of</w:t>
      </w:r>
      <w:r>
        <w:t xml:space="preserve"> </w:t>
      </w:r>
      <w:r>
        <w:rPr>
          <w:i/>
        </w:rPr>
        <w:t xml:space="preserve">C. difficile</w:t>
      </w:r>
      <w:r>
        <w:t xml:space="preserve"> </w:t>
      </w:r>
      <w:r>
        <w:t xml:space="preserve">during infection. A significant relationship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trend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Together,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Benzonitrile</w:t>
      </w:r>
    </w:p>
    <w:p>
      <w:pPr>
        <w:pStyle w:val="BodyText"/>
      </w:pPr>
      <w:r>
        <w:t xml:space="preserve">c diff isnt the only bacterium contributing to changes in the resource pool in antibiotic-prereated conditions</w:t>
      </w:r>
    </w:p>
    <w:p>
      <w:pPr>
        <w:pStyle w:val="BodyText"/>
      </w:pPr>
      <w:r>
        <w:t xml:space="preserve">Outline:</w:t>
      </w:r>
      <w:r>
        <w:t xml:space="preserve"> </w:t>
      </w:r>
      <w:r>
        <w:t xml:space="preserve">Paragraph 1. Summarize results. How do the results support our hypothesis?</w:t>
      </w:r>
    </w:p>
    <w:p>
      <w:pPr>
        <w:pStyle w:val="BodyText"/>
      </w:pPr>
      <w:r>
        <w:t xml:space="preserve">Paragraph 2. How do our results build upon/support/conflict with previous C.diff studies?</w:t>
      </w:r>
    </w:p>
    <w:p>
      <w:pPr>
        <w:pStyle w:val="BodyText"/>
      </w:pPr>
      <w:r>
        <w:t xml:space="preserve">Paragraph 3. Novelty and importance of metabolic modeling that incorporates transcriptomics and was supported by metabolomics.</w:t>
      </w:r>
    </w:p>
    <w:p>
      <w:pPr>
        <w:pStyle w:val="BodyText"/>
      </w:pPr>
      <w:r>
        <w:t xml:space="preserve">Paragraph 4. Limitation of our results. Pooling of mice to have sufficient high quality RNA for library construction. Meh because we have 16S, metabolomics, and they agree with each other. Could also point out low level of variation between replicates.</w:t>
      </w:r>
    </w:p>
    <w:p>
      <w:pPr>
        <w:pStyle w:val="BodyText"/>
      </w:pPr>
      <w:r>
        <w:t xml:space="preserve">Paragraph 5. Conclude with teaser for full community metabolic model and metabolome</w:t>
      </w:r>
    </w:p>
    <w:p>
      <w:pPr>
        <w:pStyle w:val="BodyText"/>
      </w:pPr>
      <w:r>
        <w:t xml:space="preserve">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supported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the susceptible communities. Increased substrate availability was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(31)</w:t>
      </w:r>
      <w:r>
        <w:t xml:space="preserve">. This same principle could extend to host-derived aminoglycans from the mucus layer. Concentrations of N-acetylglucosamine were consistently decreased when groups of bacteria with the capacity to cleave it from mucus were either diminished or absent entirely</w:t>
      </w:r>
      <w:r>
        <w:t xml:space="preserve"> </w:t>
      </w:r>
      <w:r>
        <w:t xml:space="preserve">(32)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and allowed for some degree of conservation of replicates for downstream analysis. Since these circumstances were unavoidable,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approximately 160 thousand reads attributed to</w:t>
      </w:r>
      <w:r>
        <w:t xml:space="preserve"> </w:t>
      </w:r>
      <w:r>
        <w:rPr>
          <w:i/>
        </w:rPr>
        <w:t xml:space="preserve">C. difficile</w:t>
      </w:r>
      <w:r>
        <w:t xml:space="preserve"> </w:t>
      </w:r>
      <w:r>
        <w:t xml:space="preserve">following all curation steps (refer to Methods). This corresponded to an average of approximately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(19, 33)</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(34)</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[Clipped from Results]To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(35)</w:t>
      </w:r>
      <w:r>
        <w:t xml:space="preserve">. We were therefore confident in utilizing normalized transcript abundance as a proxy for enzyme levels.</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(36)</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S6B), it stands to reason that</w:t>
      </w:r>
      <w:r>
        <w:t xml:space="preserve"> </w:t>
      </w:r>
      <w:r>
        <w:rPr>
          <w:i/>
        </w:rPr>
        <w:t xml:space="preserve">C. difficile</w:t>
      </w:r>
      <w:r>
        <w:t xml:space="preserve"> </w:t>
      </w:r>
      <w:r>
        <w:t xml:space="preserve">is utilizing both during the infection conditions tested. As glycine (Fig. S6A)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(37)</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t xml:space="preserve">**</w:t>
      </w:r>
      <w:r>
        <w:t xml:space="preserve"> </w:t>
      </w:r>
      <w:r>
        <w:rPr>
          <w:i/>
        </w:rPr>
        <w:t xml:space="preserve">C. difficile</w:t>
      </w:r>
      <w:r>
        <w:t xml:space="preserve"> </w:t>
      </w:r>
      <w:r>
        <w:t xml:space="preserve">infection and necropsy.** 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consistenly important among all infected conditions. Below the conserved patterns, distintly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Gray asterisks along the top margin of each panel indicate significant difference from untreated SPF mice (all</w:t>
      </w:r>
      <w:r>
        <w:t xml:space="preserve"> </w:t>
      </w:r>
      <w:r>
        <w:rPr>
          <w:i/>
        </w:rPr>
        <w:t xml:space="preserve">P</w:t>
      </w:r>
      <w:r>
        <w:t xml:space="preserve"> </w:t>
      </w:r>
      <w:r>
        <w:t xml:space="preserve">&lt; 0.05).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Gray asterisks along the top margin of each panel indicate significant difference from untreated SPF mice (all</w:t>
      </w:r>
      <w:r>
        <w:t xml:space="preserve"> </w:t>
      </w:r>
      <w:r>
        <w:rPr>
          <w:i/>
        </w:rPr>
        <w:t xml:space="preserve">P</w:t>
      </w:r>
      <w:r>
        <w:t xml:space="preserve"> </w:t>
      </w:r>
      <w:r>
        <w:t xml:space="preserve">&lt; 0.05).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25.</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26.</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27.</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28.</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29.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33.</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34.</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35.</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36.</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37.</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759a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2017-03-29T18:45:00Z</dcterms:created>
  <dcterms:modified xsi:type="dcterms:W3CDTF">2017-03-29T18:45:00Z</dcterms:modified>
</cp:coreProperties>
</file>