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(24)</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(26)</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(27)</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(28)</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(30)</w:t>
      </w:r>
      <w:r>
        <w:t xml:space="preserve">. The Stickland fermentation acceptor proline was also found to be important in all conditions tested</w:t>
      </w:r>
      <w:r>
        <w:t xml:space="preserve"> </w:t>
      </w:r>
      <w:r>
        <w:t xml:space="preserve">(31)</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(6, 12, 32)</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(33)</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(32)</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(34)</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(35)</w:t>
      </w:r>
      <w:r>
        <w:t xml:space="preserve">. Additionally, alanine was also found to be important in this condition and is a preferred electron donating amino acid in Stickland fermentation</w:t>
      </w:r>
      <w:r>
        <w:t xml:space="preserve"> </w:t>
      </w:r>
      <w:r>
        <w:t xml:space="preserve">(26)</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(36)</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(37)</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(38)</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(39)</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(47)</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30.</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31.</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32.</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33.</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34.</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35.</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914c8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2017-04-04T16:01:19Z</dcterms:created>
  <dcterms:modified xsi:type="dcterms:W3CDTF">2017-04-04T16:01:19Z</dcterms:modified>
</cp:coreProperties>
</file>