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results were validated through correlation with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(22–24)</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This provided a single timepoint to measure the largest population of metabolically active</w:t>
      </w:r>
      <w:r>
        <w:t xml:space="preserve"> </w:t>
      </w:r>
      <w:r>
        <w:rPr>
          <w:i/>
        </w:rPr>
        <w:t xml:space="preserve">C. difficile</w:t>
      </w:r>
      <w:r>
        <w:t xml:space="preserve">.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utilized alternative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maintained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indicated that</w:t>
      </w:r>
      <w:r>
        <w:t xml:space="preserve"> </w:t>
      </w:r>
      <w:r>
        <w:rPr>
          <w:i/>
        </w:rPr>
        <w:t xml:space="preserve">C. difficile</w:t>
      </w:r>
      <w:r>
        <w:t xml:space="preserve"> </w:t>
      </w:r>
      <w:r>
        <w:t xml:space="preserve">colonized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(26)</w:t>
      </w:r>
      <w:r>
        <w:t xml:space="preserve">, it was necessary to pool samples within each treatment group. This also required a high degree of sequencing depth per sample to yield sufficient quantities of reads that mapped to</w:t>
      </w:r>
      <w:r>
        <w:t xml:space="preserve"> </w:t>
      </w:r>
      <w:r>
        <w:rPr>
          <w:i/>
        </w:rPr>
        <w:t xml:space="preserve">C. difficile</w:t>
      </w:r>
      <w:r>
        <w:t xml:space="preserve"> </w:t>
      </w:r>
      <w:r>
        <w:t xml:space="preserve">str. 630 (4019 genes and putative ORFs; KEGG 2016) with 100% identity. Fidelity of analysis was also the reason that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(20, 27)</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(28)</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suggested that catabolism of amino acids and specific carbohydrates are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(29)</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(30)</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(31)</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(32)</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(33)</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(34–36)</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(6, 12, 37)</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(38)</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(37)</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their synthesis.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(6)</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(39)</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suggested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with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(40)</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with significant change in cefoperazone-pretreatment (</w:t>
      </w:r>
      <w:r>
        <w:rPr>
          <w:i/>
        </w:rPr>
        <w:t xml:space="preserve">P</w:t>
      </w:r>
      <w:r>
        <w:t xml:space="preserve"> </w:t>
      </w:r>
      <w:r>
        <w:t xml:space="preserve">= 0.217). These results strongly supported the hypothesis that amino acids are a primary energy source of</w:t>
      </w:r>
      <w:r>
        <w:t xml:space="preserve"> </w:t>
      </w:r>
      <w:r>
        <w:rPr>
          <w:i/>
        </w:rPr>
        <w:t xml:space="preserve">C. difficile</w:t>
      </w:r>
      <w:r>
        <w:t xml:space="preserve"> </w:t>
      </w:r>
      <w:r>
        <w:t xml:space="preserve">during infection.</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We went on to identify that 12 of 16 outlier metabolites that were important in their respective condition were annotated as growth substrates or growth enhancers of</w:t>
      </w:r>
      <w:r>
        <w:t xml:space="preserve"> </w:t>
      </w:r>
      <w:r>
        <w:rPr>
          <w:i/>
        </w:rPr>
        <w:t xml:space="preserve">C. difficile</w:t>
      </w:r>
      <w:r>
        <w:t xml:space="preserve"> </w:t>
      </w:r>
      <w:r>
        <w:t xml:space="preserve">(39)</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(40)</w:t>
      </w:r>
      <w:r>
        <w:t xml:space="preserve">, it may also have the ability to catabolize these purines to participate downstream in Stickland reactions</w:t>
      </w:r>
      <w:r>
        <w:t xml:space="preserve"> </w:t>
      </w:r>
      <w:r>
        <w:t xml:space="preserve">(41)</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(36)</w:t>
      </w:r>
      <w:r>
        <w:t xml:space="preserve">. Together, these data supported network-derived importance scores as well as our hypothesis that</w:t>
      </w:r>
      <w:r>
        <w:t xml:space="preserve"> </w:t>
      </w:r>
      <w:r>
        <w:rPr>
          <w:i/>
        </w:rPr>
        <w:t xml:space="preserve">C. difficile</w:t>
      </w:r>
      <w:r>
        <w:t xml:space="preserve"> </w:t>
      </w:r>
      <w:r>
        <w:t xml:space="preserve">adapted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(42)</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(43)</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(44)</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(45)</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(46)</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was able to optimize its nutritional strategy for separate carbohydrates in each colonized gut environment. We also found that Stickland fermentation substrates and host-derived glycans were conserved elements of</w:t>
      </w:r>
      <w:r>
        <w:t xml:space="preserve"> </w:t>
      </w:r>
      <w:r>
        <w:rPr>
          <w:i/>
        </w:rPr>
        <w:t xml:space="preserve">C. difficile</w:t>
      </w:r>
      <w:r>
        <w:t xml:space="preserve">'s nutrient niche across distinct gut communities. Our results implicate that further considerations are needed for the design or targeted prebiotic and probiotic therapies to prevent or eliminate of</w:t>
      </w:r>
      <w:r>
        <w:t xml:space="preserve"> </w:t>
      </w:r>
      <w:r>
        <w:rPr>
          <w:i/>
        </w:rPr>
        <w:t xml:space="preserve">C. difficile</w:t>
      </w:r>
      <w:r>
        <w:t xml:space="preserve"> </w:t>
      </w:r>
      <w:r>
        <w:t xml:space="preserve">from a colonized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(47)</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(48)</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(49)</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(50)</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(51)</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(51)</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(52)</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(53)</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(54)</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(55)</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(56)</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(57)</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(58)</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t xml:space="preserve">Nine mice were included in each treatment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Ex-GF mice displayed significantly more spore c.f.u. and toxin activity than all other groups (all</w:t>
      </w:r>
      <w:r>
        <w:t xml:space="preserve"> </w:t>
      </w:r>
      <w:r>
        <w:rPr>
          <w:i/>
        </w:rPr>
        <w:t xml:space="preserve">P</w:t>
      </w:r>
      <w:r>
        <w:t xml:space="preserve"> </w:t>
      </w:r>
      <w:r>
        <w:t xml:space="preserve">&lt; 0.008). Untreated mice in A, B, &amp; C had no detectable</w:t>
      </w:r>
      <w:r>
        <w:t xml:space="preserve"> </w:t>
      </w:r>
      <w:r>
        <w:rPr>
          <w:i/>
        </w:rPr>
        <w:t xml:space="preserve">C. difficile</w:t>
      </w:r>
      <w:r>
        <w:t xml:space="preserve"> </w:t>
      </w:r>
      <w:r>
        <w:t xml:space="preserve">or toxin activity (all</w:t>
      </w:r>
      <w:r>
        <w:t xml:space="preserve"> </w:t>
      </w:r>
      <w:r>
        <w:rPr>
          <w:i/>
        </w:rPr>
        <w:t xml:space="preserve">P</w:t>
      </w:r>
      <w:r>
        <w:t xml:space="preserve"> </w:t>
      </w:r>
      <w:r>
        <w:t xml:space="preserve">&lt; 0.01). Dotted lines denote limits of detection (LOD), with undetectable points shown just below for clarity. Values for undetectable points were imputed as the LOD for calculation of significant differences which were identified by Wilcoxon signed-rank test with the Benjamini-Hochberg correction.</w:t>
      </w:r>
    </w:p>
    <w:p>
      <w:pPr>
        <w:pStyle w:val="BodyText"/>
      </w:pPr>
      <w:r>
        <w:rPr>
          <w:b/>
        </w:rPr>
        <w:t xml:space="preserve">Figure 2 | Ratios of</w:t>
      </w:r>
      <w:r>
        <w:rPr>
          <w:b/>
        </w:rPr>
        <w:t xml:space="preserve"> </w:t>
      </w:r>
      <w:r>
        <w:rPr>
          <w:i/>
          <w:b/>
        </w:rPr>
        <w:t xml:space="preserve">in vivo</w:t>
      </w:r>
      <w:r>
        <w:rPr>
          <w:b/>
        </w:rPr>
        <w:t xml:space="preserve"> </w:t>
      </w:r>
      <w:r>
        <w:rPr>
          <w:b/>
        </w:rPr>
        <w:t xml:space="preserve">expression for specfic</w:t>
      </w:r>
      <w:r>
        <w:rPr>
          <w:b/>
        </w:rPr>
        <w:t xml:space="preserve"> </w:t>
      </w:r>
      <w:r>
        <w:rPr>
          <w:i/>
          <w:b/>
        </w:rPr>
        <w:t xml:space="preserve">C. difficile</w:t>
      </w:r>
      <w:r>
        <w:rPr>
          <w:b/>
        </w:rPr>
        <w:t xml:space="preserve"> </w:t>
      </w:r>
      <w:r>
        <w:rPr>
          <w:b/>
        </w:rPr>
        <w:t xml:space="preserve">metabolic pathways across antibiotic-pretreated mice.</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highlighted with all other genes not included in these groups in gray.</w:t>
      </w:r>
      <w:r>
        <w:t xml:space="preserve"> </w:t>
      </w:r>
      <w:r>
        <w:rPr>
          <w:b/>
        </w:rPr>
        <w:t xml:space="preserve">(A)</w:t>
      </w:r>
      <w:r>
        <w:t xml:space="preserve"> </w:t>
      </w:r>
      <w:r>
        <w:t xml:space="preserve">Size of highlighted points represents the largest transcript abundance among the antibiotic pretreatments for each individual gene. Metabolic categories are also plotted separately in</w:t>
      </w:r>
      <w:r>
        <w:t xml:space="preserve"> </w:t>
      </w:r>
      <w:r>
        <w:rPr>
          <w:b/>
        </w:rPr>
        <w:t xml:space="preserve">(B-I)</w:t>
      </w:r>
      <w:r>
        <w:t xml:space="preserve">. Genes, annotations, and normalized transcript abundances can be found in Table S1.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Important metabolites included in this analysis were calculated &lt;5% probability to be a result of their associated random score distribution.</w:t>
      </w:r>
      <w:r>
        <w:t xml:space="preserve"> </w:t>
      </w:r>
      <w:r>
        <w:rPr>
          <w:b/>
        </w:rPr>
        <w:t xml:space="preserve">(A)</w:t>
      </w:r>
      <w:r>
        <w:t xml:space="preserve"> </w:t>
      </w:r>
      <w:r>
        <w:t xml:space="preserve">Median shared metabolites among the 50 highest scoring metabolites from each condition.</w:t>
      </w:r>
      <w:r>
        <w:t xml:space="preserve"> </w:t>
      </w:r>
      <w:r>
        <w:rPr>
          <w:b/>
        </w:rPr>
        <w:t xml:space="preserve">(B)</w:t>
      </w:r>
      <w:r>
        <w:t xml:space="preserve"> </w:t>
      </w:r>
      <w:r>
        <w:t xml:space="preserve">Distinctly important metabolites from each treatment group.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63).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signed-rank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signed-rank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w:t>
      </w:r>
      <w:r>
        <w:t xml:space="preserve"> </w:t>
      </w:r>
      <w:r>
        <w:t xml:space="preserve">Comparison of concentrations for select metabolites from</w:t>
      </w:r>
      <w:r>
        <w:t xml:space="preserve"> </w:t>
      </w:r>
      <w:r>
        <w:rPr>
          <w:i/>
        </w:rPr>
        <w:t xml:space="preserve">C. difficile</w:t>
      </w:r>
      <w:r>
        <w:t xml:space="preserve">-infected to mock-infected mouse cecal content 18 hours post-infection.</w:t>
      </w:r>
      <w:r>
        <w:t xml:space="preserve"> </w:t>
      </w:r>
      <w:r>
        <w:rPr>
          <w:b/>
        </w:rPr>
        <w:t xml:space="preserve">(A)</w:t>
      </w:r>
      <w:r>
        <w:t xml:space="preserve"> </w:t>
      </w:r>
      <w:r>
        <w:t xml:space="preserve">Glycine and</w:t>
      </w:r>
      <w:r>
        <w:t xml:space="preserve"> </w:t>
      </w:r>
      <w:r>
        <w:rPr>
          <w:b/>
        </w:rPr>
        <w:t xml:space="preserve">(B)</w:t>
      </w:r>
      <w:r>
        <w:t xml:space="preserve"> </w:t>
      </w:r>
      <w:r>
        <w:t xml:space="preserve">Trans-4-hydroxyproline were both quantified by untargeted UPLC-MS analysis.</w:t>
      </w:r>
      <w:r>
        <w:t xml:space="preserve"> </w:t>
      </w:r>
      <w:r>
        <w:rPr>
          <w:b/>
        </w:rPr>
        <w:t xml:space="preserve">(C)</w:t>
      </w:r>
      <w:r>
        <w:t xml:space="preserve"> </w:t>
      </w:r>
      <w:r>
        <w:t xml:space="preserve">Acetate concentrations were measured using GC-MS.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27.</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28.</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29.</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30.</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31.</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32.</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33.</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34.</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35.</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37.</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38.</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39.</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40.</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41.</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42.</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43.</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44.</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45.</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47.</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48.</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49.</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50.</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51.</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52.</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53.</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54.</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f0a82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2017-03-17T19:31:03Z</dcterms:created>
  <dcterms:modified xsi:type="dcterms:W3CDTF">2017-03-17T19:31:03Z</dcterms:modified>
</cp:coreProperties>
</file>