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generalists</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(19, 20)</w:t>
      </w:r>
      <w:r>
        <w:t xml:space="preserve">. These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the KEGG database. Enzymes and metabolites were represented by nodes, and their interactions by directed connecting edges (Fig. 3A). The complete</w:t>
      </w:r>
      <w:r>
        <w:t xml:space="preserve"> </w:t>
      </w:r>
      <w:r>
        <w:rPr>
          <w:i/>
        </w:rPr>
        <w:t xml:space="preserve">C. difficile</w:t>
      </w:r>
      <w:r>
        <w:t xml:space="preserve"> </w:t>
      </w:r>
      <w:r>
        <w:t xml:space="preserve">network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a small precentage of the community in each colonized environment (Fig. S2C), making it impossible to sequence the transcriptome of individual mice due to the depth required to sufficiently sequence the transcripts of</w:t>
      </w:r>
      <w:r>
        <w:t xml:space="preserve"> </w:t>
      </w:r>
      <w:r>
        <w:rPr>
          <w:i/>
        </w:rPr>
        <w:t xml:space="preserve">C. difficile</w:t>
      </w:r>
      <w:r>
        <w:t xml:space="preserve">. Because of this, we generated a single transcriptome per condition using pooled mRNA from all mice within each pretreatment group (Table S5). We adopted a Monte Carlo-style simulation for iterative random transcriptome comparison to provide statistical validation of our network-based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In the ex-GF mice, N-acetylneuraminate (Neu5Ac), which is an aminoglycan obtained from the animal's mucin layer, had a high importance score</w:t>
      </w:r>
      <w:r>
        <w:t xml:space="preserve"> </w:t>
      </w:r>
      <w:r>
        <w:t xml:space="preserve">(34)</w:t>
      </w:r>
      <w:r>
        <w:t xml:space="preserve">. The concentration of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it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found to be important in this condition and is a preferred electron donor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(38)</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behavior during the infection of suceptible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modeling approach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(39)</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(47)</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(48)</w:t>
      </w:r>
      <w:r>
        <w:t xml:space="preserve"> </w:t>
      </w:r>
      <w:r>
        <w:t xml:space="preserve">and the default stringent settings.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BodyText"/>
      </w:pPr>
      <w:r>
        <w:rPr>
          <w:b/>
        </w:rPr>
        <w:t xml:space="preserve">Supplementary Table 5 | Transcriptomic read counts at each step of curation.</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08c92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2017-05-15T15:02:18Z</dcterms:created>
  <dcterms:modified xsi:type="dcterms:W3CDTF">2017-05-15T15:02:18Z</dcterms:modified>
</cp:coreProperties>
</file>