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of</w:t>
      </w:r>
      <w:r>
        <w:t xml:space="preserve"> </w:t>
      </w:r>
      <w:r>
        <w:rPr>
          <w:i/>
        </w:rPr>
        <w:t xml:space="preserve">C. difficile</w:t>
      </w:r>
      <w:r>
        <w:t xml:space="preserve"> </w:t>
      </w:r>
      <w:r>
        <w:t xml:space="preserve">colonization susceptibility. This has been described for multiple antibiotic classes, which many result in distinct gut communities and each present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 availability within the gut. Utilizing an</w:t>
      </w:r>
      <w:r>
        <w:t xml:space="preserve"> </w:t>
      </w:r>
      <w:r>
        <w:rPr>
          <w:i/>
        </w:rPr>
        <w:t xml:space="preserve">in vivo</w:t>
      </w:r>
      <w:r>
        <w:t xml:space="preserve"> </w:t>
      </w:r>
      <w:r>
        <w:t xml:space="preserve">model of CDI with three separate antibiotic pretreatments, we demonstrated</w:t>
      </w:r>
      <w:r>
        <w:t xml:space="preserve"> </w:t>
      </w:r>
      <w:r>
        <w:rPr>
          <w:i/>
        </w:rPr>
        <w:t xml:space="preserve">C. difficile</w:t>
      </w:r>
      <w:r>
        <w:t xml:space="preserve"> </w:t>
      </w:r>
      <w:r>
        <w:t xml:space="preserve">highly colonized the cecum of mice in each group. Levels of spore and toxin production varied between treatments, both processes having been linked nutrient concentrations. To more closely investigate specific responses of</w:t>
      </w:r>
      <w:r>
        <w:t xml:space="preserve"> </w:t>
      </w:r>
      <w:r>
        <w:rPr>
          <w:i/>
        </w:rPr>
        <w:t xml:space="preserve">C. difficile</w:t>
      </w:r>
      <w:r>
        <w:t xml:space="preserve"> </w:t>
      </w:r>
      <w:r>
        <w:t xml:space="preserve">during infection, we performed targeted transcriptional analysis from cecal content of infected mice. This revealed variation in expression of life-cycle switches and catabolic pathways for various carbon sources. In order to assess which substrates</w:t>
      </w:r>
      <w:r>
        <w:t xml:space="preserve"> </w:t>
      </w:r>
      <w:r>
        <w:rPr>
          <w:i/>
        </w:rPr>
        <w:t xml:space="preserve">C. difficile</w:t>
      </w:r>
      <w:r>
        <w:t xml:space="preserve"> </w:t>
      </w:r>
      <w:r>
        <w:t xml:space="preserve">was exploiting, we further characterized the systems using transcriptomic-enabled genome-scale metabolic modeling and untargeted metabolomic analysis. Through development of a novel metabolite scoring algorithm, leveraging the metabolic model architecture, we were able to infer that a given metabolite was acquired from the environment. Our results support the hypothesis that</w:t>
      </w:r>
      <w:r>
        <w:t xml:space="preserve"> </w:t>
      </w:r>
      <w:r>
        <w:rPr>
          <w:i/>
        </w:rPr>
        <w:t xml:space="preserve">C. difficile</w:t>
      </w:r>
      <w:r>
        <w:t xml:space="preserve"> </w:t>
      </w:r>
      <w:r>
        <w:t xml:space="preserve">occupies alternative nutrient niches by metabolizing separate carbohydrate sources in each infection and these distinctions track with disparity in pathogenicity. Additionally, these data highlight conserved elements of</w:t>
      </w:r>
      <w:r>
        <w:t xml:space="preserve"> </w:t>
      </w:r>
      <w:r>
        <w:rPr>
          <w:i/>
        </w:rPr>
        <w:t xml:space="preserve">C. difficile</w:t>
      </w:r>
      <w:r>
        <w:t xml:space="preserve">'s metabolic strategy, including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platform developed here provides a tool to enable identification of the nutrient requirements for diverse bacterial species through strictly transcriptomic analysis.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BodyText"/>
      </w:pPr>
      <w:r>
        <w:t xml:space="preserve">Need to add something about why this matters at all</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&lt;0.001% of the bacterial load in the ceca of antibiotic-treated SPF mice (By read abundance; Fig. S2C),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yeild sufficient numbers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used, while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is not feasible in the context of a diverse bacterial community. Because of these factors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5a).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(49)</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5b). Each group of metabolites contained at least one known carbohydrate growth substrate of</w:t>
      </w:r>
      <w:r>
        <w:t xml:space="preserve"> </w:t>
      </w:r>
      <w:r>
        <w:rPr>
          <w:i/>
        </w:rPr>
        <w:t xml:space="preserve">C. difficile</w:t>
      </w:r>
      <w:r>
        <w:t xml:space="preserve"> </w:t>
      </w:r>
      <w:r>
        <w:t xml:space="preserve">(7, 50)</w:t>
      </w:r>
      <w:r>
        <w:t xml:space="preserve">. This included sorbitol, galactitol,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5a). When tested for improved growth, significantly more growth (Max OD</w:t>
      </w:r>
      <w:r>
        <w:rPr>
          <w:vertAlign w:val="subscript"/>
        </w:rPr>
        <w:t xml:space="preserve">600</w:t>
      </w:r>
      <w:r>
        <w:t xml:space="preserve"> </w:t>
      </w:r>
      <w:r>
        <w:t xml:space="preserve">= 0.744)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Distinctly important from streptomycin-treated mice, D-sorbitol (streptomycin; Max OD</w:t>
      </w:r>
      <w:r>
        <w:rPr>
          <w:vertAlign w:val="subscript"/>
        </w:rPr>
        <w:t xml:space="preserve">600</w:t>
      </w:r>
      <w:r>
        <w:t xml:space="preserve"> </w:t>
      </w:r>
      <w:r>
        <w:t xml:space="preserve">= 0.351)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N-acetylneuraminate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0.044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w:t>
      </w:r>
    </w:p>
    <w:p>
      <w:pPr>
        <w:pStyle w:val="BodyText"/>
      </w:pPr>
      <w:r>
        <w:t xml:space="preserve">We compared cecal content from mock</w:t>
      </w:r>
      <w:r>
        <w:t xml:space="preserve"> </w:t>
      </w:r>
      <w:r>
        <w:rPr>
          <w:i/>
        </w:rPr>
        <w:t xml:space="preserve">C. difficile</w:t>
      </w:r>
      <w:r>
        <w:t xml:space="preserve">-infected susceptible and resistant mice at the same 18 hour time point as the previous analyses.</w:t>
      </w:r>
    </w:p>
    <w:p>
      <w:pPr>
        <w:pStyle w:val="BodyText"/>
      </w:pPr>
      <w:r>
        <w:t xml:space="preserve">Initially N-acetylglucosamine + N-acetylgalactosamine (Fig. 6a) and salicylate (Fig. 6b) were found to be significantly decreased in all susceptible treatment groups compared to resistant controls (</w:t>
      </w:r>
      <w:r>
        <w:rPr>
          <w:i/>
        </w:rPr>
        <w:t xml:space="preserve">P</w:t>
      </w:r>
      <w:r>
        <w:t xml:space="preserve"> </w:t>
      </w:r>
      <w:r>
        <w:t xml:space="preserve">&lt; 0.05). Additionally, we found that galactitol (Fig. 6c), mannitol + sorbitol (Fig. 6d), and N-acetylneuraminate (Fig. 6e) were significantly increased in both cefoperazone-treated SPF and GF mice (</w:t>
      </w:r>
      <w:r>
        <w:rPr>
          <w:i/>
        </w:rPr>
        <w:t xml:space="preserve">P</w:t>
      </w:r>
      <w:r>
        <w:t xml:space="preserve"> </w:t>
      </w:r>
      <w:r>
        <w:t xml:space="preserve">&lt; 0.05). Finally, these assays also revealed that proline (Fig. 6f)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6g)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BodyText"/>
      </w:pPr>
      <w:r>
        <w:t xml:space="preserve">proline &gt; acetylglucosamine &gt; acetylneuraminate or salicin &gt; mannitol &gt; sorbitol</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(51)</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(52)</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(53)</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(54)</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BodyText"/>
      </w:pPr>
      <w:r>
        <w:t xml:space="preserve">add also about how models are valuable for looking at entire community, setting up next paper</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(55)</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(59)</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(59)</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(60)</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(62)</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(63)</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(64)</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(65)</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 Wilcoxon rank-abundance test with Benjamini-Hochberg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 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Benjamini-Hochberg correction.</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and importance scores derived from transcript-informed metabolic modeling.</w:t>
      </w:r>
      <w:r>
        <w:t xml:space="preserve"> </w:t>
      </w:r>
      <w:r>
        <w:t xml:space="preserve">Spearman correlations for combined metabolome and metabolic model output in each condition with least squared-residuals analysis to identify outlier metabolites. (</w:t>
      </w:r>
      <w:r>
        <w:t xml:space="preserve"> </w:t>
      </w:r>
      <w:r>
        <w:t xml:space="preserve">) Scaled intensity was calculated by dividing the log10-scaled intensity of each metabolite from GS-MS in mock-infected mice by its corresponding intensity in</w:t>
      </w:r>
      <w:r>
        <w:t xml:space="preserve"> </w:t>
      </w:r>
      <w:r>
        <w:rPr>
          <w:i/>
        </w:rPr>
        <w:t xml:space="preserve">C. difficile</w:t>
      </w:r>
      <w:r>
        <w:t xml:space="preserve">-infected mice.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scaled intensity within each treatment group prior to combining datasets. Outliers are labelled by their KEGG metabolite family annotation and were defined as those points with a (</w:t>
      </w:r>
      <w:r>
        <w:t xml:space="preserve"> </w:t>
      </w:r>
      <w:r>
        <w:t xml:space="preserve">) scaled intensity squared residual &gt;1.5.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 Unless shown as an outlier, the point for N-acetyl-D-glucosamine is shown in each panel as an open circle.</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Mannitol / Sorbitol,</w:t>
      </w:r>
      <w:r>
        <w:t xml:space="preserve"> </w:t>
      </w:r>
      <w:r>
        <w:rPr>
          <w:b/>
        </w:rPr>
        <w:t xml:space="preserve">(D)</w:t>
      </w:r>
      <w:r>
        <w:t xml:space="preserve"> </w:t>
      </w:r>
      <w:r>
        <w:t xml:space="preserve">Components of Salicin: (I) Salicylate and (II) Glucose,</w:t>
      </w:r>
      <w:r>
        <w:t xml:space="preserve"> </w:t>
      </w:r>
      <w:r>
        <w:rPr>
          <w:b/>
        </w:rPr>
        <w:t xml:space="preserve">(E)</w:t>
      </w:r>
      <w:r>
        <w:t xml:space="preserve"> </w:t>
      </w:r>
      <w:r>
        <w:t xml:space="preserve">N−acetylneuraminate, and</w:t>
      </w:r>
      <w:r>
        <w:t xml:space="preserve"> </w:t>
      </w:r>
      <w:r>
        <w:rPr>
          <w:b/>
        </w:rPr>
        <w:t xml:space="preserve">(F)</w:t>
      </w:r>
      <w:r>
        <w:t xml:space="preserve"> </w:t>
      </w:r>
      <w:r>
        <w:t xml:space="preserve">Acetate. N−acetylglucosamine + N−acetylgalactosamine and Mannitol + Sorbitol were measured in pairs as they only differ by chirality and cannot be differentiated through peaked-based analysis. Salicin was not a member of the untargeted panel employed in this study however the component molecules, Salicylate and Glucose, were included thus are reported here. Increases in their concentrations may indicate concordant increases in cleavage of salicin by</w:t>
      </w:r>
      <w:r>
        <w:t xml:space="preserve"> </w:t>
      </w:r>
      <w:r>
        <w:rPr>
          <w:i/>
        </w:rPr>
        <w:t xml:space="preserve">C. difficile</w:t>
      </w:r>
      <w:r>
        <w:t xml:space="preserve">. Absolute concentrations for acetate were measured in a separate analysis using GC-MS. Significance was determined using Wilcoxon signed-rank test with Benjamini-Hochberg correction when appropriate.</w:t>
      </w:r>
    </w:p>
    <w:p>
      <w:pPr>
        <w:pStyle w:val="BodyText"/>
      </w:pPr>
      <w:r>
        <w:rPr>
          <w:b/>
        </w:rPr>
        <w:t xml:space="preserve">Supplementary Figure 6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consistant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52.</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53.</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54.</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55.</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56.</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57.</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58.</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59.</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60.</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61.</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62.</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63.</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64.</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65.</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357c3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2017-03-07T14:23:17Z</dcterms:created>
  <dcterms:modified xsi:type="dcterms:W3CDTF">2017-03-07T14:23:17Z</dcterms:modified>
</cp:coreProperties>
</file>