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with important carbon sources.</w:t>
      </w:r>
      <w:r>
        <w:t xml:space="preserve"> </w:t>
      </w:r>
      <w:r>
        <w:t xml:space="preserve">Important metabolites included in this analysis were calculated at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curves validating identified growth nutrients from network analysis. All statistical comparison was performed in comparison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8643a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2017-03-19T21:26:14Z</dcterms:created>
  <dcterms:modified xsi:type="dcterms:W3CDTF">2017-03-19T21:26:14Z</dcterms:modified>
</cp:coreProperties>
</file>