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feature of</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nutrients availability within the gut.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that received one of three antibiotic pretreatments. We found levels of spore and toxin production varied between each antibiotic treatment group, and both processes are known to be regulated by specific nutrient concentrations. To more closely investigate specific responses of</w:t>
      </w:r>
      <w:r>
        <w:t xml:space="preserve"> </w:t>
      </w:r>
      <w:r>
        <w:rPr>
          <w:i/>
        </w:rPr>
        <w:t xml:space="preserve">C. difficile</w:t>
      </w:r>
      <w:r>
        <w:t xml:space="preserve"> </w:t>
      </w:r>
      <w:r>
        <w:t xml:space="preserve">during infection, we performed transcriptional analysis of</w:t>
      </w:r>
      <w:r>
        <w:t xml:space="preserve"> </w:t>
      </w:r>
      <w:r>
        <w:rPr>
          <w:i/>
        </w:rPr>
        <w:t xml:space="preserve">C. difficile</w:t>
      </w:r>
      <w:r>
        <w:t xml:space="preserve"> </w:t>
      </w:r>
      <w:r>
        <w:t xml:space="preserve">from cecal content of infected mice. This revealed variation in expression of life-cycle switches and catabolic pathways for a variety of carbon sources. In order to assess which substrates</w:t>
      </w:r>
      <w:r>
        <w:t xml:space="preserve"> </w:t>
      </w:r>
      <w:r>
        <w:rPr>
          <w:i/>
        </w:rPr>
        <w:t xml:space="preserve">C. difficile</w:t>
      </w:r>
      <w:r>
        <w:t xml:space="preserve"> </w:t>
      </w:r>
      <w:r>
        <w:t xml:space="preserve">was exploiting, we further characterized the systems with transcriptomic-enabled genome-scale metabolic modeling and untargeted metabolomic analysis. Through the development of a novel metabolite scoring algorithm, leveraging a genome-scale metabolic network architecture, we were able to infer that a given metabolite was acquired from the environment. Output from these models was then validated through comparison with untargeted metabolomic analysis of all infection conditions, which significantly correlated with those metabolites predicted to be important to</w:t>
      </w:r>
      <w:r>
        <w:t xml:space="preserve"> </w:t>
      </w:r>
      <w:r>
        <w:rPr>
          <w:i/>
        </w:rPr>
        <w:t xml:space="preserve">C. difficile</w:t>
      </w:r>
      <w:r>
        <w:t xml:space="preserve"> </w:t>
      </w:r>
      <w:r>
        <w:t xml:space="preserve">in each infection. Our results highlight conserved elements of</w:t>
      </w:r>
      <w:r>
        <w:t xml:space="preserve"> </w:t>
      </w:r>
      <w:r>
        <w:rPr>
          <w:i/>
        </w:rPr>
        <w:t xml:space="preserve">C. difficile</w:t>
      </w:r>
      <w:r>
        <w:t xml:space="preserve">'s metabolic strategy across infections, including the consumption of N-acetyl-D-glucosamine and Stickland fermentation substrates. Additionally, these data support the hypothesis that</w:t>
      </w:r>
      <w:r>
        <w:t xml:space="preserve"> </w:t>
      </w:r>
      <w:r>
        <w:rPr>
          <w:i/>
        </w:rPr>
        <w:t xml:space="preserve">C. difficile</w:t>
      </w:r>
      <w:r>
        <w:t xml:space="preserve"> </w:t>
      </w:r>
      <w:r>
        <w:t xml:space="preserve">indeed occupies alternative nutrient niches by metabolizing separate carbohydrate sources in each infection and these distinctions track with disparity seen in pathogenicity.</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described here could provide a useful platform to enable the study of nutrient requirements of pathogen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cefoperazone, and clindamycin (Table 1; Fig. S1).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Due to technical restrictions at each level of analysis, we employed a multi-omic analysis in order to accurately capture the underlying biological patterns.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 Differences in resource consumption were also strongly supported by untargeted metabolomic analysis. Out data suggest that</w:t>
      </w:r>
      <w:r>
        <w:t xml:space="preserve"> </w:t>
      </w:r>
      <w:r>
        <w:rPr>
          <w:i/>
        </w:rPr>
        <w:t xml:space="preserve">C. difficile</w:t>
      </w:r>
      <w:r>
        <w:t xml:space="preserve"> </w:t>
      </w:r>
      <w:r>
        <w:t xml:space="preserve">is indeed capable of adapting components of it's nutrient niche to the environment it has colonized, while maintaining at least some focus on catabolism of amino acids and host-derived aminoglycans in each infected condition.</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(29)</w:t>
      </w:r>
      <w:r>
        <w:t xml:space="preserve">, it was necessary to pool samples within each treatment group. Moreover, this also required a high degree of sequencing depth per sample in order to yield sufficient quantities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(outlined in Methods). This corresponded to an average of ~42x coverage across the</w:t>
      </w:r>
      <w:r>
        <w:t xml:space="preserve"> </w:t>
      </w:r>
      <w:r>
        <w:rPr>
          <w:i/>
        </w:rPr>
        <w:t xml:space="preserve">C. difficile</w:t>
      </w:r>
      <w:r>
        <w:t xml:space="preserve"> </w:t>
      </w:r>
      <w:r>
        <w:t xml:space="preserve">str. 630 reference genome used.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(20, 24)</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(30)</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initially focused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(31–34)</w:t>
      </w:r>
      <w:r>
        <w:t xml:space="preserve"> </w:t>
      </w:r>
      <w:r>
        <w:t xml:space="preserve">(Fig. 2A). Across the four conditions where</w:t>
      </w:r>
      <w:r>
        <w:t xml:space="preserve"> </w:t>
      </w:r>
      <w:r>
        <w:rPr>
          <w:i/>
        </w:rPr>
        <w:t xml:space="preserve">C. difficile</w:t>
      </w:r>
      <w:r>
        <w:t xml:space="preserve"> </w:t>
      </w:r>
      <w:r>
        <w:t xml:space="preserve">colonized, we observed transcriptional profiles consistent with observed spore levels (Fig. 1B). The mice treated with cefoperazone had the lowest spore density and had the highest level of expression for the anti-sigma factor</w:t>
      </w:r>
      <w:r>
        <w:t xml:space="preserve"> </w:t>
      </w:r>
      <w:r>
        <w:rPr>
          <w:i/>
        </w:rPr>
        <w:t xml:space="preserve">spoVG</w:t>
      </w:r>
      <w:r>
        <w:t xml:space="preserve">. The products of these genes are involved in suppressing expression of genes found later in the sporulation pathway</w:t>
      </w:r>
      <w:r>
        <w:t xml:space="preserve"> </w:t>
      </w:r>
      <w:r>
        <w:t xml:space="preserve">(35)</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w:t>
      </w:r>
      <w:r>
        <w:t xml:space="preserve"> </w:t>
      </w:r>
      <w:r>
        <w:rPr>
          <w:i/>
        </w:rPr>
        <w:t xml:space="preserve">spoVS</w:t>
      </w:r>
      <w:r>
        <w:t xml:space="preserve">,and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(36, 37)</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 It should also be noted that enzyme activity does not necessarily reflect the concentrations of transcript nor effector protein available in the cell.</w:t>
      </w:r>
    </w:p>
    <w:p>
      <w:pPr>
        <w:pStyle w:val="BodyText"/>
      </w:pPr>
      <w:r>
        <w:t xml:space="preserve">Moving upstream, we next focused on the regulators of metabolic pathways. Specific sigma factors are master regulators and a subset have been shown to integrate signals from intra- and extracellular nutrient concentrations</w:t>
      </w:r>
      <w:r>
        <w:t xml:space="preserve"> </w:t>
      </w:r>
      <w:r>
        <w:t xml:space="preserve">(20, 21, 33, 38)</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(39)</w:t>
      </w:r>
      <w:r>
        <w:t xml:space="preserve">. Highest transcription for this gene was found in cefoperazone-treated and GF mice (Fig. 2D).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(40)</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2D),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2D).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2D).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3). We then identified the condition in which each gene was most highly transcribed and adjusted the size of the corresponding point relative to the largest transcript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interactions by directed connecting edges (Fig. 4A).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w:t>
      </w:r>
      <w:r>
        <w:t xml:space="preserve"> </w:t>
      </w:r>
      <w:r>
        <w:rPr>
          <w:i/>
        </w:rPr>
        <w:t xml:space="preserve">quantity</w:t>
      </w:r>
      <w:r>
        <w:t xml:space="preserve"> </w:t>
      </w:r>
      <w:r>
        <w:t xml:space="preserve">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(41)</w:t>
      </w:r>
      <w:r>
        <w:t xml:space="preserve">. Similarly, CC is instead a calculation for the reciprocal sum of the</w:t>
      </w:r>
      <w:r>
        <w:t xml:space="preserve"> </w:t>
      </w:r>
      <w:r>
        <w:rPr>
          <w:i/>
        </w:rPr>
        <w:t xml:space="preserve">lengths</w:t>
      </w:r>
      <w:r>
        <w:t xml:space="preserve"> </w:t>
      </w:r>
      <w:r>
        <w:t xml:space="preserve">of those shortest paths quantified by the BC. This value demonstrates how essential a given node is the the overall structure of the metabolic network</w:t>
      </w:r>
      <w:r>
        <w:t xml:space="preserve"> </w:t>
      </w:r>
      <w:r>
        <w:t xml:space="preserve">(42)</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(43)</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indicated that the topology of the overall network reflects established bacterial physiology and amino acid catabolism is a central strategy of</w:t>
      </w:r>
      <w:r>
        <w:t xml:space="preserve"> </w:t>
      </w:r>
      <w:r>
        <w:rPr>
          <w:i/>
        </w:rPr>
        <w:t xml:space="preserve">C. difficile</w:t>
      </w:r>
      <w:r>
        <w:t xml:space="preserve"> </w:t>
      </w:r>
      <w:r>
        <w:t xml:space="preserve">str. 630 based on the structure of its metabolic network.</w:t>
      </w:r>
    </w:p>
    <w:p>
      <w:pPr>
        <w:pStyle w:val="BodyText"/>
      </w:pPr>
      <w:r>
        <w:rPr>
          <w:b/>
        </w:rPr>
        <w:t xml:space="preserve">Metabolite importance algorithm supports known trends and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(44)</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4A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(45)</w:t>
      </w:r>
      <w:r>
        <w:t xml:space="preserve">. This ultimately allowed for computing the significance level that a given score had a high probability of being excluded from its associated null hypothesis score distribution (Fig. 4C). All downstream analysis of important metabolites was only performed using those substrates that met their respective significance cutoff (</w:t>
      </w:r>
      <w:r>
        <w:rPr>
          <w:i/>
        </w:rPr>
        <w:t xml:space="preserve">P</w:t>
      </w:r>
      <w:r>
        <w:t xml:space="preserve"> </w:t>
      </w:r>
      <w:r>
        <w:t xml:space="preserve">&lt; 0.05).</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5A).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(46–48)</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(24)</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5B). Interestingly, the resulting groups of metabolites all contained at least one known carbohydrate growth substrate of</w:t>
      </w:r>
      <w:r>
        <w:t xml:space="preserve"> </w:t>
      </w:r>
      <w:r>
        <w:rPr>
          <w:i/>
        </w:rPr>
        <w:t xml:space="preserve">C. difficile</w:t>
      </w:r>
      <w:r>
        <w:t xml:space="preserve"> </w:t>
      </w:r>
      <w:r>
        <w:t xml:space="preserve">(7, 14, 49)</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(50)</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(49)</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t xml:space="preserve">We went on to test each important possible growth substrates to ensure that growth phenotypes of our strain matched previously published results (Fig. 5C).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carbohydrates and made the most effective negative control growth in media lacking carbohydrates but containing amino acids. Also since proline was identified as necessary for minimal media</w:t>
      </w:r>
      <w:r>
        <w:t xml:space="preserve"> </w:t>
      </w:r>
      <w:r>
        <w:t xml:space="preserve">(51)</w:t>
      </w:r>
      <w:r>
        <w:t xml:space="preserve">, so was therefore not tested for growth phenotype changes in this analysis despite its importance in shared modeling analysis (Fig. 5A). When tested for improved growth, at least one carbohydrate found to be important in all measured environments as well as among those indicated to be distinctly important within each condition.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Each of these were shown to allow for significantly more growth (</w:t>
      </w:r>
      <w:r>
        <w:rPr>
          <w:i/>
        </w:rPr>
        <w:t xml:space="preserve">P</w:t>
      </w:r>
      <w:r>
        <w:t xml:space="preserve"> </w:t>
      </w:r>
      <w:r>
        <w:t xml:space="preserve">&lt; 0.001) than in no carbohydrate controls (Max OD</w:t>
      </w:r>
      <w:r>
        <w:rPr>
          <w:vertAlign w:val="subscript"/>
        </w:rPr>
        <w:t xml:space="preserve">600</w:t>
      </w:r>
      <w:r>
        <w:t xml:space="preserve"> </w:t>
      </w:r>
      <w:r>
        <w:t xml:space="preserve">= 0.212). Galactitol was also tested as it was important in streptomycin-treated animals, however it demonstrated nearly identical growth patterns to no carbohydrate control (Table S4). These data suggest a potential hierarchy in carbohydrate preference and supported that</w:t>
      </w:r>
      <w:r>
        <w:t xml:space="preserve"> </w:t>
      </w:r>
      <w:r>
        <w:rPr>
          <w:i/>
        </w:rPr>
        <w:t xml:space="preserve">C. difficile</w:t>
      </w:r>
      <w:r>
        <w:t xml:space="preserve"> </w:t>
      </w:r>
      <w:r>
        <w:t xml:space="preserve">was well-suited to adapt its metabolism toward nutrient sources that are differentially available across susceptible mouse ceca.</w:t>
      </w:r>
    </w:p>
    <w:p>
      <w:pPr>
        <w:pStyle w:val="BodyText"/>
      </w:pP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as important by metabolic modeling and implicates proline as a critical component of its nutrient niche across models of infection.</w:t>
      </w:r>
      <w:r>
        <w:t xml:space="preserve"> </w:t>
      </w:r>
      <w:r>
        <w:t xml:space="preserve">In order to support conclusions from transcriptional network-based analysis we employed untargeted UPLC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to infer levels of consistency through transriptomic sequencing efforts. In summary, extremely low and consistent sample variance was found in across all 16S and metabolomic replicates (Fig. S5). As these results represent data that is essentially above and below transcript abundance in terms of biological hierarchy, this reassured our conclusions at the various levels of separate analysis. Additionally, by incorporating multiple sets of omics data describing the same system provided even greater confidence in the overall trends.</w:t>
      </w:r>
    </w:p>
    <w:p>
      <w:pPr>
        <w:pStyle w:val="BodyText"/>
      </w:pPr>
      <w:r>
        <w:t xml:space="preserve">With respect the modeling results, we measured whether important metabolites from network analysis were increased in relative concentration in their corresponding susceptible environments by comparing untreated SPF mice with mock-infected susceptible groups at the same time point (Fig. S6). Looking first toward N-acetylglucosamine since it was the most important shared metabolite (Fig. 5B), we found that its relative concentration was actually significantly decreased in all susceptible conditions tested (Fig. S6A). A similar trend was also seen in salicylate (Fig. S5F;</w:t>
      </w:r>
      <w:r>
        <w:t xml:space="preserve"> </w:t>
      </w:r>
      <w:r>
        <w:rPr>
          <w:i/>
        </w:rPr>
        <w:t xml:space="preserve">P</w:t>
      </w:r>
      <w:r>
        <w:t xml:space="preserve"> </w:t>
      </w:r>
      <w:r>
        <w:t xml:space="preserve">&lt; 0.05), a product of salacin cleavage (salicin was not included in the panel). Additionally we found that N-acetylneuraminate (Fig. S6B), mannitol/sorbitol (Fig. S6G), and galactitol (Fig. S6H) were significantly increased in only cefoperazone-treated SPF and GF mice (</w:t>
      </w:r>
      <w:r>
        <w:rPr>
          <w:i/>
        </w:rPr>
        <w:t xml:space="preserve">P</w:t>
      </w:r>
      <w:r>
        <w:t xml:space="preserve"> </w:t>
      </w:r>
      <w:r>
        <w:t xml:space="preserve">&lt; 0.05). Interestingly, only Stickland fermentation substrates (proline Fig. S6C and trans-4-hydroxyproline Fig. S6E) were for to be significantly increased in all susceptible environments tested (</w:t>
      </w:r>
      <w:r>
        <w:rPr>
          <w:i/>
        </w:rPr>
        <w:t xml:space="preserve">P</w:t>
      </w:r>
      <w:r>
        <w:t xml:space="preserve"> </w:t>
      </w:r>
      <w:r>
        <w:t xml:space="preserve">&lt; 0.05). Glycine (Fig. S6D) was found to also be consistently increased, but only achieved significant differences in cefoperazone-treated SPF and GF mice (</w:t>
      </w:r>
      <w:r>
        <w:rPr>
          <w:i/>
        </w:rPr>
        <w:t xml:space="preserve">P</w:t>
      </w:r>
      <w:r>
        <w:t xml:space="preserve"> </w:t>
      </w:r>
      <w:r>
        <w:t xml:space="preserve">&lt; 0.05).</w:t>
      </w:r>
    </w:p>
    <w:p>
      <w:pPr>
        <w:pStyle w:val="BodyText"/>
      </w:pPr>
      <w:r>
        <w:t xml:space="preserve">We were then interested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6A and N-acetylneuraminate Fig. 6F) were significantly decreased in the presence of</w:t>
      </w:r>
      <w:r>
        <w:t xml:space="preserve"> </w:t>
      </w:r>
      <w:r>
        <w:rPr>
          <w:i/>
        </w:rPr>
        <w:t xml:space="preserve">C. difficile</w:t>
      </w:r>
      <w:r>
        <w:t xml:space="preserve"> </w:t>
      </w:r>
      <w:r>
        <w:t xml:space="preserve">when mock-infected ceca demonstrated detectable levels of the metabolites. No significant relationship was seen in any of the other carbohydrates with distinctly high importance scores (galactitol Fig. 6C or mannitol/sorbitol Fig. 6D). The slight increase in the concentration of salicylate (Fig. 6E) may be interpreted as due to increased cleavage of salicin by</w:t>
      </w:r>
      <w:r>
        <w:t xml:space="preserve"> </w:t>
      </w:r>
      <w:r>
        <w:rPr>
          <w:i/>
        </w:rPr>
        <w:t xml:space="preserve">C. difficile</w:t>
      </w:r>
      <w:r>
        <w:t xml:space="preserve">, but requires further investigation. As side note, acetate was found to be important in all conditions, but was just below the significance cutoff in GF mice (Table S3) and has been shown to be consumed by</w:t>
      </w:r>
      <w:r>
        <w:t xml:space="preserve"> </w:t>
      </w:r>
      <w:r>
        <w:rPr>
          <w:i/>
        </w:rPr>
        <w:t xml:space="preserve">C. difficile</w:t>
      </w:r>
      <w:r>
        <w:t xml:space="preserve"> </w:t>
      </w:r>
      <w:r>
        <w:t xml:space="preserve">during Stickland fermentation</w:t>
      </w:r>
      <w:r>
        <w:t xml:space="preserve"> </w:t>
      </w:r>
      <w:r>
        <w:t xml:space="preserve">(52)</w:t>
      </w:r>
      <w:r>
        <w:t xml:space="preserve">. Confirming our prediction, we found that</w:t>
      </w:r>
      <w:r>
        <w:t xml:space="preserve"> </w:t>
      </w:r>
      <w:r>
        <w:rPr>
          <w:i/>
        </w:rPr>
        <w:t xml:space="preserve">C. difficile</w:t>
      </w:r>
      <w:r>
        <w:t xml:space="preserve"> </w:t>
      </w:r>
      <w:r>
        <w:t xml:space="preserve">colonization indeed led to a significant decrease in the levels of acetate (Fig. S7C).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6A) and trans-4-hydroxyproline (Fig. S7B) were significantly decreased in every</w:t>
      </w:r>
      <w:r>
        <w:t xml:space="preserve"> </w:t>
      </w:r>
      <w:r>
        <w:rPr>
          <w:i/>
        </w:rPr>
        <w:t xml:space="preserve">C. difficile</w:t>
      </w:r>
      <w:r>
        <w:t xml:space="preserve"> </w:t>
      </w:r>
      <w:r>
        <w:t xml:space="preserve">colonized environment compared to mock infection (</w:t>
      </w:r>
      <w:r>
        <w:rPr>
          <w:i/>
        </w:rPr>
        <w:t xml:space="preserve">P</w:t>
      </w:r>
      <w:r>
        <w:t xml:space="preserve"> </w:t>
      </w:r>
      <w:r>
        <w:t xml:space="preserve">&lt; 0.05). Glycine was concordantly decreases in each condition following infection, but not all of these relationships are significant (Fig. S7A). These results most strongly support the consumption of amino acids is actually the primary energy source of</w:t>
      </w:r>
      <w:r>
        <w:t xml:space="preserve"> </w:t>
      </w:r>
      <w:r>
        <w:rPr>
          <w:i/>
        </w:rPr>
        <w:t xml:space="preserve">C. difficile</w:t>
      </w:r>
      <w:r>
        <w:t xml:space="preserve"> </w:t>
      </w:r>
      <w:r>
        <w:t xml:space="preserve">during infection.</w:t>
      </w:r>
    </w:p>
    <w:p>
      <w:pPr>
        <w:pStyle w:val="BodyText"/>
      </w:pPr>
      <w:r>
        <w:rPr>
          <w:b/>
        </w:rPr>
        <w:t xml:space="preserve">Integrated multi-omic analysis reveals strong predictive value for networking approach in identifying additional novel patterns of metabolism.</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diffile</w:t>
      </w:r>
      <w:r>
        <w:t xml:space="preserve"> </w:t>
      </w:r>
      <w:r>
        <w:t xml:space="preserve">colonizes. Additionally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in order to maximize our ability to validate the predictive capacity of the modeling algorithm (Fig. 7A). This indeed revealed a significant positive correlation (</w:t>
      </w:r>
      <w:r>
        <w:rPr>
          <w:i/>
        </w:rPr>
        <w:t xml:space="preserve">P</w:t>
      </w:r>
      <w:r>
        <w:t xml:space="preserve"> </w:t>
      </w:r>
      <w:r>
        <w:t xml:space="preserve">&lt; 0.01)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amino acid or carbohydrate growth substrates or growth enhancers of</w:t>
      </w:r>
      <w:r>
        <w:t xml:space="preserve"> </w:t>
      </w:r>
      <w:r>
        <w:rPr>
          <w:i/>
        </w:rPr>
        <w:t xml:space="preserve">C. difficile</w:t>
      </w:r>
      <w:r>
        <w:t xml:space="preserve"> </w:t>
      </w:r>
      <w:r>
        <w:t xml:space="preserve">(51)</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(52)</w:t>
      </w:r>
      <w:r>
        <w:t xml:space="preserve">, it may also have the ability to catabolize these purines to participate downstream in Stickland reactions</w:t>
      </w:r>
      <w:r>
        <w:t xml:space="preserve"> </w:t>
      </w:r>
      <w:r>
        <w:t xml:space="preserve">(53)</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7B) and cefoperazone-pretreatment (Fig. 7C) the correlations did not achieve significance,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7D) gnotobiotic mice (Fig. 7E) demonstrated a significant correlation between importance scores and (</w:t>
      </w:r>
      <w:r>
        <w:t xml:space="preserve"> </w:t>
      </w:r>
      <w:r>
        <w:t xml:space="preserve">) median scaled intensity (</w:t>
      </w:r>
      <w:r>
        <w:rPr>
          <w:i/>
        </w:rPr>
        <w:t xml:space="preserve">P</w:t>
      </w:r>
      <w:r>
        <w:t xml:space="preserve"> </w:t>
      </w:r>
      <w:r>
        <w:t xml:space="preserve">&lt; 0.01).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of correlates, this further supports Stickland fermentation as a core metabolic strategy of</w:t>
      </w:r>
      <w:r>
        <w:t xml:space="preserve"> </w:t>
      </w:r>
      <w:r>
        <w:rPr>
          <w:i/>
        </w:rPr>
        <w:t xml:space="preserve">C. difficile</w:t>
      </w:r>
      <w:r>
        <w:t xml:space="preserve"> </w:t>
      </w:r>
      <w:r>
        <w:t xml:space="preserve">in the gut. Together, these data support network-derived importance scores as well as our hypothesis that</w:t>
      </w:r>
      <w:r>
        <w:t xml:space="preserve"> </w:t>
      </w:r>
      <w:r>
        <w:rPr>
          <w:i/>
        </w:rPr>
        <w:t xml:space="preserve">C. difficile</w:t>
      </w:r>
      <w:r>
        <w:t xml:space="preserve"> </w:t>
      </w:r>
      <w:r>
        <w:t xml:space="preserve">adapts its portions of its metabolic strategy in distinct susceptible environments despite certain highly conserved elements.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(54)</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5a).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(55)</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of previously unseen components made here. It is also important to note that these limitations, as well as the inherent complexity of infection in context of the gut microbiome, were motivations for employing multi-omic analysis that only when employed together were able to reveal a clearer image of</w:t>
      </w:r>
      <w:r>
        <w:t xml:space="preserve"> </w:t>
      </w:r>
      <w:r>
        <w:rPr>
          <w:i/>
        </w:rPr>
        <w:t xml:space="preserve">C. difficile</w:t>
      </w:r>
      <w:r>
        <w:t xml:space="preserve">'s metabolism during infection.</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This may be particularly true with competitors for proline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Metabolic modeling output also significantly correlated with changes in the metabolome associated with</w:t>
      </w:r>
      <w:r>
        <w:t xml:space="preserve"> </w:t>
      </w:r>
      <w:r>
        <w:rPr>
          <w:i/>
        </w:rPr>
        <w:t xml:space="preserve">C. difficile</w:t>
      </w:r>
      <w:r>
        <w:t xml:space="preserve"> </w:t>
      </w:r>
      <w:r>
        <w:t xml:space="preserve">colonization, establish validity as a platform from analysis of nutrient utilization and potential preference/hierarchy elucidation. This significant relationship is even more important because modeling analysis was based exclusively on genome annotation without prior knowledge of nutrient availabilities nor taking into account the metabolic activities of the surrounding microbes in each condition. In light of these findings our metabolic network platform combining genomics with transcriptomics, may also prove informative for generating hypotheses through reverse ecology that could ultimately lead to uncovering new interactions between many species in the gut community that ultimately impact host health</w:t>
      </w:r>
      <w:r>
        <w:t xml:space="preserve"> </w:t>
      </w:r>
      <w:r>
        <w:t xml:space="preserve">(57)</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(58)</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(59)</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(60)</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(61)</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(62)</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(62)</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(63)</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(64)</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(37)</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(65)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4a) favors metabolites that are more likely acquired from the environment (not produced within the network), and will award them a higher score (Fig. 5b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Benjamini-Hochberg correction. Dotted lines denote the limit of detection for both assays (10</w:t>
      </w:r>
      <w:r>
        <w:rPr>
          <w:vertAlign w:val="superscript"/>
        </w:rPr>
        <w:t xml:space="preserve">2</w:t>
      </w:r>
      <w:r>
        <w:t xml:space="preserve"> </w:t>
      </w:r>
      <w:r>
        <w:t xml:space="preserve">and 2.3 respectively), and undetectable points are shown just below the limit of detection for clarity.</w:t>
      </w:r>
    </w:p>
    <w:p>
      <w:pPr>
        <w:pStyle w:val="BodyText"/>
      </w:pPr>
      <w:r>
        <w:rPr>
          <w:b/>
        </w:rPr>
        <w:t xml:space="preserve">Figure 2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3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4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r>
        <w:t xml:space="preserve"> </w:t>
      </w:r>
      <w:r>
        <w:rPr>
          <w:b/>
        </w:rPr>
        <w:t xml:space="preserve">(C)</w:t>
      </w:r>
      <w:r>
        <w:t xml:space="preserve"> </w:t>
      </w:r>
      <w:r>
        <w:t xml:space="preserve">Example Mont-Carlo simulation results for a single metabolite. 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p>
    <w:p>
      <w:pPr>
        <w:pStyle w:val="BodyText"/>
      </w:pPr>
      <w:r>
        <w:rPr>
          <w:b/>
        </w:rPr>
        <w:t xml:space="preserve">Figure 5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between growth curves were calculated using 2-Way ANOVA with Benjamini-Hochberg correction.</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 algorithm.</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 Components of Salicin:</w:t>
      </w:r>
      <w:r>
        <w:t xml:space="preserve"> </w:t>
      </w:r>
      <w:r>
        <w:rPr>
          <w:b/>
        </w:rPr>
        <w:t xml:space="preserve">(C)</w:t>
      </w:r>
      <w:r>
        <w:t xml:space="preserve"> </w:t>
      </w:r>
      <w:r>
        <w:t xml:space="preserve">Salicylate and</w:t>
      </w:r>
      <w:r>
        <w:t xml:space="preserve"> </w:t>
      </w:r>
      <w:r>
        <w:rPr>
          <w:b/>
        </w:rPr>
        <w:t xml:space="preserve">(D)</w:t>
      </w:r>
      <w:r>
        <w:t xml:space="preserve"> </w:t>
      </w:r>
      <w:r>
        <w:t xml:space="preserve">Glucose,</w:t>
      </w:r>
      <w:r>
        <w:t xml:space="preserve"> </w:t>
      </w:r>
      <w:r>
        <w:rPr>
          <w:b/>
        </w:rPr>
        <w:t xml:space="preserve">(E)</w:t>
      </w:r>
      <w:r>
        <w:t xml:space="preserve"> </w:t>
      </w:r>
      <w:r>
        <w:t xml:space="preserve">Mannitol / Sorbitol, and</w:t>
      </w:r>
      <w:r>
        <w:t xml:space="preserve"> </w:t>
      </w:r>
      <w:r>
        <w:rPr>
          <w:b/>
        </w:rPr>
        <w:t xml:space="preserve">(F)</w:t>
      </w:r>
      <w:r>
        <w:t xml:space="preserve"> </w:t>
      </w:r>
      <w:r>
        <w:t xml:space="preserve">N−acetylneuraminate. N−acetylglucosamine + N−acetylgalactosamine and Mannitol + Sorbitol were measured in pairs as they only differ by chirality and cannot be differentiated through peaked-based analysis. Although only one relationship for glicyine was found to be significant, its concentration does decrease in all</w:t>
      </w:r>
      <w:r>
        <w:t xml:space="preserve"> </w:t>
      </w:r>
      <w:r>
        <w:rPr>
          <w:i/>
        </w:rPr>
        <w:t xml:space="preserve">C. difficile</w:t>
      </w:r>
      <w:r>
        <w:t xml:space="preserve"> </w:t>
      </w:r>
      <w:r>
        <w:t xml:space="preserve">infected conditions compared to mock-infection. Salicin was not a member of the untargeted panel employed in this study however the component molecules, Salicylate and Glucose.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7 | Correlation of change in metabolite concentration following</w:t>
      </w:r>
      <w:r>
        <w:rPr>
          <w:b/>
        </w:rPr>
        <w:t xml:space="preserve"> </w:t>
      </w:r>
      <w:r>
        <w:rPr>
          <w:i/>
          <w:b/>
        </w:rPr>
        <w:t xml:space="preserve">C. difficile</w:t>
      </w:r>
      <w:r>
        <w:rPr>
          <w:b/>
        </w:rPr>
        <w:t xml:space="preserve"> </w:t>
      </w:r>
      <w:r>
        <w:rPr>
          <w:b/>
        </w:rPr>
        <w:t xml:space="preserve">colonization and importance scores derived from transcript-informed metabolic modeling.</w:t>
      </w:r>
      <w:r>
        <w:t xml:space="preserve"> </w:t>
      </w:r>
      <w:r>
        <w:t xml:space="preserve">Spearman correlations for combined metabolome and metabolic model output in each condition with outlier metabolites identified through squared-residual analysis. (</w:t>
      </w:r>
      <w:r>
        <w:t xml:space="preserve"> </w:t>
      </w:r>
      <w:r>
        <w:t xml:space="preserve">) median scaled intensity was calculated by dividing the median log10-scaled intensity of each metabolite from GS-MS in mock-infected mice by its corresponding intensity in</w:t>
      </w:r>
      <w:r>
        <w:t xml:space="preserve"> </w:t>
      </w:r>
      <w:r>
        <w:rPr>
          <w:i/>
        </w:rPr>
        <w:t xml:space="preserve">C. difficile</w:t>
      </w:r>
      <w:r>
        <w:t xml:space="preserve">-infected mice (n = 9 per group). Larger values represent metabolites which decrease in concentration upon infection. These values are shown here relative to their calculated importance score in each condition separately using the algortihm outlined in Fig. 4B.</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Importance scores were first paired with their matching (</w:t>
      </w:r>
      <w:r>
        <w:t xml:space="preserve"> </w:t>
      </w:r>
      <w:r>
        <w:t xml:space="preserve">) median scaled intensity within each treatment group prior to combining datasets. Outliers are labelled by their KEGG metabolite family annotation and were defined as those points with a (</w:t>
      </w:r>
      <w:r>
        <w:t xml:space="preserve"> </w:t>
      </w:r>
      <w:r>
        <w:t xml:space="preserve">) median scaled intensity squared residual &gt;1.5 with the cutoff area labeled in gray. Correlations and outliers were recalculated for each component condition as follows:</w:t>
      </w:r>
      <w:r>
        <w:t xml:space="preserve"> </w:t>
      </w:r>
      <w:r>
        <w:rPr>
          <w:b/>
        </w:rPr>
        <w:t xml:space="preserve">(B)</w:t>
      </w:r>
      <w:r>
        <w:t xml:space="preserve"> </w:t>
      </w:r>
      <w:r>
        <w:t xml:space="preserve">Streptomycin pretreatment,</w:t>
      </w:r>
      <w:r>
        <w:t xml:space="preserve"> </w:t>
      </w:r>
      <w:r>
        <w:rPr>
          <w:b/>
        </w:rPr>
        <w:t xml:space="preserve">(C)</w:t>
      </w:r>
      <w:r>
        <w:t xml:space="preserve"> </w:t>
      </w:r>
      <w:r>
        <w:t xml:space="preserve">Cefoperazone pretreatment,</w:t>
      </w:r>
      <w:r>
        <w:t xml:space="preserve"> </w:t>
      </w:r>
      <w:r>
        <w:rPr>
          <w:b/>
        </w:rPr>
        <w:t xml:space="preserve">(D)</w:t>
      </w:r>
      <w:r>
        <w:t xml:space="preserve"> </w:t>
      </w:r>
      <w:r>
        <w:t xml:space="preserve">Clindamycin pretreatment (</w:t>
      </w:r>
      <w:r>
        <w:rPr>
          <w:i/>
        </w:rPr>
        <w:t xml:space="preserve">P</w:t>
      </w:r>
      <w:r>
        <w:t xml:space="preserve"> </w:t>
      </w:r>
      <w:r>
        <w:t xml:space="preserve">&lt; 0.05),</w:t>
      </w:r>
      <w:r>
        <w:t xml:space="preserve"> </w:t>
      </w:r>
      <w:r>
        <w:rPr>
          <w:b/>
        </w:rPr>
        <w:t xml:space="preserve">(E)</w:t>
      </w:r>
      <w:r>
        <w:t xml:space="preserve"> </w:t>
      </w:r>
      <w:r>
        <w:t xml:space="preserve">and Gnotobiotic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No infected condition had &gt;3.6% of the bacterial reads sequenced annotate as</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 All mock-infected conditions had &lt;0.042% of reads annotating as</w:t>
      </w:r>
      <w:r>
        <w:t xml:space="preserve"> </w:t>
      </w:r>
      <w:r>
        <w:rPr>
          <w:i/>
        </w:rPr>
        <w:t xml:space="preserve">C. difficile</w:t>
      </w:r>
      <w:r>
        <w:t xml:space="preserve">, which has within the acceptable margin of error for our data curation pipeline. It should also be noted that mock-infected groups were culture (Fig. 1) and PCR negative (data not shown) for</w:t>
      </w:r>
      <w:r>
        <w:t xml:space="preserve"> </w:t>
      </w:r>
      <w:r>
        <w:rPr>
          <w:i/>
        </w:rPr>
        <w:t xml:space="preserve">C. difficile</w:t>
      </w:r>
      <w:r>
        <w:t xml:space="preserve"> </w:t>
      </w:r>
      <w:r>
        <w:t xml:space="preserve">str. 630.</w:t>
      </w:r>
    </w:p>
    <w:p>
      <w:pPr>
        <w:pStyle w:val="BodyText"/>
      </w:pPr>
      <w:r>
        <w:rPr>
          <w:b/>
        </w:rPr>
        <w:t xml:space="preserve">Supplementary Figure 3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consistant measurements in multiple levels of data, and further support our approach to pooled transcriptomic sequncing.</w:t>
      </w:r>
      <w:r>
        <w:t xml:space="preserve"> </w:t>
      </w:r>
      <w:r>
        <w:rPr>
          <w:b/>
        </w:rPr>
        <w:t xml:space="preserve">(A)</w:t>
      </w:r>
      <w:r>
        <w:t xml:space="preserve"> </w:t>
      </w:r>
      <w:r>
        <w:t xml:space="preserve">OTU abundances from 16S rRNA gene sequencing, sample variances for each OTU were calculated individually prior to sumary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for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30.</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31.</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32.</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35.</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36.</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38.</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39.</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40.</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41.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43.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44.</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45.</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46.</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47.</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48.</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49.</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50.</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51.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52.</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53.</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54.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55.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56.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57.</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58.</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59.</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60.</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61.</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62.</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63.</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64.</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65.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66.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e9976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2017-03-11T16:23:21Z</dcterms:created>
  <dcterms:modified xsi:type="dcterms:W3CDTF">2017-03-11T16:23:21Z</dcterms:modified>
</cp:coreProperties>
</file>