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major risk factor for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susceptibility to CDI, many leading to distinct bacterial communities stemming from variation of bacterial targets. These gut environments present separate metabolic challenges to</w:t>
      </w:r>
      <w:r>
        <w:t xml:space="preserve"> </w:t>
      </w:r>
      <w:r>
        <w:rPr>
          <w:i/>
        </w:rPr>
        <w:t xml:space="preserve">C. difficile</w:t>
      </w:r>
      <w:r>
        <w:t xml:space="preserve">, and we hypothesized that</w:t>
      </w:r>
      <w:r>
        <w:t xml:space="preserve"> </w:t>
      </w:r>
      <w:r>
        <w:rPr>
          <w:i/>
        </w:rPr>
        <w:t xml:space="preserve">C. difficile</w:t>
      </w:r>
      <w:r>
        <w:t xml:space="preserve"> </w:t>
      </w:r>
      <w:r>
        <w:t xml:space="preserve">adapts its physiology to available nutrients within differentially susceptible hosts.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receiving one of three unique antibiotic class pretreatments. We found levels of spores and toxin activity varied between groups,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hetergeneous expression of numerous catabolic pathways for diverse growth substrates. To assess which resources</w:t>
      </w:r>
      <w:r>
        <w:t xml:space="preserve"> </w:t>
      </w:r>
      <w:r>
        <w:rPr>
          <w:i/>
        </w:rPr>
        <w:t xml:space="preserve">C. difficile</w:t>
      </w:r>
      <w:r>
        <w:t xml:space="preserve"> </w:t>
      </w:r>
      <w:r>
        <w:t xml:space="preserve">was exploiting, we developed a genome-scale metabolic model of</w:t>
      </w:r>
      <w:r>
        <w:t xml:space="preserve"> </w:t>
      </w:r>
      <w:r>
        <w:rPr>
          <w:i/>
        </w:rPr>
        <w:t xml:space="preserve">C. difficile</w:t>
      </w:r>
      <w:r>
        <w:t xml:space="preserve"> </w:t>
      </w:r>
      <w:r>
        <w:t xml:space="preserve">and a transcriptomic-enabled metabolite scoring algorithm that leveraged network architecture. With this platform, we identified nutrients that</w:t>
      </w:r>
      <w:r>
        <w:t xml:space="preserve"> </w:t>
      </w:r>
      <w:r>
        <w:rPr>
          <w:i/>
        </w:rPr>
        <w:t xml:space="preserve">C. difficile</w:t>
      </w:r>
      <w:r>
        <w:t xml:space="preserve"> </w:t>
      </w:r>
      <w:r>
        <w:t xml:space="preserve">used asymmetrically between infection models. These findings were validated through untargeted mass spectrometry of each condition. Our results supported the hypothesis that</w:t>
      </w:r>
      <w:r>
        <w:t xml:space="preserve"> </w:t>
      </w:r>
      <w:r>
        <w:rPr>
          <w:i/>
        </w:rPr>
        <w:t xml:space="preserve">C. difficile</w:t>
      </w:r>
      <w:r>
        <w:t xml:space="preserve"> </w:t>
      </w:r>
      <w:r>
        <w:t xml:space="preserve">inhabits alternative nutrient niches across different gut microbiomes with increased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pathogen. Susceptibility to</w:t>
      </w:r>
      <w:r>
        <w:t xml:space="preserve"> </w:t>
      </w:r>
      <w:r>
        <w:rPr>
          <w:i/>
        </w:rPr>
        <w:t xml:space="preserve">C. difficile</w:t>
      </w:r>
      <w:r>
        <w:t xml:space="preserve"> </w:t>
      </w:r>
      <w:r>
        <w:t xml:space="preserve">infection is strongly associated with previous antibiotic treatment, that disrupts the gut microbiota and reduces its ability to prevent colonization. In this study we demonstrate that not only does</w:t>
      </w:r>
      <w:r>
        <w:t xml:space="preserve"> </w:t>
      </w:r>
      <w:r>
        <w:rPr>
          <w:i/>
        </w:rPr>
        <w:t xml:space="preserve">C. difficile</w:t>
      </w:r>
      <w:r>
        <w:t xml:space="preserve"> </w:t>
      </w:r>
      <w:r>
        <w:t xml:space="preserve">alter pathogenesis between hosts pretreated with separate classes of antibiotics, but also exploits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development of CDI</w:t>
      </w:r>
      <w:r>
        <w:t xml:space="preserve"> </w:t>
      </w:r>
      <w:r>
        <w:t xml:space="preserve">(3)</w:t>
      </w:r>
      <w:r>
        <w:t xml:space="preserve">. Antibiotics likely increase susceptibility to CDI by disrupting the gut microbiota</w:t>
      </w:r>
      <w:r>
        <w:t xml:space="preserve"> </w:t>
      </w:r>
      <w:r>
        <w:t xml:space="preserve">(4)</w:t>
      </w:r>
      <w:r>
        <w:t xml:space="preserve">. In mouse models, multiple antibiotics induce susceptibility</w:t>
      </w:r>
      <w:r>
        <w:t xml:space="preserve"> </w:t>
      </w:r>
      <w:r>
        <w:rPr>
          <w:i/>
        </w:rPr>
        <w:t xml:space="preserve">C. difficile</w:t>
      </w:r>
      <w:r>
        <w:t xml:space="preserve"> </w:t>
      </w:r>
      <w:r>
        <w:t xml:space="preserve">colonization</w:t>
      </w:r>
      <w:r>
        <w:t xml:space="preserve"> </w:t>
      </w:r>
      <w:r>
        <w:t xml:space="preserve">(5–7)</w:t>
      </w:r>
      <w:r>
        <w:t xml:space="preserve">. Notably, despite the similar levels of colonization,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colonizing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 cells between any susceptible condition tested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production of</w:t>
      </w:r>
      <w:r>
        <w:t xml:space="preserve"> </w:t>
      </w:r>
      <w:r>
        <w:rPr>
          <w:i/>
        </w:rPr>
        <w:t xml:space="preserve">C. difficile</w:t>
      </w:r>
      <w:r>
        <w:t xml:space="preserve"> </w:t>
      </w:r>
      <w:r>
        <w:t xml:space="preserve">virulence factors.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the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competition. In this condition, N-acetylneuraminate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supported by drops in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~1,600,000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 Campylobacter jejuni 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839d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2017-04-14T13:39:25Z</dcterms:created>
  <dcterms:modified xsi:type="dcterms:W3CDTF">2017-04-14T13:39:25Z</dcterms:modified>
</cp:coreProperties>
</file>