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In order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Additionally, these data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pathogens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Concordantly,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Additionally,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in order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Fidelity was also the reason that microarray-based gene expression analysis was not a viable alternative as the amount of background orthologous transcription from other bacterial species would contribute greatly to background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x amount of differentially expressed genes</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Despite the lack of initial signal, many global metabolic controls were differentially expressed between conditions (Fig. S3D) indicating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Along similar lines with related molecules, a number of genes for processing certain monosaccharides through glycolysis, as well as catabolism of the polysaccharides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Additionally, alpha/beta-galactosidase genes were also overrepresented in clindamycin-treated mice. Together these patterns suggested that polysaccharide fermentation occurred this condition. The Glycolysis-associated category includes genes for not only the steps of glycolysis, but also several genes that mediate entry points of monosaccharides to glycolysis.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validate that our model of</w:t>
      </w:r>
      <w:r>
        <w:t xml:space="preserve"> </w:t>
      </w:r>
      <w:r>
        <w:rPr>
          <w:i/>
        </w:rPr>
        <w:t xml:space="preserve">C. difficile</w:t>
      </w:r>
      <w:r>
        <w:t xml:space="preserve"> </w:t>
      </w:r>
      <w:r>
        <w:t xml:space="preserve">str. 630 as a platform for studying metabolism of this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Interestingly,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comsumes metabolites indicated by metabolic modeling.</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Additionally we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Interestingly,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decreases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novel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ex-GF mice (Fig. 6E)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presumeably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consistenly decreased when groups of bacteria with the capacity to cleave it from mucus were either diminished or absent entirely</w:t>
      </w:r>
      <w:r>
        <w:t xml:space="preserve"> </w:t>
      </w:r>
      <w:r>
        <w:t xml:space="preserve">(42)</w:t>
      </w:r>
      <w:r>
        <w:t xml:space="preserve">. Moreover,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competative for these desireable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fermentation,in order to evaluate how necessary proline is for growth</w:t>
      </w:r>
      <w:r>
        <w:t xml:space="preserve"> </w:t>
      </w:r>
      <w:r>
        <w:t xml:space="preserve">(43)</w:t>
      </w:r>
      <w:r>
        <w:t xml:space="preserve">. However,</w:t>
      </w:r>
      <w:r>
        <w:t xml:space="preserve"> </w:t>
      </w:r>
      <w:r>
        <w:rPr>
          <w:i/>
        </w:rPr>
        <w:t xml:space="preserve">C. difficile</w:t>
      </w:r>
      <w:r>
        <w:t xml:space="preserve"> </w:t>
      </w:r>
      <w:r>
        <w:t xml:space="preserve">was able to grow without defect. This was due to the hydroxyproline, a non-proteinogenic amino acid, can replace proline in Stickland fermentation and circumvents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rarified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avaerage transcription of reactions consuming a metabolite, (II) avaerage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3a93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2017-03-15T18:28:19Z</dcterms:created>
  <dcterms:modified xsi:type="dcterms:W3CDTF">2017-03-15T18:28:19Z</dcterms:modified>
</cp:coreProperties>
</file>