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A compromised gut microbiota, typically through recent antibiotic exposure, is a prerequisite feature of</w:t>
      </w:r>
      <w:r>
        <w:t xml:space="preserve"> </w:t>
      </w:r>
      <w:r>
        <w:rPr>
          <w:i/>
        </w:rPr>
        <w:t xml:space="preserve">C. difficile</w:t>
      </w:r>
      <w:r>
        <w:t xml:space="preserve"> </w:t>
      </w:r>
      <w:r>
        <w:t xml:space="preserve">colonization susceptibility. This has been described for multiple antibiotic classes in which many result in distinct gut communities, each presenting individual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must adapt its physiology to nutrients availability within the gut.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that received one of three antibiotic pretreatments. We found levels of spore and toxin production varied between each antibiotic treatment group, and both processes are known to be regulated by specific nutrient concentrations. To more closely investigate specific responses of</w:t>
      </w:r>
      <w:r>
        <w:t xml:space="preserve"> </w:t>
      </w:r>
      <w:r>
        <w:rPr>
          <w:i/>
        </w:rPr>
        <w:t xml:space="preserve">C. difficile</w:t>
      </w:r>
      <w:r>
        <w:t xml:space="preserve"> </w:t>
      </w:r>
      <w:r>
        <w:t xml:space="preserve">during infection, we performed transcriptional analysis of</w:t>
      </w:r>
      <w:r>
        <w:t xml:space="preserve"> </w:t>
      </w:r>
      <w:r>
        <w:rPr>
          <w:i/>
        </w:rPr>
        <w:t xml:space="preserve">C. difficile</w:t>
      </w:r>
      <w:r>
        <w:t xml:space="preserve"> </w:t>
      </w:r>
      <w:r>
        <w:t xml:space="preserve">from cecal content of infected mice. This revealed variation in expression of life-cycle switches and catabolic pathways for a variety of carbon sources. In order to assess which substrates</w:t>
      </w:r>
      <w:r>
        <w:t xml:space="preserve"> </w:t>
      </w:r>
      <w:r>
        <w:rPr>
          <w:i/>
        </w:rPr>
        <w:t xml:space="preserve">C. difficile</w:t>
      </w:r>
      <w:r>
        <w:t xml:space="preserve"> </w:t>
      </w:r>
      <w:r>
        <w:t xml:space="preserve">was exploiting, we further characterized the systems with transcriptomic-enabled genome-scale metabolic modeling and untargeted metabolomic analysis. Through the development of a novel metabolite scoring algorithm, leveraging a genome-scale metabolic network architecture, we were able to infer that a given metabolite was acquired from the environment. Output from these models was then validated through comparison with untargeted metabolomic analysis of all infection conditions, which significantly correlated with those metabolites predicted to be important to</w:t>
      </w:r>
      <w:r>
        <w:t xml:space="preserve"> </w:t>
      </w:r>
      <w:r>
        <w:rPr>
          <w:i/>
        </w:rPr>
        <w:t xml:space="preserve">C. difficile</w:t>
      </w:r>
      <w:r>
        <w:t xml:space="preserve"> </w:t>
      </w:r>
      <w:r>
        <w:t xml:space="preserve">in each infection. Our results highlight conserved elements of</w:t>
      </w:r>
      <w:r>
        <w:t xml:space="preserve"> </w:t>
      </w:r>
      <w:r>
        <w:rPr>
          <w:i/>
        </w:rPr>
        <w:t xml:space="preserve">C. difficile</w:t>
      </w:r>
      <w:r>
        <w:t xml:space="preserve">'s metabolic strategy across infections, including the consumption of N-acetyl-D-glucosamine and Stickland fermentation substrates. Additionally, these data support the hypothesis that</w:t>
      </w:r>
      <w:r>
        <w:t xml:space="preserve"> </w:t>
      </w:r>
      <w:r>
        <w:rPr>
          <w:i/>
        </w:rPr>
        <w:t xml:space="preserve">C. difficile</w:t>
      </w:r>
      <w:r>
        <w:t xml:space="preserve"> </w:t>
      </w:r>
      <w:r>
        <w:t xml:space="preserve">indeed occupies alternative nutrient niches by metabolizing separate carbohydrate sources in each infection and these distinctions track with disparity seen in pathogenicity.</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hosts and ultimately cause disease. This work also provides evidence that</w:t>
      </w:r>
      <w:r>
        <w:t xml:space="preserve"> </w:t>
      </w:r>
      <w:r>
        <w:rPr>
          <w:i/>
        </w:rPr>
        <w:t xml:space="preserve">C. difficile</w:t>
      </w:r>
      <w:r>
        <w:t xml:space="preserve"> </w:t>
      </w:r>
      <w:r>
        <w:t xml:space="preserve">virulence may be driven by accessibility of specific carbohydrates utilized for growth during each infection. This work has implications for elucidating drivers of</w:t>
      </w:r>
      <w:r>
        <w:t xml:space="preserve"> </w:t>
      </w:r>
      <w:r>
        <w:rPr>
          <w:i/>
        </w:rPr>
        <w:t xml:space="preserve">C. difficile</w:t>
      </w:r>
      <w:r>
        <w:t xml:space="preserve"> </w:t>
      </w:r>
      <w:r>
        <w:t xml:space="preserve">pathogenesis and uncover specifics colonization resistance. This could lead to the discovery of targeted measures to prevent</w:t>
      </w:r>
      <w:r>
        <w:t xml:space="preserve"> </w:t>
      </w:r>
      <w:r>
        <w:rPr>
          <w:i/>
        </w:rPr>
        <w:t xml:space="preserve">C. difficile</w:t>
      </w:r>
      <w:r>
        <w:t xml:space="preserve"> </w:t>
      </w:r>
      <w:r>
        <w:t xml:space="preserve">colonization including potential pre- or probiotic therapies. Furthermore, the metabolite importance calculation workflow described here could provide a useful platform to enable the study of nutrient requirements of pathogen in the context of infection or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It has been shown that antibiotic therapy alters the structure and function of the gut microbiota making it susceptible to colonization by</w:t>
      </w:r>
      <w:r>
        <w:t xml:space="preserve"> </w:t>
      </w:r>
      <w:r>
        <w:rPr>
          <w:i/>
        </w:rPr>
        <w:t xml:space="preserve">C. difficile</w:t>
      </w:r>
      <w:r>
        <w:t xml:space="preserve"> </w:t>
      </w:r>
      <w: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t xml:space="preserve"> </w:t>
      </w:r>
      <w: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which have been shown to result in susceptibility</w:t>
      </w:r>
      <w:r>
        <w:t xml:space="preserve"> </w:t>
      </w:r>
      <w:r>
        <w:rPr>
          <w:i/>
        </w:rPr>
        <w:t xml:space="preserve">C. difficile</w:t>
      </w:r>
      <w:r>
        <w:t xml:space="preserve"> </w:t>
      </w:r>
      <w:r>
        <w:t xml:space="preserve">colonization</w:t>
      </w:r>
      <w:r>
        <w:t xml:space="preserve"> </w:t>
      </w:r>
      <w:r>
        <w:t xml:space="preserve">(6–8)</w:t>
      </w:r>
      <w:r>
        <w:t xml:space="preserve">. In this case, the antibiotics chosen significantly impact the structure and diversity of the cecal microbiome (Fig. S1a &amp; S1b). It has been further demonstrated that at 18 hours after being introduced to a cefoperazone treated mouse,</w:t>
      </w:r>
      <w:r>
        <w:t xml:space="preserve"> </w:t>
      </w:r>
      <w:r>
        <w:rPr>
          <w:i/>
        </w:rPr>
        <w:t xml:space="preserve">C. difficile</w:t>
      </w:r>
      <w:r>
        <w:t xml:space="preserve"> </w:t>
      </w:r>
      <w:r>
        <w:t xml:space="preserve">reached its maximum vegetative cell density in the cecum</w:t>
      </w:r>
      <w:r>
        <w:t xml:space="preserve"> </w:t>
      </w:r>
      <w:r>
        <w:t xml:space="preserve">(9)</w:t>
      </w:r>
      <w:r>
        <w:t xml:space="preserve">. This provided a single timepoint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t xml:space="preserve"> </w:t>
      </w:r>
      <w:r>
        <w:t xml:space="preserve">(7, 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(13, 14)</w:t>
      </w:r>
      <w:r>
        <w:t xml:space="preserv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 and sporulation</w:t>
      </w:r>
      <w:r>
        <w:t xml:space="preserve"> </w:t>
      </w:r>
      <w:r>
        <w:t xml:space="preserve">(18, 19)</w:t>
      </w:r>
      <w:r>
        <w:t xml:space="preserve">. These genes are regulated by DNA-binding sigma factors, such as the pleiotropic regulator</w:t>
      </w:r>
      <w:r>
        <w:t xml:space="preserve"> </w:t>
      </w:r>
      <w:r>
        <w:rPr>
          <w:i/>
        </w:rPr>
        <w:t xml:space="preserve">ccpA</w:t>
      </w:r>
      <w:r>
        <w:t xml:space="preserve">, which are under the control of environmental nutrient concentrations, especially carbohydrates</w:t>
      </w:r>
      <w:r>
        <w:t xml:space="preserve"> </w:t>
      </w:r>
      <w:r>
        <w:t xml:space="preserve">(20, 21)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t xml:space="preserve"> </w:t>
      </w:r>
      <w:r>
        <w:t xml:space="preserve">(22, 23)</w:t>
      </w:r>
      <w:r>
        <w:t xml:space="preserve">, with some work characterizing transcription during colonization of germfree mice</w:t>
      </w:r>
      <w:r>
        <w:t xml:space="preserve"> </w:t>
      </w:r>
      <w:r>
        <w:t xml:space="preserve">(24, 25)</w:t>
      </w:r>
      <w:r>
        <w:t xml:space="preserve">. More relevant to nutrient acquisition,</w:t>
      </w:r>
      <w:r>
        <w:t xml:space="preserve"> </w:t>
      </w:r>
      <w:r>
        <w:rPr>
          <w:i/>
        </w:rPr>
        <w:t xml:space="preserve">C. difficile</w:t>
      </w:r>
      <w:r>
        <w:t xml:space="preserve"> </w:t>
      </w:r>
      <w:r>
        <w:t xml:space="preserve">up-regulated several phosphotransferase systems (PTS) and ABC transporters in gnotobiotic mice, alluding to metabolic adaptation to nutrient availability</w:t>
      </w:r>
      <w:r>
        <w:t xml:space="preserve"> </w:t>
      </w:r>
      <w:r>
        <w:rPr>
          <w:i/>
        </w:rPr>
        <w:t xml:space="preserve">in vivo</w:t>
      </w:r>
      <w:r>
        <w:t xml:space="preserve"> </w:t>
      </w:r>
      <w: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t xml:space="preserve"> </w:t>
      </w:r>
      <w:r>
        <w:t xml:space="preserve">(7, 12)</w:t>
      </w:r>
      <w:r>
        <w:t xml:space="preserve">; however, these methods cannot focus on</w:t>
      </w:r>
      <w:r>
        <w:t xml:space="preserve"> </w:t>
      </w:r>
      <w:r>
        <w:rPr>
          <w:i/>
        </w:rPr>
        <w:t xml:space="preserve">C. difficile</w:t>
      </w:r>
      <w:r>
        <w:t xml:space="preserve">-specific metabolites and more closely resemble echoes of metabolism, not currently active processes.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t xml:space="preserve"> </w:t>
      </w:r>
      <w:r>
        <w:t xml:space="preserve">(26–28)</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cefoperazone, and clindamycin (Table 1; Fig. S1). These antibiotics differentially affect the structure of the gut microbiota</w:t>
      </w:r>
      <w:r>
        <w:t xml:space="preserve"> </w:t>
      </w:r>
      <w:r>
        <w:t xml:space="preserve">(8)</w:t>
      </w:r>
      <w:r>
        <w:t xml:space="preserve">. Each has also been shown to alter the gut metabolome relative to untreated animals</w:t>
      </w:r>
      <w:r>
        <w:t xml:space="preserve"> </w:t>
      </w:r>
      <w:r>
        <w:t xml:space="preserve">(7, 10, 12)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Due to technical restrictions at each level of analysis, we employed a multi-omic analysis in order to accurately capture the underlying biological patterns. In each of the three antibiotic conditions we challenged with</w:t>
      </w:r>
      <w:r>
        <w:t xml:space="preserve"> </w:t>
      </w:r>
      <w:r>
        <w:rPr>
          <w:i/>
        </w:rPr>
        <w:t xml:space="preserve">C. difficile</w:t>
      </w:r>
      <w:r>
        <w:t xml:space="preserve">, as well as in monoassociated germfree mice, we observed that</w:t>
      </w:r>
      <w:r>
        <w:t xml:space="preserve"> </w:t>
      </w:r>
      <w:r>
        <w:rPr>
          <w:i/>
        </w:rPr>
        <w:t xml:space="preserve">C. difficile</w:t>
      </w:r>
      <w:r>
        <w:t xml:space="preserve"> </w:t>
      </w:r>
      <w:r>
        <w:t xml:space="preserve">adapted its nutrient utilization profile to colonize to high levels and express its virulence factors. Differences in resource consumption were also strongly supported by untargeted metabolomic analysis. Out data suggest that</w:t>
      </w:r>
      <w:r>
        <w:t xml:space="preserve"> </w:t>
      </w:r>
      <w:r>
        <w:rPr>
          <w:i/>
        </w:rPr>
        <w:t xml:space="preserve">C. difficile</w:t>
      </w:r>
      <w:r>
        <w:t xml:space="preserve"> </w:t>
      </w:r>
      <w:r>
        <w:t xml:space="preserve">is indeed capable of adapting components of it's nutrient niche to the environment it has colonized, while maintaining at least some focus on catabolism of amino acids and host-derived aminoglycans in each infected condition.</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germfree mice.</w:t>
      </w:r>
      <w:r>
        <w:t xml:space="preserve"> </w:t>
      </w: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1A).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ex-GF mice than in the antibiotic treated mice (Fig. 1B).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0.001), but toxin titer also varied between antibiotic treatment groups (Fig. 1C).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As</w:t>
      </w:r>
      <w:r>
        <w:t xml:space="preserve"> </w:t>
      </w:r>
      <w:r>
        <w:rPr>
          <w:i/>
        </w:rPr>
        <w:t xml:space="preserve">C. difficile</w:t>
      </w:r>
      <w:r>
        <w:t xml:space="preserve"> </w:t>
      </w:r>
      <w:r>
        <w:t xml:space="preserve">represents &lt;3.3% of the bacterial load in the cecum of any antibiotic-treated SPF mouse (Fig. S2C), and with rRNA depletion also eliminating &gt;90% of each raw RNA isolation</w:t>
      </w:r>
      <w:r>
        <w:t xml:space="preserve"> </w:t>
      </w:r>
      <w:r>
        <w:t xml:space="preserve">(29)</w:t>
      </w:r>
      <w:r>
        <w:t xml:space="preserve">, it was necessary to pool samples within each treatment group. Moreover, this also required a high degree of sequencing depth per sample in order to yield sufficient quantities of reads that mapped to</w:t>
      </w:r>
      <w:r>
        <w:t xml:space="preserve"> </w:t>
      </w:r>
      <w:r>
        <w:rPr>
          <w:i/>
        </w:rPr>
        <w:t xml:space="preserve">C. difficile</w:t>
      </w:r>
      <w:r>
        <w:t xml:space="preserve"> </w:t>
      </w:r>
      <w:r>
        <w:t xml:space="preserve">str. 630 (4019 genes and putative ORFs; KEGG 2016) with 100% fidelity. Approximately 300 million raw paired-end reads were sequenced per pooled sample, with an average of ~167 thousand reads attributed to</w:t>
      </w:r>
      <w:r>
        <w:t xml:space="preserve"> </w:t>
      </w:r>
      <w:r>
        <w:rPr>
          <w:i/>
        </w:rPr>
        <w:t xml:space="preserve">C. dificile</w:t>
      </w:r>
      <w:r>
        <w:t xml:space="preserve"> </w:t>
      </w:r>
      <w:r>
        <w:t xml:space="preserve">following all curation steps (outlined in Methods). This corresponded to an average of ~42x coverage across the</w:t>
      </w:r>
      <w:r>
        <w:t xml:space="preserve"> </w:t>
      </w:r>
      <w:r>
        <w:rPr>
          <w:i/>
        </w:rPr>
        <w:t xml:space="preserve">C. difficile</w:t>
      </w:r>
      <w:r>
        <w:t xml:space="preserve"> </w:t>
      </w:r>
      <w:r>
        <w:t xml:space="preserve">str. 630 reference genome used. While this value may be low compared to some transcriptional studies of</w:t>
      </w:r>
      <w:r>
        <w:t xml:space="preserve"> </w:t>
      </w:r>
      <w:r>
        <w:rPr>
          <w:i/>
        </w:rPr>
        <w:t xml:space="preserve">in vitro</w:t>
      </w:r>
      <w:r>
        <w:t xml:space="preserve"> </w:t>
      </w:r>
      <w:r>
        <w:t xml:space="preserve">bacterial monoculture or</w:t>
      </w:r>
      <w:r>
        <w:t xml:space="preserve"> </w:t>
      </w:r>
      <w:r>
        <w:rPr>
          <w:i/>
        </w:rPr>
        <w:t xml:space="preserve">in vivo</w:t>
      </w:r>
      <w:r>
        <w:t xml:space="preserve"> </w:t>
      </w:r>
      <w:r>
        <w:t xml:space="preserve">gnotobiotic monoassociation</w:t>
      </w:r>
      <w:r>
        <w:t xml:space="preserve"> </w:t>
      </w:r>
      <w:r>
        <w:t xml:space="preserve">(20, 24)</w:t>
      </w:r>
      <w:r>
        <w:t xml:space="preserve">, it is not feasible to reach higher coverage in the context of a diverse bacterial community. These factors made the read abundances for</w:t>
      </w:r>
      <w:r>
        <w:t xml:space="preserve"> </w:t>
      </w:r>
      <w:r>
        <w:rPr>
          <w:i/>
        </w:rPr>
        <w:t xml:space="preserve">C. difficile</w:t>
      </w:r>
      <w:r>
        <w:t xml:space="preserve"> </w:t>
      </w:r>
      <w:r>
        <w:t xml:space="preserve">reported here were unavoidable, however these levels have been shown to be largely acceptable for our type of analysis due to the focus on large-scale differences in specific annotated genes</w:t>
      </w:r>
      <w:r>
        <w:t xml:space="preserve"> </w:t>
      </w:r>
      <w:r>
        <w:t xml:space="preserve">(30)</w:t>
      </w:r>
      <w:r>
        <w:t xml:space="preserve">. Furthermore, microarray-based gene expression analysis was also not a viable alternative as the amount of background transcription from other bacterial species would contribute greatly to background non-specific binding of orthologous transcript and eliminate any true</w:t>
      </w:r>
      <w:r>
        <w:t xml:space="preserve"> </w:t>
      </w:r>
      <w:r>
        <w:rPr>
          <w:i/>
        </w:rPr>
        <w:t xml:space="preserve">C. difficile</w:t>
      </w:r>
      <w:r>
        <w:t xml:space="preserve"> </w:t>
      </w:r>
      <w:r>
        <w:t xml:space="preserve">signal.</w:t>
      </w:r>
    </w:p>
    <w:p>
      <w:pPr>
        <w:pStyle w:val="BodyText"/>
      </w:pPr>
      <w:r>
        <w:t xml:space="preserve">We initially focused our analysis to focus on genes that control or code for functions that have been linked to nutrient concentrations in the intestines during CDI. After observing differences in spore load, we first examined transcription of the most highly expressed genes in the</w:t>
      </w:r>
      <w:r>
        <w:t xml:space="preserve"> </w:t>
      </w:r>
      <w:r>
        <w:rPr>
          <w:i/>
        </w:rPr>
        <w:t xml:space="preserve">C. difficile</w:t>
      </w:r>
      <w:r>
        <w:t xml:space="preserve"> </w:t>
      </w:r>
      <w:r>
        <w:t xml:space="preserve">sporulation pathway</w:t>
      </w:r>
      <w:r>
        <w:t xml:space="preserve"> </w:t>
      </w:r>
      <w:r>
        <w:t xml:space="preserve">(31–34)</w:t>
      </w:r>
      <w:r>
        <w:t xml:space="preserve"> </w:t>
      </w:r>
      <w:r>
        <w:t xml:space="preserve">(Fig. 2A). Across the four conditions where</w:t>
      </w:r>
      <w:r>
        <w:t xml:space="preserve"> </w:t>
      </w:r>
      <w:r>
        <w:rPr>
          <w:i/>
        </w:rPr>
        <w:t xml:space="preserve">C. difficile</w:t>
      </w:r>
      <w:r>
        <w:t xml:space="preserve"> </w:t>
      </w:r>
      <w:r>
        <w:t xml:space="preserve">colonized, we observed transcriptional profiles consistent with observed spore levels (Fig. 1B). The mice treated with cefoperazone had the lowest spore density and had the highest level of expression for the anti-sigma factor</w:t>
      </w:r>
      <w:r>
        <w:t xml:space="preserve"> </w:t>
      </w:r>
      <w:r>
        <w:rPr>
          <w:i/>
        </w:rPr>
        <w:t xml:space="preserve">spoVG</w:t>
      </w:r>
      <w:r>
        <w:t xml:space="preserve">. The products of these genes are involved in suppressing expression of genes found later in the sporulation pathway</w:t>
      </w:r>
      <w:r>
        <w:t xml:space="preserve"> </w:t>
      </w:r>
      <w:r>
        <w:t xml:space="preserve">(35)</w:t>
      </w:r>
      <w:r>
        <w:t xml:space="preserve">. Streptomycin-treated mice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in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w:t>
      </w:r>
      <w:r>
        <w:t xml:space="preserve"> </w:t>
      </w:r>
      <w:r>
        <w:rPr>
          <w:i/>
        </w:rPr>
        <w:t xml:space="preserve">spoVS</w:t>
      </w:r>
      <w:r>
        <w:t xml:space="preserve">,and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expressed genes associated with sporulation that corresponded to the presence of spores in the cecum.</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 in several strains</w:t>
      </w:r>
      <w:r>
        <w:t xml:space="preserve"> </w:t>
      </w:r>
      <w:r>
        <w:t xml:space="preserve">(36, 37)</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2B) and quorum sensing (Fig. 2C); however, these transcripts were not found in the GF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 and that enzyme activity does not necessarily reflect the concentrations of transcript nor effector protein available in the cell.</w:t>
      </w:r>
    </w:p>
    <w:p>
      <w:pPr>
        <w:pStyle w:val="BodyText"/>
      </w:pPr>
      <w:r>
        <w:t xml:space="preserve">Moving upstream, we next focused on the regulators of metabolic pathways. Specific sigma factors are master regulators and a subset have been shown to integrate signals from intra- and extracellular nutrient concentrations</w:t>
      </w:r>
      <w:r>
        <w:t xml:space="preserve"> </w:t>
      </w:r>
      <w:r>
        <w:t xml:space="preserve">(20, 21, 33, 38)</w:t>
      </w:r>
      <w:r>
        <w:t xml:space="preserve">. The transcription of the global repressor</w:t>
      </w:r>
      <w:r>
        <w:t xml:space="preserve"> </w:t>
      </w:r>
      <w:r>
        <w:rPr>
          <w:i/>
        </w:rPr>
        <w:t xml:space="preserve">codY</w:t>
      </w:r>
      <w:r>
        <w:t xml:space="preserve"> </w:t>
      </w:r>
      <w:r>
        <w:t xml:space="preserve">is responsive to intracellular concentrations of</w:t>
      </w:r>
      <w:r>
        <w:t xml:space="preserve"> </w:t>
      </w:r>
      <w:r>
        <w:rPr>
          <w:i/>
        </w:rPr>
        <w:t xml:space="preserve">C. difficile</w:t>
      </w:r>
      <w:r>
        <w:t xml:space="preserve"> </w:t>
      </w:r>
      <w:r>
        <w:t xml:space="preserve">energy sources</w:t>
      </w:r>
      <w:r>
        <w:t xml:space="preserve"> </w:t>
      </w:r>
      <w:r>
        <w:t xml:space="preserve">(39)</w:t>
      </w:r>
      <w:r>
        <w:t xml:space="preserve">. Highest transcription for this gene was found in cefoperazone-treated and GF mice (Fig. 2D). The regulation networks of CodY and CcpA are highly interconnected, with the expression of</w:t>
      </w:r>
      <w:r>
        <w:t xml:space="preserve"> </w:t>
      </w:r>
      <w:r>
        <w:rPr>
          <w:i/>
        </w:rPr>
        <w:t xml:space="preserve">ccpA</w:t>
      </w:r>
      <w:r>
        <w:t xml:space="preserve"> </w:t>
      </w:r>
      <w:r>
        <w:t xml:space="preserve">specifically linked to local concentration of rapidly metabolizable carbon sources</w:t>
      </w:r>
      <w:r>
        <w:t xml:space="preserve"> </w:t>
      </w:r>
      <w:r>
        <w:t xml:space="preserve">(40)</w:t>
      </w:r>
      <w:r>
        <w:t xml:space="preserve">.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spo0A</w:t>
      </w:r>
      <w:r>
        <w:t xml:space="preserve"> </w:t>
      </w:r>
      <w:r>
        <w:t xml:space="preserve">(Fig. 2D), which positively regulates initiation of the sporulation pathway in</w:t>
      </w:r>
      <w:r>
        <w:t xml:space="preserve"> </w:t>
      </w:r>
      <w:r>
        <w:rPr>
          <w:i/>
        </w:rPr>
        <w:t xml:space="preserve">C. difficile</w:t>
      </w:r>
      <w:r>
        <w:t xml:space="preserve">. Transcripts for</w:t>
      </w:r>
      <w:r>
        <w:t xml:space="preserve"> </w:t>
      </w:r>
      <w:r>
        <w:rPr>
          <w:i/>
        </w:rPr>
        <w:t xml:space="preserve">spo0A</w:t>
      </w:r>
      <w:r>
        <w:t xml:space="preserve"> </w:t>
      </w:r>
      <w:r>
        <w:t xml:space="preserve">were highly abundant in all conditions tested except for clindamycin-treated mice, where it was still moderately detectable. The sig-family of sigma factors is under the control of spo0A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demonstrated a unique pattern of expression between conditions. These results indicate that complete expression of sporulation likely integrates multiple levels of signaling and is more complex than a single metabolic switch. Both CcpA and Spo0A also control pathogenicity by regulating toxin production (Fig. 2D).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2D).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genome (Fig. S2A). We then focused on general differences in carbohydrate (Fig. S2B) and amino acid (Fig. S2C) metabolism in order to assess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GF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total expression between antibiotic-treated conditions for each gene (Fig. 3). We then identified the condition in which each gene was most highly transcribed and adjusted the size of the corresponding point relative to the largest transcript abundance. This demonstrated that genes involved in amino acid catabolism had the greatest amount of expression overall, relative to other gene sets. This category includes those enzymes involved in Stickland fermentation (</w:t>
      </w:r>
      <w:r>
        <w:rPr>
          <w:i/>
        </w:rPr>
        <w:t xml:space="preserve">arg</w:t>
      </w:r>
      <w:r>
        <w:t xml:space="preserve">,</w:t>
      </w:r>
      <w:r>
        <w:t xml:space="preserve"> </w:t>
      </w:r>
      <w:r>
        <w:rPr>
          <w:i/>
        </w:rPr>
        <w:t xml:space="preserve">fdh</w:t>
      </w:r>
      <w:r>
        <w:t xml:space="preserve">,</w:t>
      </w:r>
      <w:r>
        <w:t xml:space="preserve"> </w:t>
      </w:r>
      <w:r>
        <w:rPr>
          <w:i/>
        </w:rPr>
        <w:t xml:space="preserve">grd</w:t>
      </w:r>
      <w:r>
        <w:t xml:space="preserve">, and</w:t>
      </w:r>
      <w:r>
        <w:t xml:space="preserve"> </w:t>
      </w:r>
      <w:r>
        <w:rPr>
          <w:i/>
        </w:rPr>
        <w:t xml:space="preserve">prd</w:t>
      </w:r>
      <w:r>
        <w:t xml:space="preserve"> </w:t>
      </w:r>
      <w:r>
        <w:t xml:space="preserve">loci) as well as several general peptidases (</w:t>
      </w:r>
      <w:r>
        <w:rPr>
          <w:i/>
        </w:rPr>
        <w:t xml:space="preserve">pep</w:t>
      </w:r>
      <w:r>
        <w:t xml:space="preserve"> </w:t>
      </w:r>
      <w:r>
        <w:t xml:space="preserve">family). These results indicated that catabolizing environmental amino acids may be important for the growth of</w:t>
      </w:r>
      <w:r>
        <w:t xml:space="preserve"> </w:t>
      </w:r>
      <w:r>
        <w:rPr>
          <w:i/>
        </w:rPr>
        <w:t xml:space="preserve">C. difficile</w:t>
      </w:r>
      <w:r>
        <w:t xml:space="preserve"> </w:t>
      </w:r>
      <w:r>
        <w:t xml:space="preserve">during infection.</w:t>
      </w:r>
    </w:p>
    <w:p>
      <w:pPr>
        <w:pStyle w:val="BodyText"/>
      </w:pPr>
      <w:r>
        <w:t xml:space="preserve">To more clearly identify associations of gene sets with each condition, we also analyzed each set separately. First, we found that the expression of genes associated with amino acid catabolism were expressed at nearly consistent levels across the conditions. This was in agreement with the high level of overall expression associated with these genes.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Along similar lines with related molecules, a number of genes for certain monosaccharides entering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and leading through glycolysis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catabolism of the polysaccharides trehalose and cellibiose (</w:t>
      </w:r>
      <w:r>
        <w:rPr>
          <w:i/>
        </w:rPr>
        <w:t xml:space="preserve">treA</w:t>
      </w:r>
      <w:r>
        <w:t xml:space="preserve"> </w:t>
      </w:r>
      <w:r>
        <w:t xml:space="preserve">and</w:t>
      </w:r>
      <w:r>
        <w:t xml:space="preserve"> </w:t>
      </w:r>
      <w:r>
        <w:rPr>
          <w:i/>
        </w:rPr>
        <w:t xml:space="preserve">celG</w:t>
      </w:r>
      <w:r>
        <w:t xml:space="preserve">) were expressed relatively evenly between each condition.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have been associated with adaptive expression of phosphotransferase systems (PTS) and ABC transporters with many known differences in substrate specificities</w:t>
      </w:r>
      <w:r>
        <w:t xml:space="preserve"> </w:t>
      </w:r>
      <w:r>
        <w:t xml:space="preserve">(25)</w:t>
      </w:r>
      <w:r>
        <w:t xml:space="preserve">. Among the genes classified as PTS transporters were overrepresented in both clindamycin and streptomycin-treated mice, while ABC sugar transporters were overrepresented in the cefoparazone-treated mice. The most stark differences were seen in transcription for genes involved in sugar alcohol catabolism.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and polysaccharide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Together these patterns suggested that polysaccharide fermentation occurred this condition. More subtle differences were seen in those gene associated with glycolysis. This category includes genes for not only the steps of glycolysis, but also several genes that mediate entry points of monosaccharides to glycolysis.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was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rPr>
          <w:b/>
        </w:rPr>
        <w:t xml:space="preserve">Structure of genome-scale bipartite metabolic model underscores known bacterial metabolism.</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annotation. Enzymes and metabolites were represented by nodes, and their interactions by directed connecting edges (Fig. 4A).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w:t>
      </w:r>
      <w:r>
        <w:t xml:space="preserve"> </w:t>
      </w:r>
      <w:r>
        <w:rPr>
          <w:i/>
        </w:rPr>
        <w:t xml:space="preserve">quantity</w:t>
      </w:r>
      <w:r>
        <w:t xml:space="preserve"> </w:t>
      </w:r>
      <w:r>
        <w:t xml:space="preserve">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(41)</w:t>
      </w:r>
      <w:r>
        <w:t xml:space="preserve">. Similarly, CC is instead a calculation for the reciprocal sum of the</w:t>
      </w:r>
      <w:r>
        <w:t xml:space="preserve"> </w:t>
      </w:r>
      <w:r>
        <w:rPr>
          <w:i/>
        </w:rPr>
        <w:t xml:space="preserve">lengths</w:t>
      </w:r>
      <w:r>
        <w:t xml:space="preserve"> </w:t>
      </w:r>
      <w:r>
        <w:t xml:space="preserve">of those shortest paths quantified by the BC. This value demonstrates how essential a given node is the the overall structure of the metabolic network</w:t>
      </w:r>
      <w:r>
        <w:t xml:space="preserve"> </w:t>
      </w:r>
      <w:r>
        <w:t xml:space="preserve">(42)</w:t>
      </w:r>
      <w:r>
        <w:t xml:space="preserve">. Together, these metrics allow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(43)</w:t>
      </w:r>
      <w:r>
        <w:t xml:space="preserve">. Interestingly, both ATP and GTP were not included in the top 10 of either list, despite still scoring relatively highly. Their exclusion may be a byproduct of the KEGG reference used for network construction (reaction_mapformula.lst) which focuses on conversions of smaller molecules and mostly excludes the synthesis of large macromolecules (ex. DNA, RNA, Proteins, etc.) which require higher input energy. While may be a limitation of certain analyses, ours was not effected as the interest of this study was in those simple nutrients acquired from the environment. Together, these results indicated that the topology of the overall network reflects established bacterial physiology and amino acid catabolism is a central strategy of</w:t>
      </w:r>
      <w:r>
        <w:t xml:space="preserve"> </w:t>
      </w:r>
      <w:r>
        <w:rPr>
          <w:i/>
        </w:rPr>
        <w:t xml:space="preserve">C. difficile</w:t>
      </w:r>
      <w:r>
        <w:t xml:space="preserve"> </w:t>
      </w:r>
      <w:r>
        <w:t xml:space="preserve">str. 630 based on the structure of its metabolic network.</w:t>
      </w:r>
    </w:p>
    <w:p>
      <w:pPr>
        <w:pStyle w:val="BodyText"/>
      </w:pPr>
      <w:r>
        <w:rPr>
          <w:b/>
        </w:rPr>
        <w:t xml:space="preserve">Metabolite importance algorithm supports known trends and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into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As transcription and translation are coupled in bacteria, we hypothesized that we could incorporate whole transcriptome sequencing results into the metabolic model in order to impute active metabolism. Concordantly, several models of bacterial protein expression determinants also suggest that intracellular concentration of mRNA is the strongest predictor for abundance of the corresponding protein products</w:t>
      </w:r>
      <w:r>
        <w:t xml:space="preserve"> </w:t>
      </w:r>
      <w:r>
        <w:t xml:space="preserve">(44)</w:t>
      </w:r>
      <w:r>
        <w:t xml:space="preserve">. Because of this, we were reasonably confident in utilizing normalized transcript abundance as a proxy for enzyme levels. The importance of each metabolite was measured as the log</w:t>
      </w:r>
      <w:r>
        <w:rPr>
          <w:vertAlign w:val="subscript"/>
        </w:rPr>
        <w:t xml:space="preserve">2</w:t>
      </w:r>
      <w:r>
        <w:t xml:space="preserve">-transformed difference between the average transcript levels of enzymes that use the metabolite as a substrate and those that generate it as a product (Fig. 4A &amp; 4B). A metabolite with a high importance score is most likely obtained from the environment because the expression of genes for enzymes that produce the metabolite are low. Due to the fact that separate sequencing efforts for each individual mouse in each group was impossible, we instead adopted a Monte Carlo-style simulation in order to achieve some degree of statistical validation to our findings. To accomplish this, we first calculated metabolite importance scores for 10,000 iterations of random transcript abundance reassignment of all enzyme nodes in the network. Next we used these distributions to calculate a 95% confidence interval for each metabolite and create comparators that represent random noise</w:t>
      </w:r>
      <w:r>
        <w:t xml:space="preserve"> </w:t>
      </w:r>
      <w:r>
        <w:t xml:space="preserve">(45)</w:t>
      </w:r>
      <w:r>
        <w:t xml:space="preserve">. This ultimately allowed for computing the significance level that a given score had a high probability of being excluded from its associated null hypothesis score distribution (Fig. 4C). All downstream analysis of important metabolites was only performed using those substrates that met their respective significance cutoff (</w:t>
      </w:r>
      <w:r>
        <w:rPr>
          <w:i/>
        </w:rPr>
        <w:t xml:space="preserve">P</w:t>
      </w:r>
      <w:r>
        <w:t xml:space="preserve"> </w:t>
      </w:r>
      <w:r>
        <w:t xml:space="preserve">&lt; 0.05).</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identify patterns of growth substrate importance within each infected condition (Table S3). To first identify the core metabolites that are most essential to</w:t>
      </w:r>
      <w:r>
        <w:t xml:space="preserve"> </w:t>
      </w:r>
      <w:r>
        <w:rPr>
          <w:i/>
        </w:rPr>
        <w:t xml:space="preserve">C. difficile</w:t>
      </w:r>
      <w:r>
        <w:t xml:space="preserve"> </w:t>
      </w:r>
      <w:r>
        <w:t xml:space="preserve">in any condition, we cross-referenced the highest 50 scoring metabolites from each treatment group and recalculated the median importance across all conditions (Fig. 5A). The host derived amino sugar N-acetyl-D-glucosamine was found to the have the highest median importance of all shared metabolites, which has been shown to be a readily available source of carbon and nitrogen utilized by</w:t>
      </w:r>
      <w:r>
        <w:t xml:space="preserve"> </w:t>
      </w:r>
      <w:r>
        <w:rPr>
          <w:i/>
        </w:rPr>
        <w:t xml:space="preserve">C. difficile</w:t>
      </w:r>
      <w:r>
        <w:t xml:space="preserve">, entering into glycolysis. Additionally,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(46–48)</w:t>
      </w:r>
      <w:r>
        <w:t xml:space="preserve">. Both of these forms energy acquisition have been previously associated with</w:t>
      </w:r>
      <w:r>
        <w:t xml:space="preserve"> </w:t>
      </w:r>
      <w:r>
        <w:rPr>
          <w:i/>
        </w:rPr>
        <w:t xml:space="preserve">C. difficile</w:t>
      </w:r>
      <w:r>
        <w:t xml:space="preserve"> </w:t>
      </w:r>
      <w:r>
        <w:t xml:space="preserve">during mono-associated conditions</w:t>
      </w:r>
      <w:r>
        <w:t xml:space="preserve"> </w:t>
      </w:r>
      <w:r>
        <w:t xml:space="preserve">(24)</w:t>
      </w:r>
      <w:r>
        <w:t xml:space="preserve">, but never before in the context of a complex community of potential competitors. This indicated that these metabolites may be an integral component of the nutrient niche for</w:t>
      </w:r>
      <w:r>
        <w:t xml:space="preserve"> </w:t>
      </w:r>
      <w:r>
        <w:rPr>
          <w:i/>
        </w:rPr>
        <w:t xml:space="preserve">C. difficile</w:t>
      </w:r>
      <w:r>
        <w:t xml:space="preserve"> </w:t>
      </w:r>
      <w:r>
        <w:t xml:space="preserve">in any infection condition.</w:t>
      </w:r>
    </w:p>
    <w:p>
      <w:pPr>
        <w:pStyle w:val="BodyText"/>
      </w:pPr>
      <w:r>
        <w:t xml:space="preserve">Moving on to assess differential patterns of metabolite importance across environments, we further focused the analysis and compared the highest 25 scoring metabolites in each infection condition to screen for those that are distinctly important to</w:t>
      </w:r>
      <w:r>
        <w:t xml:space="preserve"> </w:t>
      </w:r>
      <w:r>
        <w:rPr>
          <w:i/>
        </w:rPr>
        <w:t xml:space="preserve">C. difficile</w:t>
      </w:r>
      <w:r>
        <w:t xml:space="preserve"> </w:t>
      </w:r>
      <w:r>
        <w:t xml:space="preserve">in each respective environment (Fig. 5B). Interestingly, the resulting groups of metabolites all contained at least one known carbohydrate growth substrate of</w:t>
      </w:r>
      <w:r>
        <w:t xml:space="preserve"> </w:t>
      </w:r>
      <w:r>
        <w:rPr>
          <w:i/>
        </w:rPr>
        <w:t xml:space="preserve">C. difficile</w:t>
      </w:r>
      <w:r>
        <w:t xml:space="preserve"> </w:t>
      </w:r>
      <w:r>
        <w:t xml:space="preserve">(7, 14, 49)</w:t>
      </w:r>
      <w:r>
        <w:t xml:space="preserve">. This included sorbitol, mannitol, salicin, and N-acetylneuraminic acid. While the first 3 are more likely introduced by the diet, N-acetylneuraminic acid is another amino sugar integrated into the host mucin layer</w:t>
      </w:r>
      <w:r>
        <w:t xml:space="preserve"> </w:t>
      </w:r>
      <w:r>
        <w:t xml:space="preserve">(50)</w:t>
      </w:r>
      <w:r>
        <w:t xml:space="preserve">. Previously, the concentration of this molecule was shown to increased through liberation by other bacterial species to the benefit of</w:t>
      </w:r>
      <w:r>
        <w:t xml:space="preserve"> </w:t>
      </w:r>
      <w:r>
        <w:rPr>
          <w:i/>
        </w:rPr>
        <w:t xml:space="preserve">C. difficile</w:t>
      </w:r>
      <w:r>
        <w:t xml:space="preserve"> </w:t>
      </w:r>
      <w:r>
        <w:t xml:space="preserve">(49)</w:t>
      </w:r>
      <w:r>
        <w:t xml:space="preserve">, however our results suggest that</w:t>
      </w:r>
      <w:r>
        <w:t xml:space="preserve"> </w:t>
      </w:r>
      <w:r>
        <w:rPr>
          <w:i/>
        </w:rPr>
        <w:t xml:space="preserve">C. difficile</w:t>
      </w:r>
      <w:r>
        <w:t xml:space="preserve"> </w:t>
      </w:r>
      <w:r>
        <w:t xml:space="preserve">will utilize it for growth regardless of concentration. Furthermore, in GF mice where no other competitors are present, our model indicated that</w:t>
      </w:r>
      <w:r>
        <w:t xml:space="preserve"> </w:t>
      </w:r>
      <w:r>
        <w:rPr>
          <w:i/>
        </w:rPr>
        <w:t xml:space="preserve">C. difficile</w:t>
      </w:r>
      <w:r>
        <w:t xml:space="preserve"> </w:t>
      </w:r>
      <w:r>
        <w:t xml:space="preserve">was more likely to acquire numerous amino acids from the environment, presumably instead of going through the process of synthesis.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t xml:space="preserve">We went on to test each important possible growth substrates to ensure that growth phenotypes of our strain matched previously published results (Fig. 5C). This was performed using a modified defined</w:t>
      </w:r>
      <w:r>
        <w:t xml:space="preserve"> </w:t>
      </w:r>
      <w:r>
        <w:rPr>
          <w:i/>
        </w:rPr>
        <w:t xml:space="preserve">C. difficile</w:t>
      </w:r>
      <w:r>
        <w:t xml:space="preserve"> </w:t>
      </w:r>
      <w:r>
        <w:t xml:space="preserve">minimal media</w:t>
      </w:r>
      <w:r>
        <w:t xml:space="preserve"> </w:t>
      </w:r>
      <w:r>
        <w:t xml:space="preserve">(7)</w:t>
      </w:r>
      <w:r>
        <w:t xml:space="preserve">, supplemented individually with the selected carbohydrates implicated by high importance scores. Because</w:t>
      </w:r>
      <w:r>
        <w:t xml:space="preserve"> </w:t>
      </w:r>
      <w:r>
        <w:rPr>
          <w:i/>
        </w:rPr>
        <w:t xml:space="preserve">C. difficile</w:t>
      </w:r>
      <w:r>
        <w:t xml:space="preserve"> </w:t>
      </w:r>
      <w:r>
        <w:t xml:space="preserve">is auxotrophic for several amino acids, it was necessary to include amino acids in the minimal media despite the capability to achieve modest growth through Stickland fermentation of these substrates. This focused our analysis on carbohydrates and made the most effective negative control growth in media lacking carbohydrates but containing amino acids. Also since proline was identified as necessary for minimal media</w:t>
      </w:r>
      <w:r>
        <w:t xml:space="preserve"> </w:t>
      </w:r>
      <w:r>
        <w:t xml:space="preserve">(51)</w:t>
      </w:r>
      <w:r>
        <w:t xml:space="preserve">, so was therefore not tested for growth phenotype changes in this analysis despite its importance in shared modeling analysis (Fig. 5A). When tested for improved growth, at least one carbohydrate found to be important in all measured environments as well as among those indicated to be distinctly important within each condition. This included N-acetylglucosamine (shared; Max OD</w:t>
      </w:r>
      <w:r>
        <w:rPr>
          <w:vertAlign w:val="subscript"/>
        </w:rPr>
        <w:t xml:space="preserve">600</w:t>
      </w:r>
      <w:r>
        <w:t xml:space="preserve"> </w:t>
      </w:r>
      <w:r>
        <w:t xml:space="preserve">= 0.744), mannitol (cefoperazone; Max OD</w:t>
      </w:r>
      <w:r>
        <w:rPr>
          <w:vertAlign w:val="subscript"/>
        </w:rPr>
        <w:t xml:space="preserve">600</w:t>
      </w:r>
      <w:r>
        <w:t xml:space="preserve"> </w:t>
      </w:r>
      <w:r>
        <w:t xml:space="preserve">= 0.461),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0.375). Each of these were shown to allow for significantly more growth (</w:t>
      </w:r>
      <w:r>
        <w:rPr>
          <w:i/>
        </w:rPr>
        <w:t xml:space="preserve">P</w:t>
      </w:r>
      <w:r>
        <w:t xml:space="preserve"> </w:t>
      </w:r>
      <w:r>
        <w:t xml:space="preserve">&lt; 0.001) than in no carbohydrate controls (Max OD</w:t>
      </w:r>
      <w:r>
        <w:rPr>
          <w:vertAlign w:val="subscript"/>
        </w:rPr>
        <w:t xml:space="preserve">600</w:t>
      </w:r>
      <w:r>
        <w:t xml:space="preserve"> </w:t>
      </w:r>
      <w:r>
        <w:t xml:space="preserve">= 0.212). Galactitol was also tested as it was important in streptomycin-treated animals, however it demonstrated nearly identical growth patterns to no carbohydrate control (Table S4). These data suggest a potential hierarchy in carbohydrate preference and supported that</w:t>
      </w:r>
      <w:r>
        <w:t xml:space="preserve"> </w:t>
      </w:r>
      <w:r>
        <w:rPr>
          <w:i/>
        </w:rPr>
        <w:t xml:space="preserve">C. difficile</w:t>
      </w:r>
      <w:r>
        <w:t xml:space="preserve"> </w:t>
      </w:r>
      <w:r>
        <w:t xml:space="preserve">was well-suited to adapt its metabolism toward nutrient sources that are differentially available across susceptible mouse ceca.</w:t>
      </w:r>
    </w:p>
    <w:p>
      <w:pPr>
        <w:pStyle w:val="BodyText"/>
      </w:pP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as important by metabolic modeling and implicates proline as a critical component of its nutrient niche across models of infection.</w:t>
      </w:r>
      <w:r>
        <w:t xml:space="preserve"> </w:t>
      </w:r>
      <w:r>
        <w:t xml:space="preserve">In order to support conclusions from transcriptional network-based analysis we employed untargeted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(Metabolon, Durham NC). Using these results, we first wanted to assess variability in the datasets generated for this study with replicates to infer levels of consistency through transriptomic sequencing efforts. In summary, extremely low and consistent sample variance was found in across all 16S and metabolomic replicates (Fig. S5). As these results represent data that is essentially above and below transcript abundance in terms of biological hierarchy, this reassured our conclusions at the various levels of separate analysis. Additionally, by incorporating multiple sets of omics data describing the same system provided even greater confidence in the overall trends.</w:t>
      </w:r>
    </w:p>
    <w:p>
      <w:pPr>
        <w:pStyle w:val="BodyText"/>
      </w:pPr>
      <w:r>
        <w:t xml:space="preserve">With respect the modeling results, we measured whether important metabolites from network analysis were increased in relative concentration in their corresponding susceptible environments by comparing untreated SPF mice with mock-infected susceptible groups at the same time point (Fig. S6). Looking first toward N-acetylglucosamine since it was the most important shared metabolite (Fig. 5B), we found that its relative concentration was actually significantly decreased in all susceptible conditions tested (Fig. S6A). A similar trend was also seen in salicylate (Fig. S5F;</w:t>
      </w:r>
      <w:r>
        <w:t xml:space="preserve"> </w:t>
      </w:r>
      <w:r>
        <w:rPr>
          <w:i/>
        </w:rPr>
        <w:t xml:space="preserve">P</w:t>
      </w:r>
      <w:r>
        <w:t xml:space="preserve"> </w:t>
      </w:r>
      <w:r>
        <w:t xml:space="preserve">&lt; 0.05), a product of salacin cleavage (salicin was not included in the panel). Additionally we found that N-acetylneuraminate (Fig. S6B), mannitol/sorbitol (Fig. S6G), and galactitol (Fig. S6H) were significantly increased in only cefoperazone-treated SPF and GF mice (</w:t>
      </w:r>
      <w:r>
        <w:rPr>
          <w:i/>
        </w:rPr>
        <w:t xml:space="preserve">P</w:t>
      </w:r>
      <w:r>
        <w:t xml:space="preserve"> </w:t>
      </w:r>
      <w:r>
        <w:t xml:space="preserve">&lt; 0.05). Interestingly, only Stickland fermentation substrates (proline; Fig. S6C and trans-4-hydroxyproline; Fig. S6E) were for to be significantly increased in all susceptible environments tested (</w:t>
      </w:r>
      <w:r>
        <w:rPr>
          <w:i/>
        </w:rPr>
        <w:t xml:space="preserve">P</w:t>
      </w:r>
      <w:r>
        <w:t xml:space="preserve"> </w:t>
      </w:r>
      <w:r>
        <w:t xml:space="preserve">&lt; 0.05). Glycine (Fig. S6D) was found to also be consistently increased, but only achieved significant differences in cefoperazone-treated SPF and GF mice (</w:t>
      </w:r>
      <w:r>
        <w:rPr>
          <w:i/>
        </w:rPr>
        <w:t xml:space="preserve">P</w:t>
      </w:r>
      <w:r>
        <w:t xml:space="preserve"> </w:t>
      </w:r>
      <w:r>
        <w:t xml:space="preserve">&lt; 0.05).</w:t>
      </w:r>
    </w:p>
    <w:p>
      <w:pPr>
        <w:pStyle w:val="BodyText"/>
      </w:pPr>
      <w:r>
        <w:t xml:space="preserve">We were then interested if the concentrations of important metabolites decreased during</w:t>
      </w:r>
      <w:r>
        <w:t xml:space="preserve"> </w:t>
      </w:r>
      <w:r>
        <w:rPr>
          <w:i/>
        </w:rPr>
        <w:t xml:space="preserve">C. difficile</w:t>
      </w:r>
      <w:r>
        <w:t xml:space="preserve"> </w:t>
      </w:r>
      <w:r>
        <w:t xml:space="preserve">infection compared to mock infection, implying their consumption by the pathogen in the infection conditions they were found to be important. Both groups of host-derived aminoglycans (N-acetylglucosamine/N−acetylgalactosamine Fig. 6A and N-acetylneuraminate Fig. 6F) were significantly decreased in the presence of</w:t>
      </w:r>
      <w:r>
        <w:t xml:space="preserve"> </w:t>
      </w:r>
      <w:r>
        <w:rPr>
          <w:i/>
        </w:rPr>
        <w:t xml:space="preserve">C. difficile</w:t>
      </w:r>
      <w:r>
        <w:t xml:space="preserve"> </w:t>
      </w:r>
      <w:r>
        <w:t xml:space="preserve">when mock-infected ceca demonstrated detectable levels of the metabolites. No significant relationship was seen in any of the other carbohydrates with distinctly high importance scores (galactitol; Fig. 6C or mannitol/sorbitol; Fig. 6D). The slight increase in the concentration of salicylate (Fig. 6E) may be interpreted as due to increased cleavage of salicin by</w:t>
      </w:r>
      <w:r>
        <w:t xml:space="preserve"> </w:t>
      </w:r>
      <w:r>
        <w:rPr>
          <w:i/>
        </w:rPr>
        <w:t xml:space="preserve">C. difficile</w:t>
      </w:r>
      <w:r>
        <w:t xml:space="preserve">, but requires further investigation. As side note, acetate was found to be important in all conditions, but was just below the significance cutoff in GF mice (Table S3) and has been shown to be consumed by</w:t>
      </w:r>
      <w:r>
        <w:t xml:space="preserve"> </w:t>
      </w:r>
      <w:r>
        <w:rPr>
          <w:i/>
        </w:rPr>
        <w:t xml:space="preserve">C. difficile</w:t>
      </w:r>
      <w:r>
        <w:t xml:space="preserve"> </w:t>
      </w:r>
      <w:r>
        <w:t xml:space="preserve">during Stickland fermentation</w:t>
      </w:r>
      <w:r>
        <w:t xml:space="preserve"> </w:t>
      </w:r>
      <w:r>
        <w:t xml:space="preserve">(52)</w:t>
      </w:r>
      <w:r>
        <w:t xml:space="preserve">. Confirming our prediction, we found that</w:t>
      </w:r>
      <w:r>
        <w:t xml:space="preserve"> </w:t>
      </w:r>
      <w:r>
        <w:rPr>
          <w:i/>
        </w:rPr>
        <w:t xml:space="preserve">C. difficile</w:t>
      </w:r>
      <w:r>
        <w:t xml:space="preserve"> </w:t>
      </w:r>
      <w:r>
        <w:t xml:space="preserve">colonization indeed led to a significant decrease in the levels of acetate (Fig. S7C). Together, these findings provided some validation for our metabolite importance algorithm as a method for predicting metabolites that are most likely consumed by a bacteria in a given environment, not just growth substrates. Finally, in accordance with the previous analysis, we found that proline (Fig. 6A) and trans-4-hydroxyproline (Fig. S7B) were significantly decreased in every</w:t>
      </w:r>
      <w:r>
        <w:t xml:space="preserve"> </w:t>
      </w:r>
      <w:r>
        <w:rPr>
          <w:i/>
        </w:rPr>
        <w:t xml:space="preserve">C. difficile</w:t>
      </w:r>
      <w:r>
        <w:t xml:space="preserve"> </w:t>
      </w:r>
      <w:r>
        <w:t xml:space="preserve">colonized environment compared to mock infection (</w:t>
      </w:r>
      <w:r>
        <w:rPr>
          <w:i/>
        </w:rPr>
        <w:t xml:space="preserve">P</w:t>
      </w:r>
      <w:r>
        <w:t xml:space="preserve"> </w:t>
      </w:r>
      <w:r>
        <w:t xml:space="preserve">&lt; 0.05). Glycine was concordantly decreases in each condition following infection, but not all of these relationships are significant (Fig. S7A). These results most strongly support the consumption of amino acids is actually the primary energy source of</w:t>
      </w:r>
      <w:r>
        <w:t xml:space="preserve"> </w:t>
      </w:r>
      <w:r>
        <w:rPr>
          <w:i/>
        </w:rPr>
        <w:t xml:space="preserve">C. difficile</w:t>
      </w:r>
      <w:r>
        <w:t xml:space="preserve"> </w:t>
      </w:r>
      <w:r>
        <w:t xml:space="preserve">during infection.</w:t>
      </w:r>
    </w:p>
    <w:p>
      <w:pPr>
        <w:pStyle w:val="BodyText"/>
      </w:pPr>
      <w:r>
        <w:rPr>
          <w:b/>
        </w:rPr>
        <w:t xml:space="preserve">Integrated multi-omic analysis reveals strong predictive value for networking approach in identifying additional novel patterns of metabolism.</w:t>
      </w:r>
      <w:r>
        <w:t xml:space="preserve"> </w:t>
      </w:r>
      <w:r>
        <w:t xml:space="preserve">Moving beyond specific metabolite analysis, we wanted to determine how well metabolite importance scores related to the relative concentration of all metabolites in a given environment. To most effectively combine metabolite importance scores with the affiliated concentration data, we decided to calculate the median change in relative concentration for each metabolite measured between corresponding mock and</w:t>
      </w:r>
      <w:r>
        <w:t xml:space="preserve"> </w:t>
      </w:r>
      <w:r>
        <w:rPr>
          <w:i/>
        </w:rPr>
        <w:t xml:space="preserve">C. difficile</w:t>
      </w:r>
      <w:r>
        <w:t xml:space="preserve">-infected conditions. This was accomplished by dividing the median log10-scaled intensity of each metabolite in mock-infected mice by its corresponding intensity in</w:t>
      </w:r>
      <w:r>
        <w:t xml:space="preserve"> </w:t>
      </w:r>
      <w:r>
        <w:rPr>
          <w:i/>
        </w:rPr>
        <w:t xml:space="preserve">C. difficile</w:t>
      </w:r>
      <w:r>
        <w:t xml:space="preserve">-infected mice to give the (</w:t>
      </w:r>
      <w:r>
        <w:t xml:space="preserve"> </w:t>
      </w:r>
      <w:r>
        <w:t xml:space="preserve">) median scaled intensity for each metabolite. In this way, larger values indicated those metabolites that decrease in concentration when</w:t>
      </w:r>
      <w:r>
        <w:t xml:space="preserve"> </w:t>
      </w:r>
      <w:r>
        <w:rPr>
          <w:i/>
        </w:rPr>
        <w:t xml:space="preserve">C. difficile</w:t>
      </w:r>
      <w:r>
        <w:t xml:space="preserve"> </w:t>
      </w:r>
      <w:r>
        <w:t xml:space="preserve">colonizes. Additionally this resulted in a single value we could combine with importance scores for each metabolite and perform a linear correlation analysis. Positive correlations would therefore indicate that the metabolites predicted to be consumed by</w:t>
      </w:r>
      <w:r>
        <w:t xml:space="preserve"> </w:t>
      </w:r>
      <w:r>
        <w:rPr>
          <w:i/>
        </w:rPr>
        <w:t xml:space="preserve">C. difficile</w:t>
      </w:r>
      <w:r>
        <w:t xml:space="preserve"> </w:t>
      </w:r>
      <w:r>
        <w:t xml:space="preserve">through transcript-informed metabolic networks have a concomitant decrease in the metabolome. This relationship would also imply that those metabolites with negative importance scores and increased concentration in infected animals are being produced by</w:t>
      </w:r>
      <w:r>
        <w:t xml:space="preserve"> </w:t>
      </w:r>
      <w:r>
        <w:rPr>
          <w:i/>
        </w:rPr>
        <w:t xml:space="preserve">C. difficile</w:t>
      </w:r>
      <w:r>
        <w:t xml:space="preserve">.</w:t>
      </w:r>
    </w:p>
    <w:p>
      <w:pPr>
        <w:pStyle w:val="BodyText"/>
      </w:pPr>
      <w:r>
        <w:t xml:space="preserve">We applied this approach first to a pooled analysis of all groups in order to maximize our ability to validate the predictive capacity of the modeling algorithm (Fig. 7A). This indeed revealed a significant positive correlation (</w:t>
      </w:r>
      <w:r>
        <w:rPr>
          <w:i/>
        </w:rPr>
        <w:t xml:space="preserve">P</w:t>
      </w:r>
      <w:r>
        <w:t xml:space="preserve"> </w:t>
      </w:r>
      <w:r>
        <w:t xml:space="preserve">&lt; 0.01) and supported our method for identifying metabolites that are most likely to be consumed by</w:t>
      </w:r>
      <w:r>
        <w:t xml:space="preserve"> </w:t>
      </w:r>
      <w:r>
        <w:rPr>
          <w:i/>
        </w:rPr>
        <w:t xml:space="preserve">C. difficile</w:t>
      </w:r>
      <w:r>
        <w:t xml:space="preserve"> </w:t>
      </w:r>
      <w:r>
        <w:t xml:space="preserve">based on transcriptional activity. Furthermore, this technique also allowed us to analyze outliers from the generalized linear model to assess if they are explained by other known patterns of</w:t>
      </w:r>
      <w:r>
        <w:t xml:space="preserve"> </w:t>
      </w:r>
      <w:r>
        <w:rPr>
          <w:i/>
        </w:rPr>
        <w:t xml:space="preserve">C. difficile</w:t>
      </w:r>
      <w:r>
        <w:t xml:space="preserve"> </w:t>
      </w:r>
      <w:r>
        <w:t xml:space="preserve">biology. In this instance, 16 outlier metabolites were present and fell into only 3 separate KEGG annotation categories; amino acids, carbohydrates, and nucleotides (Table S5). Also as predicted, those outlier metabolites that were important in their respective condition as well as diminished in the metabolome following infection (12 of 16) were all annotated as amino acid or carbohydrate growth substrates or growth enhancers of</w:t>
      </w:r>
      <w:r>
        <w:t xml:space="preserve"> </w:t>
      </w:r>
      <w:r>
        <w:rPr>
          <w:i/>
        </w:rPr>
        <w:t xml:space="preserve">C. difficile</w:t>
      </w:r>
      <w:r>
        <w:t xml:space="preserve"> </w:t>
      </w:r>
      <w:r>
        <w:t xml:space="preserve">(51)</w:t>
      </w:r>
      <w:r>
        <w:t xml:space="preserve">. This included L-proline, L-threonine, N-acetyl-D-glucosamine, D-fructose, and galactitol. Alternatively, the metabolites that were more likely to be produced based on importance scores but decreased in the context of infection were the nucleotides adenine, deoxyadenosine, and xanthine. Although</w:t>
      </w:r>
      <w:r>
        <w:t xml:space="preserve"> </w:t>
      </w:r>
      <w:r>
        <w:rPr>
          <w:i/>
        </w:rPr>
        <w:t xml:space="preserve">C. difficile</w:t>
      </w:r>
      <w:r>
        <w:t xml:space="preserve"> </w:t>
      </w:r>
      <w:r>
        <w:t xml:space="preserve">has the capacity to synthesize each</w:t>
      </w:r>
      <w:r>
        <w:t xml:space="preserve"> </w:t>
      </w:r>
      <w:r>
        <w:t xml:space="preserve">(52)</w:t>
      </w:r>
      <w:r>
        <w:t xml:space="preserve">, it may also have the ability to catabolize these purines to participate downstream in Stickland reactions</w:t>
      </w:r>
      <w:r>
        <w:t xml:space="preserve"> </w:t>
      </w:r>
      <w:r>
        <w:t xml:space="preserve">(53)</w:t>
      </w:r>
      <w:r>
        <w:t xml:space="preserve">. The findings here may indicate that</w:t>
      </w:r>
      <w:r>
        <w:t xml:space="preserve"> </w:t>
      </w:r>
      <w:r>
        <w:rPr>
          <w:i/>
        </w:rPr>
        <w:t xml:space="preserve">C. difficile</w:t>
      </w:r>
      <w:r>
        <w:t xml:space="preserve"> </w:t>
      </w:r>
      <w:r>
        <w:t xml:space="preserve">utilizes both environmental and synthesized pools of the molecules at a faster rate than they are produced by the bacterium alone and may reinforce the centrality of amino acid fermentation to</w:t>
      </w:r>
      <w:r>
        <w:t xml:space="preserve"> </w:t>
      </w:r>
      <w:r>
        <w:rPr>
          <w:i/>
        </w:rPr>
        <w:t xml:space="preserve">C. difficile</w:t>
      </w:r>
      <w:r>
        <w:t xml:space="preserve"> </w:t>
      </w:r>
      <w:r>
        <w:rPr>
          <w:i/>
        </w:rPr>
        <w:t xml:space="preserve">in vivo</w:t>
      </w:r>
      <w:r>
        <w:t xml:space="preserve"> </w:t>
      </w:r>
      <w:r>
        <w:t xml:space="preserve">metabolism.</w:t>
      </w:r>
    </w:p>
    <w:p>
      <w:pPr>
        <w:pStyle w:val="BodyText"/>
      </w:pPr>
      <w:r>
        <w:t xml:space="preserve">We then directed the analysis toward each individual infection condition tested. In streptomycin-pretreatment (Fig. 7B) and cefoperazone-pretreatment (Fig. 7C) the correlations did not achieve significance, but remained positive. However, analysis of outliers revealed that in streptomycin-pretreatment both the host derived aminoglycan N-acetyl-D-glucosamine and L-proline were implicated as most likely to be utilized by</w:t>
      </w:r>
      <w:r>
        <w:t xml:space="preserve"> </w:t>
      </w:r>
      <w:r>
        <w:rPr>
          <w:i/>
        </w:rPr>
        <w:t xml:space="preserve">C. difficile</w:t>
      </w:r>
      <w:r>
        <w:t xml:space="preserve"> </w:t>
      </w:r>
      <w:r>
        <w:t xml:space="preserve">while only L-proline was the only growth substrate outlier in this way in cefoperazone-pretreated mice. Inversely, both clindamycin-pretreatment (Fig. 7D) gnotobiotic mice (Fig. 7E) demonstrated a significant correlation between importance scores and (</w:t>
      </w:r>
      <w:r>
        <w:t xml:space="preserve"> </w:t>
      </w:r>
      <w:r>
        <w:t xml:space="preserve">) median scaled intensity (</w:t>
      </w:r>
      <w:r>
        <w:rPr>
          <w:i/>
        </w:rPr>
        <w:t xml:space="preserve">P</w:t>
      </w:r>
      <w:r>
        <w:t xml:space="preserve"> </w:t>
      </w:r>
      <w:r>
        <w:t xml:space="preserve">&lt; 0.01). Although clindamycin-pretreatment was associated with the most outlier metabolites, both groups also shared a similar trends of select carbohydrates and primarily metabolites involved in Stickland fermentation being being important and decreased in infected conditions. In fact across all groups proline was found to be both highly important and decreased in concentration after infection. In combination with the previously mentioned patterns of correlates, this further supports Stickland fermentation as a core metabolic strategy of</w:t>
      </w:r>
      <w:r>
        <w:t xml:space="preserve"> </w:t>
      </w:r>
      <w:r>
        <w:rPr>
          <w:i/>
        </w:rPr>
        <w:t xml:space="preserve">C. difficile</w:t>
      </w:r>
      <w:r>
        <w:t xml:space="preserve"> </w:t>
      </w:r>
      <w:r>
        <w:t xml:space="preserve">in the gut which agrees with previous</w:t>
      </w:r>
      <w:r>
        <w:t xml:space="preserve"> </w:t>
      </w:r>
      <w:r>
        <w:rPr>
          <w:i/>
        </w:rPr>
        <w:t xml:space="preserve">in vitro</w:t>
      </w:r>
      <w:r>
        <w:t xml:space="preserve"> </w:t>
      </w:r>
      <w:r>
        <w:t xml:space="preserve">findings</w:t>
      </w:r>
      <w:r>
        <w:t xml:space="preserve"> </w:t>
      </w:r>
      <w:r>
        <w:t xml:space="preserve">(48)</w:t>
      </w:r>
      <w:r>
        <w:t xml:space="preserve">. Together, these data support network-derived importance scores as well as our hypothesis that</w:t>
      </w:r>
      <w:r>
        <w:t xml:space="preserve"> </w:t>
      </w:r>
      <w:r>
        <w:rPr>
          <w:i/>
        </w:rPr>
        <w:t xml:space="preserve">C. difficile</w:t>
      </w:r>
      <w:r>
        <w:t xml:space="preserve"> </w:t>
      </w:r>
      <w:r>
        <w:t xml:space="preserve">adapts its portions of its metabolic strategy in distinct susceptible environments despite certain highly conserved elements.</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and give insight to the adaptive strategies that</w:t>
      </w:r>
      <w:r>
        <w:t xml:space="preserve"> </w:t>
      </w:r>
      <w:r>
        <w:rPr>
          <w:i/>
        </w:rPr>
        <w:t xml:space="preserve">C. difficile</w:t>
      </w:r>
      <w:r>
        <w:t xml:space="preserve"> </w:t>
      </w:r>
      <w:r>
        <w:t xml:space="preserve">can use to colonize diverse human microbiota. All of our</w:t>
      </w:r>
      <w:r>
        <w:t xml:space="preserve"> </w:t>
      </w:r>
      <w:r>
        <w:rPr>
          <w:i/>
        </w:rPr>
        <w:t xml:space="preserve">in vivo</w:t>
      </w:r>
      <w:r>
        <w:t xml:space="preserve">,</w:t>
      </w:r>
      <w:r>
        <w:t xml:space="preserve"> </w:t>
      </w:r>
      <w:r>
        <w:rPr>
          <w:i/>
        </w:rPr>
        <w:t xml:space="preserve">in vitro</w:t>
      </w:r>
      <w:r>
        <w:t xml:space="preserve">, and</w:t>
      </w:r>
      <w:r>
        <w:t xml:space="preserve"> </w:t>
      </w:r>
      <w:r>
        <w:rPr>
          <w:i/>
        </w:rPr>
        <w:t xml:space="preserve">in silico</w:t>
      </w:r>
      <w:r>
        <w:t xml:space="preserve"> </w:t>
      </w:r>
      <w:r>
        <w:t xml:space="preserve">data demonstrate the plasticity of</w:t>
      </w:r>
      <w:r>
        <w:t xml:space="preserve"> </w:t>
      </w:r>
      <w:r>
        <w:rPr>
          <w:i/>
        </w:rPr>
        <w:t xml:space="preserve">C. difficile</w:t>
      </w:r>
      <w:r>
        <w:t xml:space="preserve"> </w:t>
      </w:r>
      <w:r>
        <w:t xml:space="preserve">to effectively change its metabolism to utilize alternative resources for growth. This may be the result of increased concentration of particular metabolites as a consequence of concordant decreases in the population of one or more competitors for those resources. In addition to uncovering adaptive strategies of</w:t>
      </w:r>
      <w:r>
        <w:t xml:space="preserve"> </w:t>
      </w:r>
      <w:r>
        <w:rPr>
          <w:i/>
        </w:rPr>
        <w:t xml:space="preserve">C. difficile</w:t>
      </w:r>
      <w:r>
        <w:t xml:space="preserve">, our method is also able to identify consistent trends in metabolism across environments. The findings that N-acetyl-D-glucosamine and Stickland fermentation substrates were consistently among the highest scoring shared metabolite among all tested conditions strongly indicates that these metabolites are central to the nutritional strategy of</w:t>
      </w:r>
      <w:r>
        <w:t xml:space="preserve"> </w:t>
      </w:r>
      <w:r>
        <w:rPr>
          <w:i/>
        </w:rPr>
        <w:t xml:space="preserve">C. difficile</w:t>
      </w:r>
      <w:r>
        <w:t xml:space="preserve"> </w:t>
      </w:r>
      <w:r>
        <w:t xml:space="preserve">and may be utilized in and condition in which they are available. The metabolism of both substrate types provides not only carbon and energy to</w:t>
      </w:r>
      <w:r>
        <w:t xml:space="preserve"> </w:t>
      </w:r>
      <w:r>
        <w:rPr>
          <w:i/>
        </w:rPr>
        <w:t xml:space="preserve">C. difficile</w:t>
      </w:r>
      <w:r>
        <w:t xml:space="preserve">, but are also a source for nitrogen which is a limited resource in the mammalian lower GI tract</w:t>
      </w:r>
      <w:r>
        <w:t xml:space="preserve"> </w:t>
      </w:r>
      <w:r>
        <w:t xml:space="preserve">(54)</w:t>
      </w:r>
      <w:r>
        <w:t xml:space="preserve">.</w:t>
      </w:r>
    </w:p>
    <w:p>
      <w:pPr>
        <w:pStyle w:val="BodyText"/>
      </w:pPr>
      <w:r>
        <w:t xml:space="preserve">Apart from exploring differential patterns in known metabolism, our modeling approach also allowed for the identification of emergent properties for the metabolic strategy of</w:t>
      </w:r>
      <w:r>
        <w:t xml:space="preserve"> </w:t>
      </w:r>
      <w:r>
        <w:rPr>
          <w:i/>
        </w:rPr>
        <w:t xml:space="preserve">C. difficile</w:t>
      </w:r>
      <w:r>
        <w:t xml:space="preserve"> </w:t>
      </w:r>
      <w:r>
        <w:t xml:space="preserve">during infection. One interesting result is the appearance of CO</w:t>
      </w:r>
      <w:r>
        <w:rPr>
          <w:vertAlign w:val="subscript"/>
        </w:rPr>
        <w:t xml:space="preserve">2</w:t>
      </w:r>
      <w:r>
        <w:t xml:space="preserve">, an apparent metabolic end product, in the list of shared important metabolites (Fig. 5A).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(55)</w:t>
      </w:r>
      <w:r>
        <w:t xml:space="preserve">. This highlights that our method does not only identify growth substrates, but also reports any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(56)</w:t>
      </w:r>
      <w:r>
        <w:t xml:space="preserve">, however this does not completely eliminate the possibility for this type of error. Due to the topology of the metabolic network, we were also unable to integrate stoichiometry for each reaction which may effect rates of consumption or production. Conversely, a physical limitation of the current study may be the the lack of replication in transcriptomic sequencing. In the future it may be possible for RT-qPCR validation of gene expression values, but this was not within our capacity to integrate here. In spite of these assumptions, the method outlined here supports known elements of</w:t>
      </w:r>
      <w:r>
        <w:t xml:space="preserve"> </w:t>
      </w:r>
      <w:r>
        <w:rPr>
          <w:i/>
        </w:rPr>
        <w:t xml:space="preserve">C. difficile</w:t>
      </w:r>
      <w:r>
        <w:t xml:space="preserve"> </w:t>
      </w:r>
      <w:r>
        <w:t xml:space="preserve">biology and our subsequent</w:t>
      </w:r>
      <w:r>
        <w:t xml:space="preserve"> </w:t>
      </w:r>
      <w:r>
        <w:rPr>
          <w:i/>
        </w:rPr>
        <w:t xml:space="preserve">in vitro</w:t>
      </w:r>
      <w:r>
        <w:t xml:space="preserve"> </w:t>
      </w:r>
      <w:r>
        <w:t xml:space="preserve">and</w:t>
      </w:r>
      <w:r>
        <w:t xml:space="preserve"> </w:t>
      </w:r>
      <w:r>
        <w:rPr>
          <w:i/>
        </w:rPr>
        <w:t xml:space="preserve">in vivo</w:t>
      </w:r>
      <w:r>
        <w:t xml:space="preserve"> </w:t>
      </w:r>
      <w:r>
        <w:t xml:space="preserve">metabolomic analysis confirmed the predictions of previously unseen components made here. It is also important to note that these limitations, as well as the inherent complexity of infection in context of the gut microbiome, were motivations for employing multi-omic analysis that only when employed together were able to reveal a clearer image of</w:t>
      </w:r>
      <w:r>
        <w:t xml:space="preserve"> </w:t>
      </w:r>
      <w:r>
        <w:rPr>
          <w:i/>
        </w:rPr>
        <w:t xml:space="preserve">C. difficile</w:t>
      </w:r>
      <w:r>
        <w:t xml:space="preserve">'s metabolism during infection.</w:t>
      </w:r>
    </w:p>
    <w:p>
      <w:pPr>
        <w:pStyle w:val="BodyText"/>
      </w:pPr>
      <w:r>
        <w:t xml:space="preserve">Based on the evidence presented, our results support the hypothesis that</w:t>
      </w:r>
      <w:r>
        <w:t xml:space="preserve"> </w:t>
      </w:r>
      <w:r>
        <w:rPr>
          <w:i/>
        </w:rPr>
        <w:t xml:space="preserve">C. difficile</w:t>
      </w:r>
      <w:r>
        <w:t xml:space="preserve"> </w:t>
      </w:r>
      <w:r>
        <w:t xml:space="preserve">is a metabolic generalist and is able to catabolize alternative carbon sources across susceptible gut environments. This may be due to an inability to outcompete a collection of metabolic specialists in an intact community, and separate classes on antibiotics differentially eliminate these populations and allow for</w:t>
      </w:r>
      <w:r>
        <w:t xml:space="preserve"> </w:t>
      </w:r>
      <w:r>
        <w:rPr>
          <w:i/>
        </w:rPr>
        <w:t xml:space="preserve">C. difficile</w:t>
      </w:r>
      <w:r>
        <w:t xml:space="preserve"> </w:t>
      </w:r>
      <w:r>
        <w:t xml:space="preserve">colonization. Additionally, differential importance scores for carbohydrates in agreement with metabolomic results across distinct environments, and when considered with variable sporulation and toxin production, may indicate that</w:t>
      </w:r>
      <w:r>
        <w:t xml:space="preserve"> </w:t>
      </w:r>
      <w:r>
        <w:rPr>
          <w:i/>
        </w:rPr>
        <w:t xml:space="preserve">C. difficile</w:t>
      </w:r>
      <w:r>
        <w:t xml:space="preserve"> </w:t>
      </w:r>
      <w:r>
        <w:t xml:space="preserve">pathogenesis is directed by which carbohydrates are available for use. Furthermore, competition for nutrients may also potentially explain the success rate of fecal microbial transplant (FMT), in that wholesale installation of a diverse range of specialized metabolic strategies is enough to outcompete</w:t>
      </w:r>
      <w:r>
        <w:t xml:space="preserve"> </w:t>
      </w:r>
      <w:r>
        <w:rPr>
          <w:i/>
        </w:rPr>
        <w:t xml:space="preserve">C. difficile</w:t>
      </w:r>
      <w:r>
        <w:t xml:space="preserve"> </w:t>
      </w:r>
      <w:r>
        <w:t xml:space="preserve">from the majority of perturbed gut environments. This may be particularly true with competitors for proline as our data also suggests that overall</w:t>
      </w:r>
      <w:r>
        <w:t xml:space="preserve"> </w:t>
      </w:r>
      <w:r>
        <w:rPr>
          <w:i/>
        </w:rPr>
        <w:t xml:space="preserve">C. difficile</w:t>
      </w:r>
      <w:r>
        <w:t xml:space="preserve"> </w:t>
      </w:r>
      <w:r>
        <w:t xml:space="preserve">colonization resistance may be driven by the availability of fermentable amino acids.</w:t>
      </w:r>
      <w:r>
        <w:t xml:space="preserve"> </w:t>
      </w:r>
      <w:r>
        <w:rPr>
          <w:i/>
        </w:rPr>
        <w:t xml:space="preserve">C. difficile</w:t>
      </w:r>
      <w:r>
        <w:t xml:space="preserve"> </w:t>
      </w:r>
      <w:r>
        <w:t xml:space="preserve">may also have evolved to utilize the host-derived aminoglycan N-acetyl-D-glucosamine in all infection conditions as it is a consistently available nutrient source across susceptible hosts. Metabolic modeling output also significantly correlated with changes in the metabolome associated with</w:t>
      </w:r>
      <w:r>
        <w:t xml:space="preserve"> </w:t>
      </w:r>
      <w:r>
        <w:rPr>
          <w:i/>
        </w:rPr>
        <w:t xml:space="preserve">C. difficile</w:t>
      </w:r>
      <w:r>
        <w:t xml:space="preserve"> </w:t>
      </w:r>
      <w:r>
        <w:t xml:space="preserve">colonization, establish validity as a platform from analysis of nutrient utilization and potential preference/hierarchy elucidation. This significant relationship is even more important because modeling analysis was based exclusively on genome annotation without prior knowledge of nutrient availabilities nor taking into account the metabolic activities of the surrounding microbes in each condition. In light of these findings our metabolic network platform combining genomics with transcriptomics, may also prove informative for generating hypotheses through reverse ecology that could ultimately lead to uncovering new interactions between many species in the gut community that ultimately impact host health</w:t>
      </w:r>
      <w:r>
        <w:t xml:space="preserve"> </w:t>
      </w:r>
      <w:r>
        <w:t xml:space="preserve">(57)</w:t>
      </w:r>
      <w:r>
        <w:t xml:space="preserve">. In conclusion,</w:t>
      </w:r>
      <w:r>
        <w:t xml:space="preserve"> </w:t>
      </w:r>
      <w:r>
        <w:rPr>
          <w:i/>
        </w:rPr>
        <w:t xml:space="preserve">C. difficile</w:t>
      </w:r>
      <w:r>
        <w:t xml:space="preserve"> </w:t>
      </w:r>
      <w:r>
        <w:t xml:space="preserve">is is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Heading3"/>
      </w:pPr>
      <w:bookmarkStart w:id="26" w:name="methods"/>
      <w:bookmarkEnd w:id="26"/>
      <w:r>
        <w:t xml:space="preserve">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(58)</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garage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samles on CCFAE plates (fructose agar plus cycloserine, cefoxitin, and erythromycin) at 37° C for 24 hours under anaerobic conditions</w:t>
      </w:r>
      <w:r>
        <w:t xml:space="preserve"> </w:t>
      </w:r>
      <w:r>
        <w:t xml:space="preserve">(59)</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t xml:space="preserve"> </w:t>
      </w:r>
      <w:r>
        <w:t xml:space="preserve">(60)</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(61)</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(62)</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(62)</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(63)</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(64)</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(37)</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(65)</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(66)</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(67)</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4a) favors metabolites that are more likely acquired from the environment (not produced within the network), and will award them a higher score (Fig. 5b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was a superior approach to switch randomization since the connections of the network itself was created through natural selection and any large-scale alterations would yield biologically uninformative comparisons</w:t>
      </w:r>
      <w:r>
        <w:t xml:space="preserve">(68)</w:t>
      </w:r>
      <w:r>
        <w:t xml:space="preser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(7)</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Finally, samples were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rank-abundance test with Benjamini-Hochberg correction. Undetectable points used the limit of detection for all statistical calculations. Significant differences for growth curves compared to no carbohydrate control (+ amino acids) were calculated using 2-way ANOVA with Benjamini-Hochberg correction. Significance for metabolite importance scores was determined as described above via comparison to Monte-Carlo simulations. Outlier metabolites in linear correlation analysis were identified with a 1.5 minimum cutoff for squared Studentized residual analysis of each individual generalized linear model.</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Figure 1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GF mice also displayed significantly more toxin activity than all other groups (</w:t>
      </w:r>
      <w:r>
        <w:rPr>
          <w:i/>
        </w:rPr>
        <w:t xml:space="preserve">P</w:t>
      </w:r>
      <w:r>
        <w:t xml:space="preserve"> </w:t>
      </w:r>
      <w:r>
        <w:t xml:space="preserve">&lt; 0.05). Untreated mice in A, B, &amp; 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 0.01). Dotted lines denote the limit of detection for both assays (LOD). Undetectable points are shown just below the LOD for clarity, however statistics were calculated using the LOD. Significant differences found using Wilcoxon rank-sum test with the Benjamini-Hochberg correction.</w:t>
      </w:r>
    </w:p>
    <w:p>
      <w:pPr>
        <w:pStyle w:val="BodyText"/>
      </w:pPr>
      <w:r>
        <w:rPr>
          <w:b/>
        </w:rPr>
        <w:t xml:space="preserve">Figure 2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Figure 3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t xml:space="preserve">Ternary plot indicating the median rarified abundances of transcripts for all</w:t>
      </w:r>
      <w:r>
        <w:t xml:space="preserve"> </w:t>
      </w:r>
      <w:r>
        <w:rPr>
          <w:i/>
        </w:rPr>
        <w:t xml:space="preserve">C. difficile</w:t>
      </w:r>
      <w:r>
        <w:t xml:space="preserve"> </w:t>
      </w:r>
      <w:r>
        <w:t xml:space="preserve">str. 630 genes across the three colonized antibiotic-treated condition s (gray points).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Genes included in each group with normalized transcript abundances can be found in Table S1, and refer to Fig. S3 for additional explanation of figure interpretation.</w:t>
      </w:r>
    </w:p>
    <w:p>
      <w:pPr>
        <w:pStyle w:val="BodyText"/>
      </w:pPr>
      <w:r>
        <w:rPr>
          <w:b/>
        </w:rPr>
        <w:t xml:space="preserve">Figure 4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Enzyme node sizes reflect the levels of detectable transcript from each gene. Importance algorithm separated into 3 components: (I) avaerage transcription of reactions consuming a metabolite, (II) avaerage transcription of reactions producing a metabolite, and (III) difference of consumption and creation.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Mont-Carlo simulation results for</w:t>
      </w:r>
      <w:r>
        <w:t xml:space="preserve"> </w:t>
      </w:r>
      <w:r>
        <w:rPr>
          <w:b/>
        </w:rPr>
        <w:t xml:space="preserve">m</w:t>
      </w:r>
      <w:r>
        <w:t xml:space="preserve">. Shown is a distribution resulting from 10000-fold transcript randomization for all enzymes in the metabolic network.</w:t>
      </w:r>
    </w:p>
    <w:p>
      <w:pPr>
        <w:pStyle w:val="BodyText"/>
      </w:pPr>
      <w:r>
        <w:rPr>
          <w:b/>
        </w:rPr>
        <w:t xml:space="preserve">Figure 5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compared to no carbohydrate control (</w:t>
      </w:r>
      <w:r>
        <w:rPr>
          <w:i/>
        </w:rPr>
        <w:t xml:space="preserve">P</w:t>
      </w:r>
      <w:r>
        <w:t xml:space="preserve"> </w:t>
      </w:r>
      <w:r>
        <w:t xml:space="preserve">&lt; 0.001). Significant differences between growth curves were calculated using 2-Way ANOVA with Benjamini-Hochberg correction.</w:t>
      </w:r>
    </w:p>
    <w:p>
      <w:pPr>
        <w:pStyle w:val="BodyText"/>
      </w:pPr>
      <w:r>
        <w:rPr>
          <w:b/>
        </w:rPr>
        <w:t xml:space="preserve">Figure 6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select metabolites indicated as important by metabolic modeling.</w:t>
      </w:r>
      <w:r>
        <w:t xml:space="preserve"> </w:t>
      </w:r>
      <w:r>
        <w:t xml:space="preserve">Comparison of relative concentrations of select metabolites from untargeted UPLC-MS analysis of</w:t>
      </w:r>
      <w:r>
        <w:t xml:space="preserve"> </w:t>
      </w:r>
      <w:r>
        <w:rPr>
          <w:i/>
        </w:rPr>
        <w:t xml:space="preserve">C. difficile</w:t>
      </w:r>
      <w:r>
        <w:t xml:space="preserve"> </w:t>
      </w:r>
      <w:r>
        <w:t xml:space="preserve">vs mock-infected mouse cecal content (n = 9 mice per group).</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Proline,</w:t>
      </w:r>
      <w:r>
        <w:t xml:space="preserve"> </w:t>
      </w:r>
      <w:r>
        <w:rPr>
          <w:b/>
        </w:rPr>
        <w:t xml:space="preserve">(C)</w:t>
      </w:r>
      <w:r>
        <w:t xml:space="preserve"> </w:t>
      </w:r>
      <w:r>
        <w:t xml:space="preserve">Galactitol,</w:t>
      </w:r>
      <w:r>
        <w:t xml:space="preserve"> </w:t>
      </w:r>
      <w:r>
        <w:rPr>
          <w:b/>
        </w:rPr>
        <w:t xml:space="preserve">(D)</w:t>
      </w:r>
      <w:r>
        <w:t xml:space="preserve"> </w:t>
      </w:r>
      <w:r>
        <w:t xml:space="preserve">Mannitol / Sorbitol,</w:t>
      </w:r>
      <w:r>
        <w:t xml:space="preserve"> </w:t>
      </w:r>
      <w:r>
        <w:rPr>
          <w:b/>
        </w:rPr>
        <w:t xml:space="preserve">(E)</w:t>
      </w:r>
      <w:r>
        <w:t xml:space="preserve"> </w:t>
      </w:r>
      <w:r>
        <w:t xml:space="preserve">Salicylate, and</w:t>
      </w:r>
      <w:r>
        <w:t xml:space="preserve"> </w:t>
      </w:r>
      <w:r>
        <w:rPr>
          <w:b/>
        </w:rPr>
        <w:t xml:space="preserve">(F)</w:t>
      </w:r>
      <w:r>
        <w:t xml:space="preserve"> </w:t>
      </w:r>
      <w:r>
        <w:t xml:space="preserve">N−acetylneuraminate. Paired metabolites were quantified simultaneously as the only differ by chirality making differentiation impossible. Significant differences (</w:t>
      </w:r>
      <w:r>
        <w:rPr>
          <w:i/>
        </w:rPr>
        <w:t xml:space="preserve">P</w:t>
      </w:r>
      <w:r>
        <w:t xml:space="preserve"> </w:t>
      </w:r>
      <w:r>
        <w:t xml:space="preserve">&lt; 0.05) are denoted by a single asterisk (*) and were determined using Wilcoxon signed-rank test with Benjamini-Hochberg correction when appropriate.</w:t>
      </w:r>
    </w:p>
    <w:p>
      <w:pPr>
        <w:pStyle w:val="BodyText"/>
      </w:pPr>
      <w:r>
        <w:rPr>
          <w:b/>
        </w:rPr>
        <w:t xml:space="preserve">Figure 7 | Correlation of change in metabolite concentration following</w:t>
      </w:r>
      <w:r>
        <w:rPr>
          <w:b/>
        </w:rPr>
        <w:t xml:space="preserve"> </w:t>
      </w:r>
      <w:r>
        <w:rPr>
          <w:i/>
          <w:b/>
        </w:rPr>
        <w:t xml:space="preserve">C. difficile</w:t>
      </w:r>
      <w:r>
        <w:rPr>
          <w:b/>
        </w:rPr>
        <w:t xml:space="preserve"> </w:t>
      </w:r>
      <w:r>
        <w:rPr>
          <w:b/>
        </w:rPr>
        <w:t xml:space="preserve">colonization with importance scores derived from transcript-informed metabolic modeling.</w:t>
      </w:r>
      <w:r>
        <w:t xml:space="preserve"> </w:t>
      </w:r>
      <w:r>
        <w:t xml:space="preserve">Spearman correlations for combined metabolome (n = 9 per group) and importance scores from transcriptomics for each metabolite with outlier metabolites also labeled (squared residual &gt;1.5).</w:t>
      </w:r>
      <w:r>
        <w:t xml:space="preserve"> </w:t>
      </w:r>
      <w:r>
        <w:rPr>
          <w:b/>
        </w:rPr>
        <w:t xml:space="preserve">(A)</w:t>
      </w:r>
      <w:r>
        <w:t xml:space="preserve"> </w:t>
      </w:r>
      <w:r>
        <w:t xml:space="preserve">Results from all treatment groups pooled for single analysis (</w:t>
      </w:r>
      <w:r>
        <w:rPr>
          <w:i/>
        </w:rPr>
        <w:t xml:space="preserve">P</w:t>
      </w:r>
      <w:r>
        <w:t xml:space="preserve"> </w:t>
      </w:r>
      <w:r>
        <w:t xml:space="preserve">&lt; 0.05). Correlations and outliers were recalculated for each individual condition as follows:</w:t>
      </w:r>
      <w:r>
        <w:t xml:space="preserve"> </w:t>
      </w:r>
      <w:r>
        <w:rPr>
          <w:b/>
        </w:rPr>
        <w:t xml:space="preserve">(B)</w:t>
      </w:r>
      <w:r>
        <w:t xml:space="preserve"> </w:t>
      </w:r>
      <w:r>
        <w:t xml:space="preserve">Streptomycin-pretreatment,</w:t>
      </w:r>
      <w:r>
        <w:t xml:space="preserve"> </w:t>
      </w:r>
      <w:r>
        <w:rPr>
          <w:b/>
        </w:rPr>
        <w:t xml:space="preserve">(C)</w:t>
      </w:r>
      <w:r>
        <w:t xml:space="preserve"> </w:t>
      </w:r>
      <w:r>
        <w:t xml:space="preserve">Cefoperazone-pretreatment,</w:t>
      </w:r>
      <w:r>
        <w:t xml:space="preserve"> </w:t>
      </w:r>
      <w:r>
        <w:rPr>
          <w:b/>
        </w:rPr>
        <w:t xml:space="preserve">(D)</w:t>
      </w:r>
      <w:r>
        <w:t xml:space="preserve"> </w:t>
      </w:r>
      <w:r>
        <w:t xml:space="preserve">Clindamycin-pretreatment (</w:t>
      </w:r>
      <w:r>
        <w:rPr>
          <w:i/>
        </w:rPr>
        <w:t xml:space="preserve">P</w:t>
      </w:r>
      <w:r>
        <w:t xml:space="preserve"> </w:t>
      </w:r>
      <w:r>
        <w:t xml:space="preserve">&lt; 0.05),</w:t>
      </w:r>
      <w:r>
        <w:t xml:space="preserve"> </w:t>
      </w:r>
      <w:r>
        <w:rPr>
          <w:b/>
        </w:rPr>
        <w:t xml:space="preserve">(E)</w:t>
      </w:r>
      <w:r>
        <w:t xml:space="preserve"> </w:t>
      </w:r>
      <w:r>
        <w:t xml:space="preserve">and Gnotobiotic mice (</w:t>
      </w:r>
      <w:r>
        <w:rPr>
          <w:i/>
        </w:rPr>
        <w:t xml:space="preserve">P</w:t>
      </w:r>
      <w:r>
        <w:t xml:space="preserve"> </w:t>
      </w:r>
      <w:r>
        <w:t xml:space="preserve">&lt; 0.05).</w:t>
      </w:r>
    </w:p>
    <w:p>
      <w:pPr>
        <w:pStyle w:val="BodyText"/>
      </w:pPr>
      <w:r>
        <w:rPr>
          <w:b/>
        </w:rPr>
        <w:t xml:space="preserve">Supplementary 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conventionally-raised mice used in these experiments (n = 63). All treatment groups are significantly different from all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test (</w:t>
      </w:r>
      <w:r>
        <w:rPr>
          <w:i/>
        </w:rPr>
        <w:t xml:space="preserve">P</w:t>
      </w:r>
      <w:r>
        <w:t xml:space="preserve"> </w:t>
      </w:r>
      <w:r>
        <w:t xml:space="preserve">&lt; 0.001).</w:t>
      </w:r>
      <w:r>
        <w:t xml:space="preserve"> </w:t>
      </w:r>
      <w:r>
        <w:rPr>
          <w:b/>
        </w:rPr>
        <w:t xml:space="preserve">(C)</w:t>
      </w:r>
      <w:r>
        <w:t xml:space="preserve"> </w:t>
      </w:r>
      <w:r>
        <w:t xml:space="preserve">Representation of reads contributed by</w:t>
      </w:r>
      <w:r>
        <w:t xml:space="preserve"> </w:t>
      </w:r>
      <w:r>
        <w:rPr>
          <w:i/>
        </w:rPr>
        <w:t xml:space="preserve">C. difficile</w:t>
      </w:r>
      <w:r>
        <w:t xml:space="preserve"> </w:t>
      </w:r>
      <w:r>
        <w:t xml:space="preserve">in each sequenced condition. Shown in each group is the quantity of normalized reads contributed by either</w:t>
      </w:r>
      <w:r>
        <w:t xml:space="preserve"> </w:t>
      </w:r>
      <w:r>
        <w:rPr>
          <w:i/>
        </w:rPr>
        <w:t xml:space="preserve">C. difficile</w:t>
      </w:r>
      <w:r>
        <w:t xml:space="preserve"> </w:t>
      </w:r>
      <w:r>
        <w:t xml:space="preserve">or all other reads within that sequencing effort. The percents listed at the top of each group is the proportion of the total community composed of</w:t>
      </w:r>
      <w:r>
        <w:t xml:space="preserve"> </w:t>
      </w:r>
      <w:r>
        <w:rPr>
          <w:i/>
        </w:rPr>
        <w:t xml:space="preserve">C. difficile</w:t>
      </w:r>
      <w:r>
        <w:t xml:space="preserve">. No infected condition had &gt;3.6% of the bacterial reads sequenced annotate as</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determined by Wilcoxon rank-sum test (</w:t>
      </w:r>
      <w:r>
        <w:rPr>
          <w:i/>
        </w:rPr>
        <w:t xml:space="preserve">P</w:t>
      </w:r>
      <w:r>
        <w:t xml:space="preserve"> </w:t>
      </w:r>
      <w:r>
        <w:t xml:space="preserve">&lt; 0.001). All mock-infected conditions had &lt;0.042% of reads annotating as</w:t>
      </w:r>
      <w:r>
        <w:t xml:space="preserve"> </w:t>
      </w:r>
      <w:r>
        <w:rPr>
          <w:i/>
        </w:rPr>
        <w:t xml:space="preserve">C. difficile</w:t>
      </w:r>
      <w:r>
        <w:t xml:space="preserve">, which has within the acceptable margin of error for our data curation pipeline. It should also be noted that mock-infected groups were culture (Fig. 1) and PCR negative (data not shown) for</w:t>
      </w:r>
      <w:r>
        <w:t xml:space="preserve"> </w:t>
      </w:r>
      <w:r>
        <w:rPr>
          <w:i/>
        </w:rPr>
        <w:t xml:space="preserve">C. difficile</w:t>
      </w:r>
      <w:r>
        <w:t xml:space="preserve"> </w:t>
      </w:r>
      <w:r>
        <w:t xml:space="preserve">str. 630.</w:t>
      </w:r>
    </w:p>
    <w:p>
      <w:pPr>
        <w:pStyle w:val="BodyText"/>
      </w:pPr>
      <w:r>
        <w:rPr>
          <w:b/>
        </w:rPr>
        <w:t xml:space="preserve">Supplementary Figure 3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4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in order to demonstrate consistent measurements in multiple levels of data, and further support our approach to pooled transcriptomic sequncing.</w:t>
      </w:r>
      <w:r>
        <w:t xml:space="preserve"> </w:t>
      </w:r>
      <w:r>
        <w:rPr>
          <w:b/>
        </w:rPr>
        <w:t xml:space="preserve">(A)</w:t>
      </w:r>
      <w:r>
        <w:t xml:space="preserve"> </w:t>
      </w:r>
      <w:r>
        <w:t xml:space="preserve">OTU abundances from 16S rRNA gene sequencing, sample variances for each OTU were calculated individually prior to sumary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sumary statistic calculations. In both groups of calculations all median sample variances are &gt;1, indicating extremely low levels of variability between samples of the same type.</w:t>
      </w:r>
    </w:p>
    <w:p>
      <w:pPr>
        <w:pStyle w:val="BodyText"/>
      </w:pPr>
      <w:r>
        <w:rPr>
          <w:b/>
        </w:rPr>
        <w:t xml:space="preserve">Supplementary Figure 6 | Relative</w:t>
      </w:r>
      <w:r>
        <w:rPr>
          <w:b/>
        </w:rPr>
        <w:t xml:space="preserve"> </w:t>
      </w:r>
      <w:r>
        <w:rPr>
          <w:i/>
          <w:b/>
        </w:rPr>
        <w:t xml:space="preserve">in vivo</w:t>
      </w:r>
      <w:r>
        <w:rPr>
          <w:b/>
        </w:rPr>
        <w:t xml:space="preserve"> </w:t>
      </w:r>
      <w:r>
        <w:rPr>
          <w:b/>
        </w:rPr>
        <w:t xml:space="preserve">concentrations of metabolites highlighted through network-based analysis in uninfected mice</w:t>
      </w:r>
      <w:r>
        <w:t xml:space="preserve"> </w:t>
      </w:r>
      <w:r>
        <w:t xml:space="preserve">Select metabolite concentrations using normalized untargeted UPLC-MS quantification from cecal content of</w:t>
      </w:r>
      <w:r>
        <w:t xml:space="preserve"> </w:t>
      </w:r>
      <w:r>
        <w:rPr>
          <w:i/>
        </w:rPr>
        <w:t xml:space="preserve">C. difficile</w:t>
      </w:r>
      <w:r>
        <w:t xml:space="preserve"> </w:t>
      </w:r>
      <w:r>
        <w:t xml:space="preserve">susceptible mice compared to resistant controls. Samples were collected at the same 18 hour timepoint as the analyses performed in infection experiments (n = 9 mice per group). Highlighted carbohydrates included:</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N−Acetylneuraminate,</w:t>
      </w:r>
      <w:r>
        <w:t xml:space="preserve"> </w:t>
      </w:r>
      <w:r>
        <w:rPr>
          <w:b/>
        </w:rPr>
        <w:t xml:space="preserve">(C)</w:t>
      </w:r>
      <w:r>
        <w:t xml:space="preserve"> </w:t>
      </w:r>
      <w:r>
        <w:t xml:space="preserve">Proline,</w:t>
      </w:r>
      <w:r>
        <w:t xml:space="preserve"> </w:t>
      </w:r>
      <w:r>
        <w:rPr>
          <w:b/>
        </w:rPr>
        <w:t xml:space="preserve">(D)</w:t>
      </w:r>
      <w:r>
        <w:t xml:space="preserve"> </w:t>
      </w:r>
      <w:r>
        <w:t xml:space="preserve">Glycine,</w:t>
      </w:r>
      <w:r>
        <w:t xml:space="preserve"> </w:t>
      </w:r>
      <w:r>
        <w:rPr>
          <w:b/>
        </w:rPr>
        <w:t xml:space="preserve">(E)</w:t>
      </w:r>
      <w:r>
        <w:t xml:space="preserve"> </w:t>
      </w:r>
      <w:r>
        <w:t xml:space="preserve">Salicylate,</w:t>
      </w:r>
      <w:r>
        <w:t xml:space="preserve"> </w:t>
      </w:r>
      <w:r>
        <w:rPr>
          <w:b/>
        </w:rPr>
        <w:t xml:space="preserve">(F)</w:t>
      </w:r>
      <w:r>
        <w:t xml:space="preserve"> </w:t>
      </w:r>
      <w:r>
        <w:t xml:space="preserve">Mannitol / Sorbitol, and</w:t>
      </w:r>
      <w:r>
        <w:t xml:space="preserve"> </w:t>
      </w:r>
      <w:r>
        <w:rPr>
          <w:b/>
        </w:rPr>
        <w:t xml:space="preserve">(G)</w:t>
      </w:r>
      <w:r>
        <w:t xml:space="preserve"> </w:t>
      </w:r>
      <w:r>
        <w:t xml:space="preserve">Galactitol. Significant differences between experimental, susceptible groups and resistant SPF mice (</w:t>
      </w:r>
      <w:r>
        <w:rPr>
          <w:i/>
        </w:rPr>
        <w:t xml:space="preserve">P</w:t>
      </w:r>
      <w:r>
        <w:t xml:space="preserve"> </w:t>
      </w:r>
      <w:r>
        <w:t xml:space="preserve">&lt; 0.05) are denoted by a single asterisk (*) and were determined using Wilcoxon rank-abundance test with Benjamini-Hochberg correction.</w:t>
      </w:r>
    </w:p>
    <w:p>
      <w:pPr>
        <w:pStyle w:val="BodyText"/>
      </w:pPr>
      <w:r>
        <w:rPr>
          <w:b/>
        </w:rPr>
        <w:t xml:space="preserve">Supplementary Figure 7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additional select metabolites indicated as important by metabolic modeling algorithm.</w:t>
      </w:r>
      <w:r>
        <w:t xml:space="preserve"> </w:t>
      </w:r>
      <w:r>
        <w:t xml:space="preserve">Comparison of relative concentrations of select metabolites from untargeted UPLC analysis of</w:t>
      </w:r>
      <w:r>
        <w:t xml:space="preserve"> </w:t>
      </w:r>
      <w:r>
        <w:rPr>
          <w:i/>
        </w:rPr>
        <w:t xml:space="preserve">C. difficile</w:t>
      </w:r>
      <w:r>
        <w:t xml:space="preserve"> </w:t>
      </w:r>
      <w:r>
        <w:t xml:space="preserve">vs mock-infected mouse cecal content.</w:t>
      </w:r>
      <w:r>
        <w:t xml:space="preserve"> </w:t>
      </w:r>
      <w:r>
        <w:rPr>
          <w:b/>
        </w:rPr>
        <w:t xml:space="preserve">(A)</w:t>
      </w:r>
      <w:r>
        <w:t xml:space="preserve"> </w:t>
      </w:r>
      <w:r>
        <w:t xml:space="preserve">Glycine and</w:t>
      </w:r>
      <w:r>
        <w:t xml:space="preserve"> </w:t>
      </w:r>
      <w:r>
        <w:rPr>
          <w:b/>
        </w:rPr>
        <w:t xml:space="preserve">(B)</w:t>
      </w:r>
      <w:r>
        <w:t xml:space="preserve"> </w:t>
      </w:r>
      <w:r>
        <w:t xml:space="preserve">Acetate. Relative concentrations of glycine were quantified as in Figure 6 with untargeted UPLC-MS analysis. Absolute concentrations of acetate were measured in a separate analysis using GC-MS. Significant differences (</w:t>
      </w:r>
      <w:r>
        <w:rPr>
          <w:i/>
        </w:rPr>
        <w:t xml:space="preserve">P</w:t>
      </w:r>
      <w:r>
        <w:t xml:space="preserve"> </w:t>
      </w:r>
      <w:r>
        <w:t xml:space="preserve">&lt; 0.05) are denoted by a single asterisk (*) and were determined using Wilcoxon signed-rank test with Benjamini-Hochberg correction when appropriate.</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BodyText"/>
      </w:pPr>
      <w:r>
        <w:rPr>
          <w:b/>
        </w:rPr>
        <w:t xml:space="preserve">Supplementary Table 5 | Outliers from generalized linear models of combined metabolome and metabolic network output analysis.</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Young, V. B.</w:t>
      </w:r>
      <w:r>
        <w:t xml:space="preserve">, and</w:t>
      </w:r>
      <w:r>
        <w:t xml:space="preserve"> </w:t>
      </w:r>
      <w:r>
        <w:rPr>
          <w:b/>
        </w:rPr>
        <w:t xml:space="preserve">T. M. Schmidt</w:t>
      </w:r>
      <w:r>
        <w:t xml:space="preserve">. 2004. Antibiotic-Associated Diarrhea Accompanied by Large-Scale Alterations in the Composition of the Fecal Microbiota. Journal of Clinical Microbiology</w:t>
      </w:r>
      <w:r>
        <w:t xml:space="preserve"> </w:t>
      </w:r>
      <w:r>
        <w:rPr>
          <w:b/>
        </w:rPr>
        <w:t xml:space="preserve">42</w:t>
      </w:r>
      <w:r>
        <w:t xml:space="preserve">:1203–1206.</w:t>
      </w:r>
    </w:p>
    <w:p>
      <w:pPr>
        <w:pStyle w:val="Bibliography"/>
      </w:pPr>
      <w:r>
        <w:t xml:space="preserve">5.</w:t>
      </w:r>
      <w:r>
        <w:t xml:space="preserve"> </w:t>
      </w:r>
      <w:r>
        <w:rPr>
          <w:b/>
        </w:rPr>
        <w:t xml:space="preserve">Lawley, T. D.</w:t>
      </w:r>
      <w:r>
        <w:t xml:space="preserve">, and</w:t>
      </w:r>
      <w:r>
        <w:t xml:space="preserve"> </w:t>
      </w:r>
      <w:r>
        <w:rPr>
          <w:b/>
        </w:rPr>
        <w:t xml:space="preserve">A. W. Walker</w:t>
      </w:r>
      <w:r>
        <w:t xml:space="preserve">. 2013. Intestinal colonization resistance. Immunology</w:t>
      </w:r>
      <w:r>
        <w:t xml:space="preserve"> </w:t>
      </w:r>
      <w:r>
        <w:rPr>
          <w:b/>
        </w:rPr>
        <w:t xml:space="preserve">138</w:t>
      </w:r>
      <w:r>
        <w:t xml:space="preserve">:1–11.</w:t>
      </w:r>
    </w:p>
    <w:p>
      <w:pPr>
        <w:pStyle w:val="Bibliography"/>
      </w:pPr>
      <w:r>
        <w:t xml:space="preserve">6.</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7.</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8.</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9.</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10.</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11.</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12.</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13.</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14.</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15.</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16.</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17.</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18.</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19.</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20.</w:t>
      </w:r>
      <w:r>
        <w:t xml:space="preserve"> </w:t>
      </w:r>
      <w:r>
        <w:rPr>
          <w:b/>
        </w:rPr>
        <w:t xml:space="preserve">Antunes, A.</w:t>
      </w:r>
      <w:r>
        <w:t xml:space="preserve">,</w:t>
      </w:r>
      <w:r>
        <w:t xml:space="preserve"> </w:t>
      </w:r>
      <w:r>
        <w:rPr>
          <w:b/>
        </w:rPr>
        <w:t xml:space="preserve">E. Camiade</w:t>
      </w:r>
      <w:r>
        <w:t xml:space="preserve">,</w:t>
      </w:r>
      <w:r>
        <w:t xml:space="preserve"> </w:t>
      </w:r>
      <w:r>
        <w:rPr>
          <w:b/>
        </w:rPr>
        <w:t xml:space="preserve">M. Monot</w:t>
      </w:r>
      <w:r>
        <w:t xml:space="preserve">,</w:t>
      </w:r>
      <w:r>
        <w:t xml:space="preserve"> </w:t>
      </w:r>
      <w:r>
        <w:rPr>
          <w:b/>
        </w:rPr>
        <w:t xml:space="preserve">E. Courtois</w:t>
      </w:r>
      <w:r>
        <w:t xml:space="preserve">,</w:t>
      </w:r>
      <w:r>
        <w:t xml:space="preserve"> </w:t>
      </w:r>
      <w:r>
        <w:rPr>
          <w:b/>
        </w:rPr>
        <w:t xml:space="preserve">F. Barbut</w:t>
      </w:r>
      <w:r>
        <w:t xml:space="preserve">,</w:t>
      </w:r>
      <w:r>
        <w:t xml:space="preserve"> </w:t>
      </w:r>
      <w:r>
        <w:rPr>
          <w:b/>
        </w:rPr>
        <w:t xml:space="preserve">N. V. Sernova</w:t>
      </w:r>
      <w:r>
        <w:t xml:space="preserve">,</w:t>
      </w:r>
      <w:r>
        <w:t xml:space="preserve"> </w:t>
      </w:r>
      <w:r>
        <w:rPr>
          <w:b/>
        </w:rPr>
        <w:t xml:space="preserve">D. A. Rodionov</w:t>
      </w:r>
      <w:r>
        <w:t xml:space="preserve">,</w:t>
      </w:r>
      <w:r>
        <w:t xml:space="preserve"> </w:t>
      </w:r>
      <w:r>
        <w:rPr>
          <w:b/>
        </w:rPr>
        <w:t xml:space="preserve">I. Martin-Verstraete</w:t>
      </w:r>
      <w:r>
        <w:t xml:space="preserve">, and</w:t>
      </w:r>
      <w:r>
        <w:t xml:space="preserve"> </w:t>
      </w:r>
      <w:r>
        <w:rPr>
          <w:b/>
        </w:rPr>
        <w:t xml:space="preserve">B. Dupuy</w:t>
      </w:r>
      <w:r>
        <w:t xml:space="preserve">. 2012. Global transcriptional control by glucose and carbon regulator CcpA in</w:t>
      </w:r>
      <w:r>
        <w:t xml:space="preserve"> </w:t>
      </w:r>
      <w:r>
        <w:rPr>
          <w:i/>
        </w:rPr>
        <w:t xml:space="preserve">Clostridium difficile</w:t>
      </w:r>
      <w:r>
        <w:t xml:space="preserve">. U.S. Patent 21.</w:t>
      </w:r>
    </w:p>
    <w:p>
      <w:pPr>
        <w:pStyle w:val="Bibliography"/>
      </w:pPr>
      <w:r>
        <w:t xml:space="preserve">21.</w:t>
      </w:r>
      <w:r>
        <w:t xml:space="preserve"> </w:t>
      </w:r>
      <w:r>
        <w:rPr>
          <w:b/>
        </w:rPr>
        <w:t xml:space="preserve">Bouillaut, L.</w:t>
      </w:r>
      <w:r>
        <w:t xml:space="preserve">,</w:t>
      </w:r>
      <w:r>
        <w:t xml:space="preserve"> </w:t>
      </w:r>
      <w:r>
        <w:rPr>
          <w:b/>
        </w:rPr>
        <w:t xml:space="preserve">T. Dubois</w:t>
      </w:r>
      <w:r>
        <w:t xml:space="preserve">,</w:t>
      </w:r>
      <w:r>
        <w:t xml:space="preserve"> </w:t>
      </w:r>
      <w:r>
        <w:rPr>
          <w:b/>
        </w:rPr>
        <w:t xml:space="preserve">A. L. Sonenshein</w:t>
      </w:r>
      <w:r>
        <w:t xml:space="preserve">, and</w:t>
      </w:r>
      <w:r>
        <w:t xml:space="preserve"> </w:t>
      </w:r>
      <w:r>
        <w:rPr>
          <w:b/>
        </w:rPr>
        <w:t xml:space="preserve">B. Dupuy</w:t>
      </w:r>
      <w:r>
        <w:t xml:space="preserve">. 2015. Integration of metabolism and virulence in</w:t>
      </w:r>
      <w:r>
        <w:t xml:space="preserve"> </w:t>
      </w:r>
      <w:r>
        <w:rPr>
          <w:i/>
        </w:rPr>
        <w:t xml:space="preserve">Clostridium difficile</w:t>
      </w:r>
      <w:r>
        <w:t xml:space="preserve">. Research in Microbiology</w:t>
      </w:r>
      <w:r>
        <w:t xml:space="preserve"> </w:t>
      </w:r>
      <w:r>
        <w:rPr>
          <w:b/>
        </w:rPr>
        <w:t xml:space="preserve">166</w:t>
      </w:r>
      <w:r>
        <w:t xml:space="preserve">:375–383.</w:t>
      </w:r>
    </w:p>
    <w:p>
      <w:pPr>
        <w:pStyle w:val="Bibliography"/>
      </w:pPr>
      <w:r>
        <w:t xml:space="preserve">22.</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23.</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24.</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25.</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26.</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the Sciences of the United States of America</w:t>
      </w:r>
      <w:r>
        <w:t xml:space="preserve"> </w:t>
      </w:r>
      <w:r>
        <w:rPr>
          <w:b/>
        </w:rPr>
        <w:t xml:space="preserve">102</w:t>
      </w:r>
      <w:r>
        <w:t xml:space="preserve">:2685–2689.</w:t>
      </w:r>
    </w:p>
    <w:p>
      <w:pPr>
        <w:pStyle w:val="Bibliography"/>
      </w:pPr>
      <w:r>
        <w:t xml:space="preserve">27.</w:t>
      </w:r>
      <w:r>
        <w:t xml:space="preserve"> </w:t>
      </w:r>
      <w:r>
        <w:rPr>
          <w:b/>
        </w:rPr>
        <w:t xml:space="preserve">Borenstein, E.</w:t>
      </w:r>
      <w:r>
        <w:t xml:space="preserve">,</w:t>
      </w:r>
      <w:r>
        <w:t xml:space="preserve"> </w:t>
      </w:r>
      <w:r>
        <w:rPr>
          <w:b/>
        </w:rPr>
        <w:t xml:space="preserve">M. Kupiec</w:t>
      </w:r>
      <w:r>
        <w:t xml:space="preserve">,</w:t>
      </w:r>
      <w:r>
        <w:t xml:space="preserve"> </w:t>
      </w:r>
      <w:r>
        <w:rPr>
          <w:b/>
        </w:rPr>
        <w:t xml:space="preserve">M. W. Feldman</w:t>
      </w:r>
      <w:r>
        <w:t xml:space="preserve">, and</w:t>
      </w:r>
      <w:r>
        <w:t xml:space="preserve"> </w:t>
      </w:r>
      <w:r>
        <w:rPr>
          <w:b/>
        </w:rPr>
        <w:t xml:space="preserve">E. Ruppin</w:t>
      </w:r>
      <w:r>
        <w:t xml:space="preserve">. 2008. Large-scale reconstruction and phylogenetic analysis of metabolic environments. Proceedings of the National Academy of Sciences</w:t>
      </w:r>
      <w:r>
        <w:t xml:space="preserve"> </w:t>
      </w:r>
      <w:r>
        <w:rPr>
          <w:b/>
        </w:rPr>
        <w:t xml:space="preserve">105</w:t>
      </w:r>
      <w:r>
        <w:t xml:space="preserve">:14482–14487.</w:t>
      </w:r>
    </w:p>
    <w:p>
      <w:pPr>
        <w:pStyle w:val="Bibliography"/>
      </w:pPr>
      <w:r>
        <w:t xml:space="preserve">28.</w:t>
      </w:r>
      <w:r>
        <w:t xml:space="preserve"> </w:t>
      </w:r>
      <w:r>
        <w:rPr>
          <w:b/>
        </w:rPr>
        <w:t xml:space="preserve">Suthers, P. F.</w:t>
      </w:r>
      <w:r>
        <w:t xml:space="preserve">,</w:t>
      </w:r>
      <w:r>
        <w:t xml:space="preserve"> </w:t>
      </w:r>
      <w:r>
        <w:rPr>
          <w:b/>
        </w:rPr>
        <w:t xml:space="preserve">M. S. Dasika</w:t>
      </w:r>
      <w:r>
        <w:t xml:space="preserve">,</w:t>
      </w:r>
      <w:r>
        <w:t xml:space="preserve"> </w:t>
      </w:r>
      <w:r>
        <w:rPr>
          <w:b/>
        </w:rPr>
        <w:t xml:space="preserve">V. S. Kumar</w:t>
      </w:r>
      <w:r>
        <w:t xml:space="preserve">,</w:t>
      </w:r>
      <w:r>
        <w:t xml:space="preserve"> </w:t>
      </w:r>
      <w:r>
        <w:rPr>
          <w:b/>
        </w:rPr>
        <w:t xml:space="preserve">G. Denisov</w:t>
      </w:r>
      <w:r>
        <w:t xml:space="preserve">,</w:t>
      </w:r>
      <w:r>
        <w:t xml:space="preserve"> </w:t>
      </w:r>
      <w:r>
        <w:rPr>
          <w:b/>
        </w:rPr>
        <w:t xml:space="preserve">J. I. Glass</w:t>
      </w:r>
      <w:r>
        <w:t xml:space="preserve">, and</w:t>
      </w:r>
      <w:r>
        <w:t xml:space="preserve"> </w:t>
      </w:r>
      <w:r>
        <w:rPr>
          <w:b/>
        </w:rPr>
        <w:t xml:space="preserve">C. D. Maranas</w:t>
      </w:r>
      <w:r>
        <w:t xml:space="preserve">. 2009. Genome-scale metabolic reconstruction Of mycoplasma genitalium, iPS189. PLoS Computational Biology</w:t>
      </w:r>
      <w:r>
        <w:t xml:space="preserve"> </w:t>
      </w:r>
      <w:r>
        <w:rPr>
          <w:b/>
        </w:rPr>
        <w:t xml:space="preserve">5</w:t>
      </w:r>
      <w:r>
        <w:t xml:space="preserve">.</w:t>
      </w:r>
    </w:p>
    <w:p>
      <w:pPr>
        <w:pStyle w:val="Bibliography"/>
      </w:pPr>
      <w:r>
        <w:t xml:space="preserve">29.</w:t>
      </w:r>
      <w:r>
        <w:t xml:space="preserve"> </w:t>
      </w:r>
      <w:r>
        <w:rPr>
          <w:b/>
        </w:rPr>
        <w:t xml:space="preserve">O’Neil, D.</w:t>
      </w:r>
      <w:r>
        <w:t xml:space="preserve">,</w:t>
      </w:r>
      <w:r>
        <w:t xml:space="preserve"> </w:t>
      </w:r>
      <w:r>
        <w:rPr>
          <w:b/>
        </w:rPr>
        <w:t xml:space="preserve">H. Glowatz</w:t>
      </w:r>
      <w:r>
        <w:t xml:space="preserve">, and</w:t>
      </w:r>
      <w:r>
        <w:t xml:space="preserve"> </w:t>
      </w:r>
      <w:r>
        <w:rPr>
          <w:b/>
        </w:rPr>
        <w:t xml:space="preserve">M. Schlumpberge</w:t>
      </w:r>
      <w:r>
        <w:t xml:space="preserve">. 2013. Ribosomal RNA depletion for efficient use of RNA-seq capacity. Current Protocols in Molecular Biology.</w:t>
      </w:r>
    </w:p>
    <w:p>
      <w:pPr>
        <w:pStyle w:val="Bibliography"/>
      </w:pPr>
      <w:r>
        <w:t xml:space="preserve">30.</w:t>
      </w:r>
      <w:r>
        <w:t xml:space="preserve"> </w:t>
      </w:r>
      <w:r>
        <w:rPr>
          <w:b/>
        </w:rPr>
        <w:t xml:space="preserve">Haas, B. J.</w:t>
      </w:r>
      <w:r>
        <w:t xml:space="preserve">,</w:t>
      </w:r>
      <w:r>
        <w:t xml:space="preserve"> </w:t>
      </w:r>
      <w:r>
        <w:rPr>
          <w:b/>
        </w:rPr>
        <w:t xml:space="preserve">M. Chin</w:t>
      </w:r>
      <w:r>
        <w:t xml:space="preserve">,</w:t>
      </w:r>
      <w:r>
        <w:t xml:space="preserve"> </w:t>
      </w:r>
      <w:r>
        <w:rPr>
          <w:b/>
        </w:rPr>
        <w:t xml:space="preserve">C. Nusbaum</w:t>
      </w:r>
      <w:r>
        <w:t xml:space="preserve">,</w:t>
      </w:r>
      <w:r>
        <w:t xml:space="preserve"> </w:t>
      </w:r>
      <w:r>
        <w:rPr>
          <w:b/>
        </w:rPr>
        <w:t xml:space="preserve">B. W. Birren</w:t>
      </w:r>
      <w:r>
        <w:t xml:space="preserve">, and</w:t>
      </w:r>
      <w:r>
        <w:t xml:space="preserve"> </w:t>
      </w:r>
      <w:r>
        <w:rPr>
          <w:b/>
        </w:rPr>
        <w:t xml:space="preserve">J. Livny</w:t>
      </w:r>
      <w:r>
        <w:t xml:space="preserve">. 2012. How deep is deep enough for RNA-Seq profiling of bacterial transcriptomes? BMC Genomics</w:t>
      </w:r>
      <w:r>
        <w:t xml:space="preserve"> </w:t>
      </w:r>
      <w:r>
        <w:rPr>
          <w:b/>
        </w:rPr>
        <w:t xml:space="preserve">13</w:t>
      </w:r>
      <w:r>
        <w:t xml:space="preserve">:734.</w:t>
      </w:r>
    </w:p>
    <w:p>
      <w:pPr>
        <w:pStyle w:val="Bibliography"/>
      </w:pPr>
      <w:r>
        <w:t xml:space="preserve">31.</w:t>
      </w:r>
      <w:r>
        <w:t xml:space="preserve"> </w:t>
      </w:r>
      <w:r>
        <w:rPr>
          <w:b/>
        </w:rPr>
        <w:t xml:space="preserve">Putnam, E. E.</w:t>
      </w:r>
      <w:r>
        <w:t xml:space="preserve">,</w:t>
      </w:r>
      <w:r>
        <w:t xml:space="preserve"> </w:t>
      </w:r>
      <w:r>
        <w:rPr>
          <w:b/>
        </w:rPr>
        <w:t xml:space="preserve">A. M. Nock</w:t>
      </w:r>
      <w:r>
        <w:t xml:space="preserve">,</w:t>
      </w:r>
      <w:r>
        <w:t xml:space="preserve"> </w:t>
      </w:r>
      <w:r>
        <w:rPr>
          <w:b/>
        </w:rPr>
        <w:t xml:space="preserve">T. D. Lawley</w:t>
      </w:r>
      <w:r>
        <w:t xml:space="preserve">, and</w:t>
      </w:r>
      <w:r>
        <w:t xml:space="preserve"> </w:t>
      </w:r>
      <w:r>
        <w:rPr>
          <w:b/>
        </w:rPr>
        <w:t xml:space="preserve">A. Shen</w:t>
      </w:r>
      <w:r>
        <w:t xml:space="preserve">. 2013. SpoIVA and sipl are</w:t>
      </w:r>
      <w:r>
        <w:t xml:space="preserve"> </w:t>
      </w:r>
      <w:r>
        <w:rPr>
          <w:i/>
        </w:rPr>
        <w:t xml:space="preserve">Clostridium difficile</w:t>
      </w:r>
      <w:r>
        <w:t xml:space="preserve"> </w:t>
      </w:r>
      <w:r>
        <w:t xml:space="preserve">spore morphogenetic proteins. Journal of Bacteriology</w:t>
      </w:r>
      <w:r>
        <w:t xml:space="preserve"> </w:t>
      </w:r>
      <w:r>
        <w:rPr>
          <w:b/>
        </w:rPr>
        <w:t xml:space="preserve">195</w:t>
      </w:r>
      <w:r>
        <w:t xml:space="preserve">:1214–1225.</w:t>
      </w:r>
    </w:p>
    <w:p>
      <w:pPr>
        <w:pStyle w:val="Bibliography"/>
      </w:pPr>
      <w:r>
        <w:t xml:space="preserve">32.</w:t>
      </w:r>
      <w:r>
        <w:t xml:space="preserve"> </w:t>
      </w:r>
      <w:r>
        <w:rPr>
          <w:b/>
        </w:rPr>
        <w:t xml:space="preserve">Underwood, S.</w:t>
      </w:r>
      <w:r>
        <w:t xml:space="preserve">,</w:t>
      </w:r>
      <w:r>
        <w:t xml:space="preserve"> </w:t>
      </w:r>
      <w:r>
        <w:rPr>
          <w:b/>
        </w:rPr>
        <w:t xml:space="preserve">S. Guan</w:t>
      </w:r>
      <w:r>
        <w:t xml:space="preserve">,</w:t>
      </w:r>
      <w:r>
        <w:t xml:space="preserve"> </w:t>
      </w:r>
      <w:r>
        <w:rPr>
          <w:b/>
        </w:rPr>
        <w:t xml:space="preserve">V. Vijayasubhash</w:t>
      </w:r>
      <w:r>
        <w:t xml:space="preserve">,</w:t>
      </w:r>
      <w:r>
        <w:t xml:space="preserve"> </w:t>
      </w:r>
      <w:r>
        <w:rPr>
          <w:b/>
        </w:rPr>
        <w:t xml:space="preserve">S. D. Baines</w:t>
      </w:r>
      <w:r>
        <w:t xml:space="preserve">,</w:t>
      </w:r>
      <w:r>
        <w:t xml:space="preserve"> </w:t>
      </w:r>
      <w:r>
        <w:rPr>
          <w:b/>
        </w:rPr>
        <w:t xml:space="preserve">L. Graham</w:t>
      </w:r>
      <w:r>
        <w:t xml:space="preserve">,</w:t>
      </w:r>
      <w:r>
        <w:t xml:space="preserve"> </w:t>
      </w:r>
      <w:r>
        <w:rPr>
          <w:b/>
        </w:rPr>
        <w:t xml:space="preserve">R. J. Lewis</w:t>
      </w:r>
      <w:r>
        <w:t xml:space="preserve">,</w:t>
      </w:r>
      <w:r>
        <w:t xml:space="preserve"> </w:t>
      </w:r>
      <w:r>
        <w:rPr>
          <w:b/>
        </w:rPr>
        <w:t xml:space="preserve">M. H. Wilcox</w:t>
      </w:r>
      <w:r>
        <w:t xml:space="preserve">, and</w:t>
      </w:r>
      <w:r>
        <w:t xml:space="preserve"> </w:t>
      </w:r>
      <w:r>
        <w:rPr>
          <w:b/>
        </w:rPr>
        <w:t xml:space="preserve">K. Stephenson</w:t>
      </w:r>
      <w:r>
        <w:t xml:space="preserve">. 2009. Characterization of the sporulation initiation pathway of</w:t>
      </w:r>
      <w:r>
        <w:t xml:space="preserve"> </w:t>
      </w:r>
      <w:r>
        <w:rPr>
          <w:i/>
        </w:rPr>
        <w:t xml:space="preserve">Clostridium difficile</w:t>
      </w:r>
      <w:r>
        <w:t xml:space="preserve"> </w:t>
      </w:r>
      <w:r>
        <w:t xml:space="preserve">and its role in toxin production. Journal of Bacteriology</w:t>
      </w:r>
      <w:r>
        <w:t xml:space="preserve"> </w:t>
      </w:r>
      <w:r>
        <w:rPr>
          <w:b/>
        </w:rPr>
        <w:t xml:space="preserve">191</w:t>
      </w:r>
      <w:r>
        <w:t xml:space="preserve">:7296–7305.</w:t>
      </w:r>
    </w:p>
    <w:p>
      <w:pPr>
        <w:pStyle w:val="Bibliography"/>
      </w:pPr>
      <w:r>
        <w:t xml:space="preserve">33.</w:t>
      </w:r>
      <w:r>
        <w:t xml:space="preserve"> </w:t>
      </w:r>
      <w:r>
        <w:rPr>
          <w:b/>
        </w:rPr>
        <w:t xml:space="preserve">Fimlaid, K. A.</w:t>
      </w:r>
      <w:r>
        <w:t xml:space="preserve">,</w:t>
      </w:r>
      <w:r>
        <w:t xml:space="preserve"> </w:t>
      </w:r>
      <w:r>
        <w:rPr>
          <w:b/>
        </w:rPr>
        <w:t xml:space="preserve">J. P. Bond</w:t>
      </w:r>
      <w:r>
        <w:t xml:space="preserve">,</w:t>
      </w:r>
      <w:r>
        <w:t xml:space="preserve"> </w:t>
      </w:r>
      <w:r>
        <w:rPr>
          <w:b/>
        </w:rPr>
        <w:t xml:space="preserve">K. C. Schutz</w:t>
      </w:r>
      <w:r>
        <w:t xml:space="preserve">,</w:t>
      </w:r>
      <w:r>
        <w:t xml:space="preserve"> </w:t>
      </w:r>
      <w:r>
        <w:rPr>
          <w:b/>
        </w:rPr>
        <w:t xml:space="preserve">E. E. Putnam</w:t>
      </w:r>
      <w:r>
        <w:t xml:space="preserve">,</w:t>
      </w:r>
      <w:r>
        <w:t xml:space="preserve"> </w:t>
      </w:r>
      <w:r>
        <w:rPr>
          <w:b/>
        </w:rPr>
        <w:t xml:space="preserve">J. M. Leung</w:t>
      </w:r>
      <w:r>
        <w:t xml:space="preserve">,</w:t>
      </w:r>
      <w:r>
        <w:t xml:space="preserve"> </w:t>
      </w:r>
      <w:r>
        <w:rPr>
          <w:b/>
        </w:rPr>
        <w:t xml:space="preserve">T. D. Lawley</w:t>
      </w:r>
      <w:r>
        <w:t xml:space="preserve">, and</w:t>
      </w:r>
      <w:r>
        <w:t xml:space="preserve"> </w:t>
      </w:r>
      <w:r>
        <w:rPr>
          <w:b/>
        </w:rPr>
        <w:t xml:space="preserve">A. Shen</w:t>
      </w:r>
      <w:r>
        <w:t xml:space="preserve">. 2013. Global Analysis of the Sporulation Pathway of</w:t>
      </w:r>
      <w:r>
        <w:t xml:space="preserve"> </w:t>
      </w:r>
      <w:r>
        <w:rPr>
          <w:i/>
        </w:rPr>
        <w:t xml:space="preserve">Clostridium difficile</w:t>
      </w:r>
      <w:r>
        <w:t xml:space="preserve">. PLoS Genetics</w:t>
      </w:r>
      <w:r>
        <w:t xml:space="preserve"> </w:t>
      </w:r>
      <w:r>
        <w:rPr>
          <w:b/>
        </w:rPr>
        <w:t xml:space="preserve">9</w:t>
      </w:r>
      <w:r>
        <w:t xml:space="preserve">.</w:t>
      </w:r>
    </w:p>
    <w:p>
      <w:pPr>
        <w:pStyle w:val="Bibliography"/>
      </w:pPr>
      <w:r>
        <w:t xml:space="preserve">34.</w:t>
      </w:r>
      <w:r>
        <w:t xml:space="preserve"> </w:t>
      </w:r>
      <w:r>
        <w:rPr>
          <w:b/>
        </w:rPr>
        <w:t xml:space="preserve">Saujet, L.</w:t>
      </w:r>
      <w:r>
        <w:t xml:space="preserve">,</w:t>
      </w:r>
      <w:r>
        <w:t xml:space="preserve"> </w:t>
      </w:r>
      <w:r>
        <w:rPr>
          <w:b/>
        </w:rPr>
        <w:t xml:space="preserve">F. C. Pereira</w:t>
      </w:r>
      <w:r>
        <w:t xml:space="preserve">,</w:t>
      </w:r>
      <w:r>
        <w:t xml:space="preserve"> </w:t>
      </w:r>
      <w:r>
        <w:rPr>
          <w:b/>
        </w:rPr>
        <w:t xml:space="preserve">A. O. Henriques</w:t>
      </w:r>
      <w:r>
        <w:t xml:space="preserve">, and</w:t>
      </w:r>
      <w:r>
        <w:t xml:space="preserve"> </w:t>
      </w:r>
      <w:r>
        <w:rPr>
          <w:b/>
        </w:rPr>
        <w:t xml:space="preserve">I. Martin-Verstraete</w:t>
      </w:r>
      <w:r>
        <w:t xml:space="preserve">. 2014. The regulatory network controlling spore formation in</w:t>
      </w:r>
      <w:r>
        <w:t xml:space="preserve"> </w:t>
      </w:r>
      <w:r>
        <w:rPr>
          <w:i/>
        </w:rPr>
        <w:t xml:space="preserve">Clostridium difficile</w:t>
      </w:r>
      <w:r>
        <w:t xml:space="preserve">. FEMS Microbiology Letters</w:t>
      </w:r>
      <w:r>
        <w:t xml:space="preserve"> </w:t>
      </w:r>
      <w:r>
        <w:rPr>
          <w:b/>
        </w:rPr>
        <w:t xml:space="preserve">358</w:t>
      </w:r>
      <w:r>
        <w:t xml:space="preserve">:1–10.</w:t>
      </w:r>
    </w:p>
    <w:p>
      <w:pPr>
        <w:pStyle w:val="Bibliography"/>
      </w:pPr>
      <w:r>
        <w:t xml:space="preserve">35.</w:t>
      </w:r>
      <w:r>
        <w:t xml:space="preserve"> </w:t>
      </w:r>
      <w:r>
        <w:rPr>
          <w:b/>
        </w:rPr>
        <w:t xml:space="preserve">Matsuno, K.</w:t>
      </w:r>
      <w:r>
        <w:t xml:space="preserve">, and</w:t>
      </w:r>
      <w:r>
        <w:t xml:space="preserve"> </w:t>
      </w:r>
      <w:r>
        <w:rPr>
          <w:b/>
        </w:rPr>
        <w:t xml:space="preserve">A. L. Sonenshein</w:t>
      </w:r>
      <w:r>
        <w:t xml:space="preserve">. 1999. Role of SpoVG in asymmetric septation in</w:t>
      </w:r>
      <w:r>
        <w:t xml:space="preserve"> </w:t>
      </w:r>
      <w:r>
        <w:rPr>
          <w:i/>
        </w:rPr>
        <w:t xml:space="preserve">Bacillus subtilis</w:t>
      </w:r>
      <w:r>
        <w:t xml:space="preserve">. Journal of Bacteriology</w:t>
      </w:r>
      <w:r>
        <w:t xml:space="preserve"> </w:t>
      </w:r>
      <w:r>
        <w:rPr>
          <w:b/>
        </w:rPr>
        <w:t xml:space="preserve">181</w:t>
      </w:r>
      <w:r>
        <w:t xml:space="preserve">:3392–3401.</w:t>
      </w:r>
    </w:p>
    <w:p>
      <w:pPr>
        <w:pStyle w:val="Bibliography"/>
      </w:pPr>
      <w:r>
        <w:t xml:space="preserve">36.</w:t>
      </w:r>
      <w:r>
        <w:t xml:space="preserve"> </w:t>
      </w:r>
      <w:r>
        <w:rPr>
          <w:b/>
        </w:rPr>
        <w:t xml:space="preserve">Lee, A. S. Y.</w:t>
      </w:r>
      <w:r>
        <w:t xml:space="preserve">, and</w:t>
      </w:r>
      <w:r>
        <w:t xml:space="preserve"> </w:t>
      </w:r>
      <w:r>
        <w:rPr>
          <w:b/>
        </w:rPr>
        <w:t xml:space="preserve">K. P. Song</w:t>
      </w:r>
      <w:r>
        <w:t xml:space="preserve">. 2005. LuxS/autoinducer-2 quorum sensing molecule regulates transcriptional virulence gene expression in</w:t>
      </w:r>
      <w:r>
        <w:t xml:space="preserve"> </w:t>
      </w:r>
      <w:r>
        <w:rPr>
          <w:i/>
        </w:rPr>
        <w:t xml:space="preserve">Clostridium difficile</w:t>
      </w:r>
      <w:r>
        <w:t xml:space="preserve">. Biochemical and Biophysical Research Communications</w:t>
      </w:r>
      <w:r>
        <w:t xml:space="preserve"> </w:t>
      </w:r>
      <w:r>
        <w:rPr>
          <w:b/>
        </w:rPr>
        <w:t xml:space="preserve">335</w:t>
      </w:r>
      <w:r>
        <w:t xml:space="preserve">:659–666.</w:t>
      </w:r>
    </w:p>
    <w:p>
      <w:pPr>
        <w:pStyle w:val="Bibliography"/>
      </w:pPr>
      <w:r>
        <w:t xml:space="preserve">37.</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38.</w:t>
      </w:r>
      <w:r>
        <w:t xml:space="preserve"> </w:t>
      </w:r>
      <w:r>
        <w:rPr>
          <w:b/>
        </w:rPr>
        <w:t xml:space="preserve">Donnelly, M. L.</w:t>
      </w:r>
      <w:r>
        <w:t xml:space="preserve">,</w:t>
      </w:r>
      <w:r>
        <w:t xml:space="preserve"> </w:t>
      </w:r>
      <w:r>
        <w:rPr>
          <w:b/>
        </w:rPr>
        <w:t xml:space="preserve">K. A. Fimlaid</w:t>
      </w:r>
      <w:r>
        <w:t xml:space="preserve">, and</w:t>
      </w:r>
      <w:r>
        <w:t xml:space="preserve"> </w:t>
      </w:r>
      <w:r>
        <w:rPr>
          <w:b/>
        </w:rPr>
        <w:t xml:space="preserve">A. Shen</w:t>
      </w:r>
      <w:r>
        <w:t xml:space="preserve">. 2016. Characterization of</w:t>
      </w:r>
      <w:r>
        <w:t xml:space="preserve"> </w:t>
      </w:r>
      <w:r>
        <w:rPr>
          <w:i/>
        </w:rPr>
        <w:t xml:space="preserve">Clostridium difficile</w:t>
      </w:r>
      <w:r>
        <w:t xml:space="preserve"> </w:t>
      </w:r>
      <w:r>
        <w:t xml:space="preserve">spores lacking either SpoVAC or DPA Synthetase. Journal of Bacteriology JB.00986–15.</w:t>
      </w:r>
    </w:p>
    <w:p>
      <w:pPr>
        <w:pStyle w:val="Bibliography"/>
      </w:pPr>
      <w:r>
        <w:t xml:space="preserve">39.</w:t>
      </w:r>
      <w:r>
        <w:t xml:space="preserve"> </w:t>
      </w:r>
      <w:r>
        <w:rPr>
          <w:b/>
        </w:rPr>
        <w:t xml:space="preserve">Dineen, S. S.</w:t>
      </w:r>
      <w:r>
        <w:t xml:space="preserve">,</w:t>
      </w:r>
      <w:r>
        <w:t xml:space="preserve"> </w:t>
      </w:r>
      <w:r>
        <w:rPr>
          <w:b/>
        </w:rPr>
        <w:t xml:space="preserve">A. C. Villapakkam</w:t>
      </w:r>
      <w:r>
        <w:t xml:space="preserve">,</w:t>
      </w:r>
      <w:r>
        <w:t xml:space="preserve"> </w:t>
      </w:r>
      <w:r>
        <w:rPr>
          <w:b/>
        </w:rPr>
        <w:t xml:space="preserve">J. T. Nordman</w:t>
      </w:r>
      <w:r>
        <w:t xml:space="preserve">, and</w:t>
      </w:r>
      <w:r>
        <w:t xml:space="preserve"> </w:t>
      </w:r>
      <w:r>
        <w:rPr>
          <w:b/>
        </w:rPr>
        <w:t xml:space="preserve">A. L. Sonenshein</w:t>
      </w:r>
      <w:r>
        <w:t xml:space="preserve">. 2007. Repression of</w:t>
      </w:r>
      <w:r>
        <w:t xml:space="preserve"> </w:t>
      </w:r>
      <w:r>
        <w:rPr>
          <w:i/>
        </w:rPr>
        <w:t xml:space="preserve">Clostridium difficile</w:t>
      </w:r>
      <w:r>
        <w:t xml:space="preserve"> </w:t>
      </w:r>
      <w:r>
        <w:t xml:space="preserve">toxin gene expression by CodY. Molecular Microbiology</w:t>
      </w:r>
      <w:r>
        <w:t xml:space="preserve"> </w:t>
      </w:r>
      <w:r>
        <w:rPr>
          <w:b/>
        </w:rPr>
        <w:t xml:space="preserve">66</w:t>
      </w:r>
      <w:r>
        <w:t xml:space="preserve">:206–219.</w:t>
      </w:r>
    </w:p>
    <w:p>
      <w:pPr>
        <w:pStyle w:val="Bibliography"/>
      </w:pPr>
      <w:r>
        <w:t xml:space="preserve">40.</w:t>
      </w:r>
      <w:r>
        <w:t xml:space="preserve"> </w:t>
      </w:r>
      <w:r>
        <w:rPr>
          <w:b/>
        </w:rPr>
        <w:t xml:space="preserve">Martin-Verstraete, I.</w:t>
      </w:r>
      <w:r>
        <w:t xml:space="preserve">,</w:t>
      </w:r>
      <w:r>
        <w:t xml:space="preserve"> </w:t>
      </w:r>
      <w:r>
        <w:rPr>
          <w:b/>
        </w:rPr>
        <w:t xml:space="preserve">J. Peltier</w:t>
      </w:r>
      <w:r>
        <w:t xml:space="preserve">, and</w:t>
      </w:r>
      <w:r>
        <w:t xml:space="preserve"> </w:t>
      </w:r>
      <w:r>
        <w:rPr>
          <w:b/>
        </w:rPr>
        <w:t xml:space="preserve">B. Dupuy</w:t>
      </w:r>
      <w:r>
        <w:t xml:space="preserve">. 2016. The regulatory networks that control</w:t>
      </w:r>
      <w:r>
        <w:t xml:space="preserve"> </w:t>
      </w:r>
      <w:r>
        <w:rPr>
          <w:i/>
        </w:rPr>
        <w:t xml:space="preserve">Clostridium difficile</w:t>
      </w:r>
      <w:r>
        <w:t xml:space="preserve"> </w:t>
      </w:r>
      <w:r>
        <w:t xml:space="preserve">toxin synthesis. U.S. Patent 5.</w:t>
      </w:r>
    </w:p>
    <w:p>
      <w:pPr>
        <w:pStyle w:val="Bibliography"/>
      </w:pPr>
      <w:r>
        <w:t xml:space="preserve">41.</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42.</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43.</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44.</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45.</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p>
      <w:pPr>
        <w:pStyle w:val="Bibliography"/>
      </w:pPr>
      <w:r>
        <w:t xml:space="preserve">46.</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47.</w:t>
      </w:r>
      <w:r>
        <w:t xml:space="preserve"> </w:t>
      </w:r>
      <w:r>
        <w:rPr>
          <w:b/>
        </w:rPr>
        <w:t xml:space="preserve">Fonknechten, N.</w:t>
      </w:r>
      <w:r>
        <w:t xml:space="preserve">,</w:t>
      </w:r>
      <w:r>
        <w:t xml:space="preserve"> </w:t>
      </w:r>
      <w:r>
        <w:rPr>
          <w:b/>
        </w:rPr>
        <w:t xml:space="preserve">S. Chaussonnerie</w:t>
      </w:r>
      <w:r>
        <w:t xml:space="preserve">,</w:t>
      </w:r>
      <w:r>
        <w:t xml:space="preserve"> </w:t>
      </w:r>
      <w:r>
        <w:rPr>
          <w:b/>
        </w:rPr>
        <w:t xml:space="preserve">S. Tricot</w:t>
      </w:r>
      <w:r>
        <w:t xml:space="preserve">,</w:t>
      </w:r>
      <w:r>
        <w:t xml:space="preserve"> </w:t>
      </w:r>
      <w:r>
        <w:rPr>
          <w:b/>
        </w:rPr>
        <w:t xml:space="preserve">A. Lajus</w:t>
      </w:r>
      <w:r>
        <w:t xml:space="preserve">,</w:t>
      </w:r>
      <w:r>
        <w:t xml:space="preserve"> </w:t>
      </w:r>
      <w:r>
        <w:rPr>
          <w:b/>
        </w:rPr>
        <w:t xml:space="preserve">J. R. Andreesen</w:t>
      </w:r>
      <w:r>
        <w:t xml:space="preserve">,</w:t>
      </w:r>
      <w:r>
        <w:t xml:space="preserve"> </w:t>
      </w:r>
      <w:r>
        <w:rPr>
          <w:b/>
        </w:rPr>
        <w:t xml:space="preserve">N. Perchat</w:t>
      </w:r>
      <w:r>
        <w:t xml:space="preserve">,</w:t>
      </w:r>
      <w:r>
        <w:t xml:space="preserve"> </w:t>
      </w:r>
      <w:r>
        <w:rPr>
          <w:b/>
        </w:rPr>
        <w:t xml:space="preserve">E. Pelletier</w:t>
      </w:r>
      <w:r>
        <w:t xml:space="preserve">,</w:t>
      </w:r>
      <w:r>
        <w:t xml:space="preserve"> </w:t>
      </w:r>
      <w:r>
        <w:rPr>
          <w:b/>
        </w:rPr>
        <w:t xml:space="preserve">M. Gouyvenoux</w:t>
      </w:r>
      <w:r>
        <w:t xml:space="preserve">,</w:t>
      </w:r>
      <w:r>
        <w:t xml:space="preserve"> </w:t>
      </w:r>
      <w:r>
        <w:rPr>
          <w:b/>
        </w:rPr>
        <w:t xml:space="preserve">V. Barbe</w:t>
      </w:r>
      <w:r>
        <w:t xml:space="preserve">,</w:t>
      </w:r>
      <w:r>
        <w:t xml:space="preserve"> </w:t>
      </w:r>
      <w:r>
        <w:rPr>
          <w:b/>
        </w:rPr>
        <w:t xml:space="preserve">M. Salanoubat</w:t>
      </w:r>
      <w:r>
        <w:t xml:space="preserve">,</w:t>
      </w:r>
      <w:r>
        <w:t xml:space="preserve"> </w:t>
      </w:r>
      <w:r>
        <w:rPr>
          <w:b/>
        </w:rPr>
        <w:t xml:space="preserve">D. Le Paslier</w:t>
      </w:r>
      <w:r>
        <w:t xml:space="preserve">,</w:t>
      </w:r>
      <w:r>
        <w:t xml:space="preserve"> </w:t>
      </w:r>
      <w:r>
        <w:rPr>
          <w:b/>
        </w:rPr>
        <w:t xml:space="preserve">J. Weissenbach</w:t>
      </w:r>
      <w:r>
        <w:t xml:space="preserve">,</w:t>
      </w:r>
      <w:r>
        <w:t xml:space="preserve"> </w:t>
      </w:r>
      <w:r>
        <w:rPr>
          <w:b/>
        </w:rPr>
        <w:t xml:space="preserve">G. N. Cohen</w:t>
      </w:r>
      <w:r>
        <w:t xml:space="preserve">, and</w:t>
      </w:r>
      <w:r>
        <w:t xml:space="preserve"> </w:t>
      </w:r>
      <w:r>
        <w:rPr>
          <w:b/>
        </w:rPr>
        <w:t xml:space="preserve">A. Kreimeyer</w:t>
      </w:r>
      <w:r>
        <w:t xml:space="preserve">. 2010.</w:t>
      </w:r>
      <w:r>
        <w:t xml:space="preserve"> </w:t>
      </w:r>
      <w:r>
        <w:rPr>
          <w:i/>
        </w:rPr>
        <w:t xml:space="preserve">Clostridium sticklandii</w:t>
      </w:r>
      <w:r>
        <w:t xml:space="preserve">, a specialist in amino acid degradation:revisiting its metabolism through its genome sequence. BMC genomics</w:t>
      </w:r>
      <w:r>
        <w:t xml:space="preserve"> </w:t>
      </w:r>
      <w:r>
        <w:rPr>
          <w:b/>
        </w:rPr>
        <w:t xml:space="preserve">11</w:t>
      </w:r>
      <w:r>
        <w:t xml:space="preserve">:555.</w:t>
      </w:r>
    </w:p>
    <w:p>
      <w:pPr>
        <w:pStyle w:val="Bibliography"/>
      </w:pPr>
      <w:r>
        <w:t xml:space="preserve">48.</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49.</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50.</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51.</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52.</w:t>
      </w:r>
      <w:r>
        <w:t xml:space="preserve"> </w:t>
      </w:r>
      <w:r>
        <w:rPr>
          <w:b/>
        </w:rPr>
        <w:t xml:space="preserve">Karlsson, S.</w:t>
      </w:r>
      <w:r>
        <w:t xml:space="preserve">,</w:t>
      </w:r>
      <w:r>
        <w:t xml:space="preserve"> </w:t>
      </w:r>
      <w:r>
        <w:rPr>
          <w:b/>
        </w:rPr>
        <w:t xml:space="preserve">L. G. Burman</w:t>
      </w:r>
      <w:r>
        <w:t xml:space="preserve">, and</w:t>
      </w:r>
      <w:r>
        <w:t xml:space="preserve"> </w:t>
      </w:r>
      <w:r>
        <w:rPr>
          <w:b/>
        </w:rPr>
        <w:t xml:space="preserve">T. Åkerlund</w:t>
      </w:r>
      <w:r>
        <w:t xml:space="preserve">. 2008. Induction of toxins in</w:t>
      </w:r>
      <w:r>
        <w:t xml:space="preserve"> </w:t>
      </w:r>
      <w:r>
        <w:rPr>
          <w:i/>
        </w:rPr>
        <w:t xml:space="preserve">Clostridium difficile</w:t>
      </w:r>
      <w:r>
        <w:t xml:space="preserve"> </w:t>
      </w:r>
      <w:r>
        <w:t xml:space="preserve">is associated with dramatic changes of its metabolism. Microbiology</w:t>
      </w:r>
      <w:r>
        <w:t xml:space="preserve"> </w:t>
      </w:r>
      <w:r>
        <w:rPr>
          <w:b/>
        </w:rPr>
        <w:t xml:space="preserve">154</w:t>
      </w:r>
      <w:r>
        <w:t xml:space="preserve">:3430–3436.</w:t>
      </w:r>
    </w:p>
    <w:p>
      <w:pPr>
        <w:pStyle w:val="Bibliography"/>
      </w:pPr>
      <w:r>
        <w:t xml:space="preserve">53.</w:t>
      </w:r>
      <w:r>
        <w:t xml:space="preserve"> </w:t>
      </w:r>
      <w:r>
        <w:rPr>
          <w:b/>
        </w:rPr>
        <w:t xml:space="preserve">Hartwich, K.</w:t>
      </w:r>
      <w:r>
        <w:t xml:space="preserve">,</w:t>
      </w:r>
      <w:r>
        <w:t xml:space="preserve"> </w:t>
      </w:r>
      <w:r>
        <w:rPr>
          <w:b/>
        </w:rPr>
        <w:t xml:space="preserve">A. Poehlein</w:t>
      </w:r>
      <w:r>
        <w:t xml:space="preserve">, and</w:t>
      </w:r>
      <w:r>
        <w:t xml:space="preserve"> </w:t>
      </w:r>
      <w:r>
        <w:rPr>
          <w:b/>
        </w:rPr>
        <w:t xml:space="preserve">R. Daniel</w:t>
      </w:r>
      <w:r>
        <w:t xml:space="preserve">. 2012. The Purine-Utilizing Bacterium Clostridium acidurici 9a: A Genome-Guided Metabolic Reconsideration. PLoS ONE</w:t>
      </w:r>
      <w:r>
        <w:t xml:space="preserve"> </w:t>
      </w:r>
      <w:r>
        <w:rPr>
          <w:b/>
        </w:rPr>
        <w:t xml:space="preserve">7</w:t>
      </w:r>
      <w:r>
        <w:t xml:space="preserve">.</w:t>
      </w:r>
    </w:p>
    <w:p>
      <w:pPr>
        <w:pStyle w:val="Bibliography"/>
      </w:pPr>
      <w:r>
        <w:t xml:space="preserve">54.</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55.</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56.</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57.</w:t>
      </w:r>
      <w:r>
        <w:t xml:space="preserve"> </w:t>
      </w:r>
      <w:r>
        <w:rPr>
          <w:b/>
        </w:rPr>
        <w:t xml:space="preserve">Levy, R.</w:t>
      </w:r>
      <w:r>
        <w:t xml:space="preserve">, and</w:t>
      </w:r>
      <w:r>
        <w:t xml:space="preserve"> </w:t>
      </w:r>
      <w:r>
        <w:rPr>
          <w:b/>
        </w:rPr>
        <w:t xml:space="preserve">E. Borenstein</w:t>
      </w:r>
      <w:r>
        <w:t xml:space="preserve">. 2012. Reverse Ecology: from systems to environments and back. Advances in experimental medicine and biology</w:t>
      </w:r>
      <w:r>
        <w:t xml:space="preserve"> </w:t>
      </w:r>
      <w:r>
        <w:rPr>
          <w:b/>
        </w:rPr>
        <w:t xml:space="preserve">751</w:t>
      </w:r>
      <w:r>
        <w:t xml:space="preserve">:329–345.</w:t>
      </w:r>
    </w:p>
    <w:p>
      <w:pPr>
        <w:pStyle w:val="Bibliography"/>
      </w:pPr>
      <w:r>
        <w:t xml:space="preserve">58.</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59.</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60.</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61.</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62.</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63.</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64.</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65.</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66.</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67.</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68.</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889cc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2017-03-14T16:39:02Z</dcterms:created>
  <dcterms:modified xsi:type="dcterms:W3CDTF">2017-03-14T16:39:02Z</dcterms:modified>
</cp:coreProperties>
</file>