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These findings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separate classes of antibiotics,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resulted in unique gut bacterial communities that were all equally receptive to similar levels of</w:t>
      </w:r>
      <w:r>
        <w:t xml:space="preserve"> </w:t>
      </w:r>
      <w:r>
        <w:rPr>
          <w:i/>
        </w:rPr>
        <w:t xml:space="preserve">C. difficile</w:t>
      </w:r>
      <w:r>
        <w:t xml:space="preserve"> </w:t>
      </w:r>
      <w:r>
        <w:t xml:space="preserve">colonization. Others have also shown that several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unaltered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w:t>
      </w:r>
      <w:r>
        <w:t xml:space="preserve"> </w:t>
      </w:r>
      <w:r>
        <w:rPr>
          <w:i/>
        </w:rPr>
        <w:t xml:space="preserve">C. difficile</w:t>
      </w:r>
      <w:r>
        <w:t xml:space="preserve"> </w:t>
      </w:r>
      <w:r>
        <w:t xml:space="preserve">transcriptomic and untargeted metabolomic analyses from infected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toxin production,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w:t>
      </w:r>
      <w:r>
        <w:t xml:space="preserve"> </w:t>
      </w:r>
      <w:r>
        <w:rPr>
          <w:i/>
        </w:rPr>
        <w:t xml:space="preserve">C. difficile</w:t>
      </w:r>
      <w:r>
        <w:t xml:space="preserve"> </w:t>
      </w:r>
      <w:r>
        <w:t xml:space="preserve">colonizing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w:t>
      </w:r>
      <w:r>
        <w:t xml:space="preserve"> </w:t>
      </w:r>
      <w:r>
        <w:rPr>
          <w:i/>
        </w:rPr>
        <w:t xml:space="preserve">C. difficile</w:t>
      </w:r>
      <w:r>
        <w:t xml:space="preserve"> </w:t>
      </w:r>
      <w:r>
        <w:t xml:space="preserve">represented only a small precentage of the community in each colonized environment (Fig. S2C), making individual sequencing efforts for each mouse was impossible due to the depth required to sufficiently sequence the transcriptome of</w:t>
      </w:r>
      <w:r>
        <w:t xml:space="preserve"> </w:t>
      </w:r>
      <w:r>
        <w:rPr>
          <w:i/>
        </w:rPr>
        <w:t xml:space="preserve">C. difficile</w:t>
      </w:r>
      <w:r>
        <w:t xml:space="preserve">. Because of this, we generated a single transcriptome per condition of pooled mRNA from all mice within pretreatment groups with ~300 million reads per pool (Table S5). In order to provide statistical validation for our network-based findings, we adopted a Monte Carlo-style simulation for iterative random transcriptome comparison.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strain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One possible explanation for the differences seen in metabolite importance and substrate availability could be concomitant decreases in population density of one or more competitors for certain resources. Ex-GF mice, where no other microbial competitors are present, provided a partially controlled system of resource competition. In this condition, Neu5Ac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reports all metabolites that are being utilized.</w:t>
      </w:r>
    </w:p>
    <w:p>
      <w:pPr>
        <w:pStyle w:val="BodyText"/>
      </w:pPr>
      <w:r>
        <w:t xml:space="preserve">Several factors impacted our approach to generating and interpreting transcriptomic and metabolomic data, despite some previously mentioned limitations. Most prominently, microarray-based gene expression measurement was not a viable alternative to sequencing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The metabolic patterns of the other species in each system (host and microbe) could instead be altered by pathogen colonization. As the concentrations of metabolites in our untargeted assay are reported in relative terms, it is currently difficult to discern if the available biomass of</w:t>
      </w:r>
      <w:r>
        <w:t xml:space="preserve"> </w:t>
      </w:r>
      <w:r>
        <w:rPr>
          <w:i/>
        </w:rPr>
        <w:t xml:space="preserve">C. difficile</w:t>
      </w:r>
      <w:r>
        <w:t xml:space="preserve"> </w:t>
      </w:r>
      <w:r>
        <w:t xml:space="preserve">reaches a level to create these differences on its own.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~1,000,000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and precent abundances.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w:t>
      </w:r>
      <w:r>
        <w:t xml:space="preserve"> </w:t>
      </w:r>
      <w:r>
        <w:rPr>
          <w:i/>
        </w:rPr>
        <w:t xml:space="preserve">Clostridium difficile</w:t>
      </w:r>
      <w:r>
        <w:t xml:space="preserv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9cb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2017-04-17T15:11:54Z</dcterms:created>
  <dcterms:modified xsi:type="dcterms:W3CDTF">2017-04-17T15:11:54Z</dcterms:modified>
</cp:coreProperties>
</file>