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Moreover,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fidelity. Fidelity was also the reason that microarray-based gene expression analysis was not a viable alternative as the amount of background orthologous transcription from other bacterial species would contribute greatly to background non-specific binding and eliminate true</w:t>
      </w:r>
      <w:r>
        <w:t xml:space="preserve"> </w:t>
      </w:r>
      <w:r>
        <w:rPr>
          <w:i/>
        </w:rPr>
        <w:t xml:space="preserve">C. difficile</w:t>
      </w:r>
      <w:r>
        <w:t xml:space="preserve"> </w:t>
      </w:r>
      <w:r>
        <w:t xml:space="preserve">signal. Upon sequencing, 300 million raw paired-end reads were collected per pooled sample with an average of ~167 thousand reads attributed to</w:t>
      </w:r>
      <w:r>
        <w:t xml:space="preserve"> </w:t>
      </w:r>
      <w:r>
        <w:rPr>
          <w:i/>
        </w:rPr>
        <w:t xml:space="preserve">C. difficile</w:t>
      </w:r>
      <w:r>
        <w:t xml:space="preserve"> </w:t>
      </w:r>
      <w:r>
        <w:t xml:space="preserve">following all curation steps.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their high level of overall expression. Genes for the metabolism of the host-derived amino sugars N-acetylglucosamine and N-acetylmannosamine were also expressed at consistent levels across each treatment group. Along similar lines with related molecules, a number of genes for processing certain monosaccharides through glycolysis, as well as catabolism of the polysaccharides trehalose and cellibiose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Alpha/beta-galactosidase genes were also overrepresented in clindamycin-treated mice. Together these patterns suggested that polysaccharide fermentation occurred this condition. The Glycolysis-associated category includes genes for not only the steps of glycolysis, but also several genes that mediate entry points of monosaccharides to glycolysis.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Together, these results validate that our model of</w:t>
      </w:r>
      <w:r>
        <w:t xml:space="preserve"> </w:t>
      </w:r>
      <w:r>
        <w:rPr>
          <w:i/>
        </w:rPr>
        <w:t xml:space="preserve">C. difficile</w:t>
      </w:r>
      <w:r>
        <w:t xml:space="preserve"> </w:t>
      </w:r>
      <w:r>
        <w:t xml:space="preserve">str. 630 as a platform for studying metabolism of this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more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important shared metabolite (Fig. 4B),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for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investigated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indeed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6D) ex-GF mice (Fig. 6E) demonstrated a significant correlation between importance scores and (</w:t>
      </w:r>
      <w:r>
        <w:t xml:space="preserve"> </w:t>
      </w:r>
      <w:r>
        <w:t xml:space="preserve">) median scaled intensity (</w:t>
      </w:r>
      <w:r>
        <w:rPr>
          <w:i/>
        </w:rPr>
        <w:t xml:space="preserve">P</w:t>
      </w:r>
      <w:r>
        <w:t xml:space="preserve"> </w:t>
      </w:r>
      <w:r>
        <w:t xml:space="preserve">= 0.008 &amp; 0.003).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Moreover,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 However,</w:t>
      </w:r>
      <w:r>
        <w:t xml:space="preserve"> </w:t>
      </w:r>
      <w:r>
        <w:rPr>
          <w:i/>
        </w:rPr>
        <w:t xml:space="preserve">C. difficile</w:t>
      </w:r>
      <w:r>
        <w:t xml:space="preserve"> </w:t>
      </w:r>
      <w:r>
        <w:t xml:space="preserve">was able to grow without defect. This was due to the hydroxyproline, a non-proteinogenic amino acid, can replace proline in Stickland fermentation and circumvents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S3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a639a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2017-03-16T15:45:59Z</dcterms:created>
  <dcterms:modified xsi:type="dcterms:W3CDTF">2017-03-16T15:45:59Z</dcterms:modified>
</cp:coreProperties>
</file>