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major risk factor for CDI is prior exposure to antibiotics, as antibiotics can disrupt the gut bacterial community that protects from C. difficile colonization.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the available nutrients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that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variation in the expression of numerous catabolic pathways for various carbon sources. To assess which resources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growth substrates that</w:t>
      </w:r>
      <w:r>
        <w:t xml:space="preserve"> </w:t>
      </w:r>
      <w:r>
        <w:rPr>
          <w:i/>
        </w:rPr>
        <w:t xml:space="preserve">C. difficile</w:t>
      </w:r>
      <w:r>
        <w:t xml:space="preserve"> </w:t>
      </w:r>
      <w:r>
        <w:t xml:space="preserve">used 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BodyText"/>
      </w:pPr>
      <w:r>
        <w:t xml:space="preserve">In this study we demonstrate that not only does C. difficile alter pathogenesis between differentially sensitized hosts, but also exploits separate nutrient niches across environments. Our results support that C. difficile possesses a highly plastic nutrient niche space, allowing it to successfully infect distinct communities. This work also provides evidence that C. difficile virulence may be driven by accessibility of specific carbon sources during infection. This work could lead to the discovery of targeted measures to prevent C. difficile colonization including potential pre- or probiotic therapies. Our metabolite importance calculation workflow also provides a platform to study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an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(23)</w:t>
      </w:r>
      <w:r>
        <w:t xml:space="preserve"> </w:t>
      </w:r>
      <w:r>
        <w:t xml:space="preserve">and well-annotated genome</w:t>
      </w:r>
      <w:r>
        <w:t xml:space="preserve"> </w:t>
      </w:r>
      <w:r>
        <w:t xml:space="preserve">(24)</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(26)</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(27)</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(28)</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(30)</w:t>
      </w:r>
      <w:r>
        <w:t xml:space="preserve">. The Stickland fermentation acceptor proline was also found to be important in all conditions tested</w:t>
      </w:r>
      <w:r>
        <w:t xml:space="preserve"> </w:t>
      </w:r>
      <w:r>
        <w:t xml:space="preserve">(31)</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(6, 12, 32)</w:t>
      </w:r>
      <w:r>
        <w:t xml:space="preserve"> </w:t>
      </w:r>
      <w:r>
        <w:t xml:space="preserve">(Fig.4B).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(33)</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(32)</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(34)</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(35)</w:t>
      </w:r>
      <w:r>
        <w:t xml:space="preserve">. Additionally, alanine was also found to be important in this condition and is a preferred electron donating amino acid in Stickland fermentation</w:t>
      </w:r>
      <w:r>
        <w:t xml:space="preserve"> </w:t>
      </w:r>
      <w:r>
        <w:t xml:space="preserve">(26)</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(19, 22)</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higher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gastrointestinal tract</w:t>
      </w:r>
      <w:r>
        <w:t xml:space="preserve"> </w:t>
      </w:r>
      <w:r>
        <w:t xml:space="preserve">(36)</w:t>
      </w:r>
      <w:r>
        <w:t xml:space="preserve">. This makes Stickland fermentation a valuable metabolic strategy, and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(37)</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(38)</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(39)</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(23)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sufficient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The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(47)</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24.</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30.</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31.</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32.</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33.</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34.</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35.</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39.</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401c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2017-04-12T14:39:09Z</dcterms:created>
  <dcterms:modified xsi:type="dcterms:W3CDTF">2017-04-12T14:39:09Z</dcterms:modified>
</cp:coreProperties>
</file>