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results were validated through correlation with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utilized alternative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maintained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indicated that</w:t>
      </w:r>
      <w:r>
        <w:t xml:space="preserve"> </w:t>
      </w:r>
      <w:r>
        <w:rPr>
          <w:i/>
        </w:rPr>
        <w:t xml:space="preserve">C. difficile</w:t>
      </w:r>
      <w:r>
        <w:t xml:space="preserve"> </w:t>
      </w:r>
      <w:r>
        <w:t xml:space="preserve">colonized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any ceca of the antibiotic-treated SPF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and allowed for some degree of conservation of replicates for downstream analysis. Since these circumstances were unavaoidable, we treated this as normalizing for the average expression of</w:t>
      </w:r>
      <w:r>
        <w:t xml:space="preserve"> </w:t>
      </w:r>
      <w:r>
        <w:rPr>
          <w:i/>
        </w:rPr>
        <w:t xml:space="preserve">C. difficile</w:t>
      </w:r>
      <w:r>
        <w:t xml:space="preserve"> </w:t>
      </w:r>
      <w:r>
        <w:t xml:space="preserve">in each environment.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(20, 26)</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(27)</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suggested that catabolism of amino acids and specific carbohydrates are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(28)</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(29)</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(31)</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(32)</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(33–35)</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(6, 12, 36)</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(37)</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(36)</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their synthesis.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(38)</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suggested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with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(39)</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with significant change in cefoperazone-pretreatment (</w:t>
      </w:r>
      <w:r>
        <w:rPr>
          <w:i/>
        </w:rPr>
        <w:t xml:space="preserve">P</w:t>
      </w:r>
      <w:r>
        <w:t xml:space="preserve"> </w:t>
      </w:r>
      <w:r>
        <w:t xml:space="preserve">= 0.217). These results strongly supported the hypothesis that amino acids are a primary energy source of</w:t>
      </w:r>
      <w:r>
        <w:t xml:space="preserve"> </w:t>
      </w:r>
      <w:r>
        <w:rPr>
          <w:i/>
        </w:rPr>
        <w:t xml:space="preserve">C. difficile</w:t>
      </w:r>
      <w:r>
        <w:t xml:space="preserve"> </w:t>
      </w:r>
      <w:r>
        <w:t xml:space="preserve">during infection.</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Applying least-squared residuals analysis, we found that 16 metabolites were determined to be outliers and were all classified 1 of 3 separate KEGG annotation categories; amino acids, carbohydrates, and nucleotides (Table S5). We went on to identify the majority subset of 12 outlier metabolites that were important and significantly decreased in their respective condition were annotated as growth substrates or growth enhancers of</w:t>
      </w:r>
      <w:r>
        <w:t xml:space="preserve"> </w:t>
      </w:r>
      <w:r>
        <w:rPr>
          <w:i/>
        </w:rPr>
        <w:t xml:space="preserve">C. difficile</w:t>
      </w:r>
      <w:r>
        <w:t xml:space="preserve"> </w:t>
      </w:r>
      <w:r>
        <w:t xml:space="preserve">(38)</w:t>
      </w:r>
      <w:r>
        <w:t xml:space="preserve">. This included L-proline, L-threonine, N-acetyl-D-glucosamine, D-fructose, and galactitol. These results were interpretted as not a failure of our importance algortihm, but as a possible underestimation of enzyme efficiency for the consumption these metabolites which further supports our approach as a way to determine real</w:t>
      </w:r>
      <w:r>
        <w:t xml:space="preserve"> </w:t>
      </w:r>
      <w:r>
        <w:rPr>
          <w:i/>
        </w:rPr>
        <w:t xml:space="preserve">in vivo</w:t>
      </w:r>
      <w:r>
        <w:t xml:space="preserve"> </w:t>
      </w:r>
      <w:r>
        <w:t xml:space="preserve">metabolic strategies for</w:t>
      </w:r>
      <w:r>
        <w:t xml:space="preserve"> </w:t>
      </w:r>
      <w:r>
        <w:rPr>
          <w:i/>
        </w:rPr>
        <w:t xml:space="preserve">C. difficile</w:t>
      </w:r>
      <w:r>
        <w:t xml:space="preserve">. We also explored those metabolites that were more likely to be produced based on importance scores but decreased during infection. These were the nucleotides adenine, deoxyadenosine, and xanthine.</w:t>
      </w:r>
      <w:r>
        <w:t xml:space="preserve"> </w:t>
      </w:r>
      <w:r>
        <w:rPr>
          <w:i/>
        </w:rPr>
        <w:t xml:space="preserve">C. difficile</w:t>
      </w:r>
      <w:r>
        <w:t xml:space="preserve"> </w:t>
      </w:r>
      <w:r>
        <w:t xml:space="preserve">has been shown to possess the capacity for their synthesis</w:t>
      </w:r>
      <w:r>
        <w:t xml:space="preserve"> </w:t>
      </w:r>
      <w:r>
        <w:t xml:space="preserve">(39)</w:t>
      </w:r>
      <w:r>
        <w:t xml:space="preserve">, but also may have the ability to catabolize these purines to participate downstream in Stickland reactions</w:t>
      </w:r>
      <w:r>
        <w:t xml:space="preserve"> </w:t>
      </w:r>
      <w:r>
        <w:t xml:space="preserve">(40)</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(35)</w:t>
      </w:r>
      <w:r>
        <w:t xml:space="preserve">. Together, these data supported network-derived importance scores as well as our hypothesis that</w:t>
      </w:r>
      <w:r>
        <w:t xml:space="preserve"> </w:t>
      </w:r>
      <w:r>
        <w:rPr>
          <w:i/>
        </w:rPr>
        <w:t xml:space="preserve">C. difficile</w:t>
      </w:r>
      <w:r>
        <w:t xml:space="preserve"> </w:t>
      </w:r>
      <w:r>
        <w:t xml:space="preserve">adapted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Our results collectively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(41)</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(42)</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(43)</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(44)</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(45)</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was able to optimize its nutritional strategy for separate carbohydrates in each colonized gut environment. We also found that Stickland fermentation substrates and host-derived glycans were conserved elements of</w:t>
      </w:r>
      <w:r>
        <w:t xml:space="preserve"> </w:t>
      </w:r>
      <w:r>
        <w:rPr>
          <w:i/>
        </w:rPr>
        <w:t xml:space="preserve">C. difficile</w:t>
      </w:r>
      <w:r>
        <w:t xml:space="preserve">'s nutrient niche across distinct gut communities. Our results implicate that further considerations are needed for the design or targeted prebiotic and probiotic therapies to prevent or eliminate of</w:t>
      </w:r>
      <w:r>
        <w:t xml:space="preserve"> </w:t>
      </w:r>
      <w:r>
        <w:rPr>
          <w:i/>
        </w:rPr>
        <w:t xml:space="preserve">C. difficile</w:t>
      </w:r>
      <w:r>
        <w:t xml:space="preserve"> </w:t>
      </w:r>
      <w:r>
        <w:t xml:space="preserve">from a colonized gut.</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(46)</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(47)</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(48)</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(49)</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(50)</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(50)</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(51)</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(52)</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(53)</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(54)</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(55)</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(57)</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(all</w:t>
      </w:r>
      <w:r>
        <w:t xml:space="preserve">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(all</w:t>
      </w:r>
      <w:r>
        <w:t xml:space="preserve">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signed-rank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with important carbon sources.</w:t>
      </w:r>
      <w:r>
        <w:t xml:space="preserve"> </w:t>
      </w:r>
      <w:r>
        <w:t xml:space="preserve">Important metabolites included in this analysis were calculated at &lt;5% probability to be a result of their associated random score distribution.</w:t>
      </w:r>
      <w:r>
        <w:t xml:space="preserve"> </w:t>
      </w:r>
      <w:r>
        <w:rPr>
          <w:b/>
        </w:rPr>
        <w:t xml:space="preserve">(A)</w:t>
      </w:r>
      <w:r>
        <w:t xml:space="preserve"> </w:t>
      </w:r>
      <w:r>
        <w:t xml:space="preserve">Median shared metabolites among the 50 highest scoring metabolites from each condition.</w:t>
      </w:r>
      <w:r>
        <w:t xml:space="preserve"> </w:t>
      </w:r>
      <w:r>
        <w:rPr>
          <w:b/>
        </w:rPr>
        <w:t xml:space="preserve">(B)</w:t>
      </w:r>
      <w:r>
        <w:t xml:space="preserve"> </w:t>
      </w:r>
      <w:r>
        <w:t xml:space="preserve">Distinctly important metabolites from each treatment group.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curves validating identified growth nutrients from network analysis. All statistical comparison was performed in comparison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signed-rank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signed-rank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27.</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32.</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33.</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34.</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35.</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36.</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37.</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39.</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40.</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41.</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42.</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43.</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44.</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45.</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46.</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47.</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48.</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49.</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50.</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51.</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52.</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53.</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54.</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55.</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56.</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57.</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9dfb2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2017-03-20T14:55:08Z</dcterms:created>
  <dcterms:modified xsi:type="dcterms:W3CDTF">2017-03-20T14:55:08Z</dcterms:modified>
</cp:coreProperties>
</file>