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microbiomes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largest single cause of hospital-acquired infection in the United States. A major risk factor for</w:t>
      </w:r>
      <w:r>
        <w:t xml:space="preserve"> </w:t>
      </w:r>
      <w:r>
        <w:rPr>
          <w:i/>
        </w:rPr>
        <w:t xml:space="preserve">Clostridium difficile</w:t>
      </w:r>
      <w:r>
        <w:t xml:space="preserve"> </w:t>
      </w:r>
      <w:r>
        <w:t xml:space="preserve">infection (CDI) is prior exposure to antibiotics, as they disrupt the gut bacterial community which protects from</w:t>
      </w:r>
      <w:r>
        <w:t xml:space="preserve"> </w:t>
      </w:r>
      <w:r>
        <w:rPr>
          <w:i/>
        </w:rPr>
        <w:t xml:space="preserve">C. difficile</w:t>
      </w:r>
      <w:r>
        <w:t xml:space="preserve"> </w:t>
      </w:r>
      <w:r>
        <w:t xml:space="preserve">colonization. Multiple antibiotic classes have been associated with CDI susceptibility; many leading to distinct community structures stemming from variation in bacterial targets of action. These microbiomes present separate metabolic challenges to</w:t>
      </w:r>
      <w:r>
        <w:t xml:space="preserve"> </w:t>
      </w:r>
      <w:r>
        <w:rPr>
          <w:i/>
        </w:rPr>
        <w:t xml:space="preserve">C. difficile</w:t>
      </w:r>
      <w:r>
        <w:t xml:space="preserve">, therefore we hypothesized that the pathogen adapts its physiology to available nutrients within different gut environments. Utilizing an</w:t>
      </w:r>
      <w:r>
        <w:t xml:space="preserve"> </w:t>
      </w:r>
      <w:r>
        <w:rPr>
          <w:i/>
        </w:rPr>
        <w:t xml:space="preserve">in vivo</w:t>
      </w:r>
      <w:r>
        <w:t xml:space="preserve"> </w:t>
      </w:r>
      <w:r>
        <w:t xml:space="preserve">CDI model, we demonstrated</w:t>
      </w:r>
      <w:r>
        <w:t xml:space="preserve"> </w:t>
      </w:r>
      <w:r>
        <w:rPr>
          <w:i/>
        </w:rPr>
        <w:t xml:space="preserve">C. difficile</w:t>
      </w:r>
      <w:r>
        <w:t xml:space="preserve"> </w:t>
      </w:r>
      <w:r>
        <w:t xml:space="preserve">highly colonized ceca of mice pretreated with any of three antibiotics from distinct classes. Levels of</w:t>
      </w:r>
      <w:r>
        <w:t xml:space="preserve"> </w:t>
      </w:r>
      <w:r>
        <w:rPr>
          <w:i/>
        </w:rPr>
        <w:t xml:space="preserve">C. difficile</w:t>
      </w:r>
      <w:r>
        <w:t xml:space="preserve"> </w:t>
      </w:r>
      <w:r>
        <w:t xml:space="preserve">spore formation and toxin activity varied between animals based on the antibiotic administered. These physiologic processes in</w:t>
      </w:r>
      <w:r>
        <w:t xml:space="preserve"> </w:t>
      </w:r>
      <w:r>
        <w:rPr>
          <w:i/>
        </w:rPr>
        <w:t xml:space="preserve">C. difficile</w:t>
      </w:r>
      <w:r>
        <w:t xml:space="preserve"> </w:t>
      </w:r>
      <w:r>
        <w:t xml:space="preserve">are partially regulated by environmental nutrient concentrations. To investigate metabolic responses of the bacterium</w:t>
      </w:r>
      <w:r>
        <w:t xml:space="preserve"> </w:t>
      </w:r>
      <w:r>
        <w:rPr>
          <w:i/>
        </w:rPr>
        <w:t xml:space="preserve">in vivo</w:t>
      </w:r>
      <w:r>
        <w:t xml:space="preserve">, we performed transcriptomic analysis of</w:t>
      </w:r>
      <w:r>
        <w:t xml:space="preserve"> </w:t>
      </w:r>
      <w:r>
        <w:rPr>
          <w:i/>
        </w:rPr>
        <w:t xml:space="preserve">C. difficile</w:t>
      </w:r>
      <w:r>
        <w:t xml:space="preserve"> </w:t>
      </w:r>
      <w:r>
        <w:t xml:space="preserve">from ceca of infected mice across pretreatments. This revealed heterogeneous expression in numerous catabolic pathways for diverse growth substrates. To assess which resources</w:t>
      </w:r>
      <w:r>
        <w:t xml:space="preserve"> </w:t>
      </w:r>
      <w:r>
        <w:rPr>
          <w:i/>
        </w:rPr>
        <w:t xml:space="preserve">C. difficile</w:t>
      </w:r>
      <w:r>
        <w:t xml:space="preserve"> </w:t>
      </w:r>
      <w:r>
        <w:t xml:space="preserve">exploited, we developed a genome-scale metabolic model with a transcriptomic-enabled metabolite scoring algorithm integrating network architecture. This platform identified nutrients</w:t>
      </w:r>
      <w:r>
        <w:t xml:space="preserve"> </w:t>
      </w:r>
      <w:r>
        <w:rPr>
          <w:i/>
        </w:rPr>
        <w:t xml:space="preserve">C. difficile</w:t>
      </w:r>
      <w:r>
        <w:t xml:space="preserve"> </w:t>
      </w:r>
      <w:r>
        <w:t xml:space="preserve">used preferentially between infections. These findings were validated through untargeted mass spectrometry of each microbiome. Our results supported the hypothesis that</w:t>
      </w:r>
      <w:r>
        <w:t xml:space="preserve"> </w:t>
      </w:r>
      <w:r>
        <w:rPr>
          <w:i/>
        </w:rPr>
        <w:t xml:space="preserve">C. difficile</w:t>
      </w:r>
      <w:r>
        <w:t xml:space="preserve"> </w:t>
      </w:r>
      <w:r>
        <w:t xml:space="preserve">inhabits alternative nutrient niches across cecal microbiomes with increased preference for nitrogen-containing carbon sources, particularly Stickland fermentation substrates and host-derived aminoglycans.</w:t>
      </w:r>
    </w:p>
    <w:p>
      <w:pPr>
        <w:pStyle w:val="Heading3"/>
      </w:pPr>
      <w:bookmarkStart w:id="22" w:name="importance"/>
      <w:bookmarkEnd w:id="22"/>
      <w:r>
        <w:t xml:space="preserve">Importance</w:t>
      </w:r>
    </w:p>
    <w:p>
      <w:pPr>
        <w:pStyle w:val="FirstParagraph"/>
      </w:pPr>
      <w:r>
        <w:t xml:space="preserve">Infection by the bacterium</w:t>
      </w:r>
      <w:r>
        <w:t xml:space="preserve"> </w:t>
      </w:r>
      <w:r>
        <w:rPr>
          <w:i/>
        </w:rPr>
        <w:t xml:space="preserve">Clostridium difficile</w:t>
      </w:r>
      <w:r>
        <w:t xml:space="preserve"> </w:t>
      </w:r>
      <w:r>
        <w:t xml:space="preserve">causes an inflammatory diarrheal disease which can become life-threatening, and has grown to be the most prevalent nosocomial infection. Susceptibility to</w:t>
      </w:r>
      <w:r>
        <w:t xml:space="preserve"> </w:t>
      </w:r>
      <w:r>
        <w:rPr>
          <w:i/>
        </w:rPr>
        <w:t xml:space="preserve">C. difficile</w:t>
      </w:r>
      <w:r>
        <w:t xml:space="preserve"> </w:t>
      </w:r>
      <w:r>
        <w:t xml:space="preserve">infection is strongly associated with previous antibiotic treatment, which disrupts the gut microbiota and reduces its ability to prevent colonization. In this study we demonstrated that</w:t>
      </w:r>
      <w:r>
        <w:t xml:space="preserve"> </w:t>
      </w:r>
      <w:r>
        <w:rPr>
          <w:i/>
        </w:rPr>
        <w:t xml:space="preserve">C. difficile</w:t>
      </w:r>
      <w:r>
        <w:t xml:space="preserve"> </w:t>
      </w:r>
      <w:r>
        <w:t xml:space="preserve">altered pathogenesis between hosts pretreated with separate classes of antibiotics, as well as exploited different nutrient sources across these environments. Our metabolite importance calculation also provides a platform to study nutrient requirements of pathogens during the context of infection. Our results suggest that</w:t>
      </w:r>
      <w:r>
        <w:t xml:space="preserve"> </w:t>
      </w:r>
      <w:r>
        <w:rPr>
          <w:i/>
        </w:rPr>
        <w:t xml:space="preserve">C. difficile</w:t>
      </w:r>
      <w:r>
        <w:t xml:space="preserve"> </w:t>
      </w:r>
      <w:r>
        <w:t xml:space="preserve">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w:t>
      </w:r>
      <w:r>
        <w:t xml:space="preserve"> </w:t>
      </w:r>
      <w:r>
        <w:rPr>
          <w:i/>
        </w:rPr>
        <w:t xml:space="preserve">C. difficile</w:t>
      </w:r>
      <w:r>
        <w:t xml:space="preserve"> </w:t>
      </w:r>
      <w:r>
        <w:t xml:space="preserve">colonization including pre- and probiotic therapies.</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severe conditions pseudomembraneous colitis and toxin megacolon. Prior treatment with antibiotics is the most common risk factor associated with development of CDI</w:t>
      </w:r>
      <w:r>
        <w:t xml:space="preserve"> </w:t>
      </w:r>
      <w:r>
        <w:t xml:space="preserve">(3)</w:t>
      </w:r>
      <w:r>
        <w:t xml:space="preserve">. Antibiotics likely contribute to susceptibility to CDI by disrupting the gut microbiota</w:t>
      </w:r>
      <w:r>
        <w:t xml:space="preserve"> </w:t>
      </w:r>
      <w:r>
        <w:t xml:space="preserve">(4)</w:t>
      </w:r>
      <w:r>
        <w:t xml:space="preserve">. In mouse models, multiple antibiotics can induce susceptibility to</w:t>
      </w:r>
      <w:r>
        <w:t xml:space="preserve"> </w:t>
      </w:r>
      <w:r>
        <w:rPr>
          <w:i/>
        </w:rPr>
        <w:t xml:space="preserve">C. difficile</w:t>
      </w:r>
      <w:r>
        <w:t xml:space="preserve"> </w:t>
      </w:r>
      <w:r>
        <w:t xml:space="preserve">colonization</w:t>
      </w:r>
      <w:r>
        <w:t xml:space="preserve"> </w:t>
      </w:r>
      <w:r>
        <w:t xml:space="preserve">(5–7)</w:t>
      </w:r>
      <w:r>
        <w:t xml:space="preserve">. Notably, each resulted in unique gut bacterial communities that were all equally receptive to similar levels of</w:t>
      </w:r>
      <w:r>
        <w:t xml:space="preserve"> </w:t>
      </w:r>
      <w:r>
        <w:rPr>
          <w:i/>
        </w:rPr>
        <w:t xml:space="preserve">C. difficile</w:t>
      </w:r>
      <w:r>
        <w:t xml:space="preserve"> </w:t>
      </w:r>
      <w:r>
        <w:t xml:space="preserve">colonization. Others have also shown that several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This ability of an unaltered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ecological generalist bacteria</w:t>
      </w:r>
      <w:r>
        <w:t xml:space="preserve"> </w:t>
      </w:r>
      <w:r>
        <w:t xml:space="preserve">(16)</w:t>
      </w:r>
      <w:r>
        <w:t xml:space="preserve">.</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(17, 18)</w:t>
      </w:r>
      <w:r>
        <w:t xml:space="preserve">. Other studies have indicate that numerous additional aspects of</w:t>
      </w:r>
      <w:r>
        <w:t xml:space="preserve"> </w:t>
      </w:r>
      <w:r>
        <w:rPr>
          <w:i/>
        </w:rPr>
        <w:t xml:space="preserve">C. difficile</w:t>
      </w:r>
      <w:r>
        <w:t xml:space="preserve"> </w:t>
      </w:r>
      <w:r>
        <w:t xml:space="preserve">metabolism may be influenced through environmental nutrient concentration-sensative global transcriptional regulators such as CodY and CcpA</w:t>
      </w:r>
      <w:r>
        <w:t xml:space="preserve"> </w:t>
      </w:r>
      <w:r>
        <w:t xml:space="preserve">(19, 20)</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(21, 22)</w:t>
      </w:r>
      <w:r>
        <w:t xml:space="preserve"> </w:t>
      </w:r>
      <w:r>
        <w:t xml:space="preserve">or colonization of germfree mice</w:t>
      </w:r>
      <w:r>
        <w:t xml:space="preserve"> </w:t>
      </w:r>
      <w:r>
        <w:t xml:space="preserve">(20, 23)</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implemented</w:t>
      </w:r>
      <w:r>
        <w:t xml:space="preserve"> </w:t>
      </w:r>
      <w:r>
        <w:rPr>
          <w:i/>
        </w:rPr>
        <w:t xml:space="preserve">C. difficile</w:t>
      </w:r>
      <w:r>
        <w:t xml:space="preserve"> </w:t>
      </w:r>
      <w:r>
        <w:t xml:space="preserve">transcriptomic and untargeted metabolomic analyses from infected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environment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microbiomes.</w:t>
      </w:r>
      <w:r>
        <w:t xml:space="preserve"> </w:t>
      </w:r>
      <w:r>
        <w:t xml:space="preserve">Conventionally-reared SPF mice were treated with one of three different antibiotics. These included streptomycin, cefoperazone, and clindamycin (Table 1 and Fig. S1), which were selected because they each have distinct, significant impacts on the structure and diversity of the cecal microbiome (Fig. S2A and S2B). In addition, we mono-associated germfree (ex-GF) mice with</w:t>
      </w:r>
      <w:r>
        <w:t xml:space="preserve"> </w:t>
      </w:r>
      <w:r>
        <w:rPr>
          <w:i/>
        </w:rPr>
        <w:t xml:space="preserve">C. difficile</w:t>
      </w:r>
      <w:r>
        <w:t xml:space="preserve"> </w:t>
      </w:r>
      <w:r>
        <w:t xml:space="preserve">stain 630 to understand its physiology in the absence of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(24)</w:t>
      </w:r>
      <w:r>
        <w:t xml:space="preserve"> </w:t>
      </w:r>
      <w:r>
        <w:t xml:space="preserve">and well-annotated genome</w:t>
      </w:r>
      <w:r>
        <w:t xml:space="preserve"> </w:t>
      </w:r>
      <w:r>
        <w:t xml:space="preserve">(25)</w:t>
      </w:r>
      <w:r>
        <w:t xml:space="preserve">. After infection, we measured sporulation and toxin production at 18 hours post innoculation.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(26)</w:t>
      </w:r>
      <w:r>
        <w:t xml:space="preserve">. There was not a significant difference in the number of vegetative</w:t>
      </w:r>
      <w:r>
        <w:t xml:space="preserve"> </w:t>
      </w:r>
      <w:r>
        <w:rPr>
          <w:i/>
        </w:rPr>
        <w:t xml:space="preserve">C. difficile</w:t>
      </w:r>
      <w:r>
        <w:t xml:space="preserve"> </w:t>
      </w:r>
      <w:r>
        <w:t xml:space="preserve">cells in the ceca of mice pretreated with any of the three antibiotics (Fig. 1A). All antibiotic treated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w:t>
      </w:r>
      <w:r>
        <w:t xml:space="preserve">(Table 1).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There was also a significantly higher toxin titer in ex-GF animals than any other colonized group (all</w:t>
      </w:r>
      <w:r>
        <w:t xml:space="preserve"> </w:t>
      </w:r>
      <w:r>
        <w:rPr>
          <w:i/>
        </w:rPr>
        <w:t xml:space="preserve">P</w:t>
      </w:r>
      <w:r>
        <w:t xml:space="preserve"> </w:t>
      </w:r>
      <w:r>
        <w:t xml:space="preserve">&lt; 0.001), with slight variation between antibiotic pretreatment groups (Fig. 1C). These results showed that</w:t>
      </w:r>
      <w:r>
        <w:t xml:space="preserve"> </w:t>
      </w:r>
      <w:r>
        <w:rPr>
          <w:i/>
        </w:rPr>
        <w:t xml:space="preserve">C. difficile</w:t>
      </w:r>
      <w:r>
        <w:t xml:space="preserve"> </w:t>
      </w:r>
      <w:r>
        <w:t xml:space="preserve">colonized different communities to consistently high levels. In addition, colonization in the context of different microbiomes resulted in moderate differences in the expression of</w:t>
      </w:r>
      <w:r>
        <w:t xml:space="preserve"> </w:t>
      </w:r>
      <w:r>
        <w:rPr>
          <w:i/>
        </w:rPr>
        <w:t xml:space="preserve">C. difficile</w:t>
      </w:r>
      <w:r>
        <w:t xml:space="preserve"> </w:t>
      </w:r>
      <w:r>
        <w:t xml:space="preserve">pathogenicity.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rPr>
          <w:i/>
          <w:b/>
        </w:rPr>
        <w:t xml:space="preserve">C. difficile</w:t>
      </w:r>
      <w:r>
        <w:rPr>
          <w:b/>
        </w:rPr>
        <w:t xml:space="preserve"> </w:t>
      </w:r>
      <w:r>
        <w:rPr>
          <w:b/>
        </w:rPr>
        <w:t xml:space="preserve">alters its gene expression pathways when colonizing distinct antibiotic-pretreated environments.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toxin production, quorum sensing, and metabolite-regulated sigma factors (Fig. S3); however despite large-scale differences between pretreatment groups, no clear trends between gene expression and colonization, sporulation, or toxin production were evident. This further indicated that</w:t>
      </w:r>
      <w:r>
        <w:t xml:space="preserve"> </w:t>
      </w:r>
      <w:r>
        <w:rPr>
          <w:i/>
        </w:rPr>
        <w:t xml:space="preserve">C. difficile</w:t>
      </w:r>
      <w:r>
        <w:t xml:space="preserve"> </w:t>
      </w:r>
      <w:r>
        <w:t xml:space="preserve">adapted its metabolism to the environment that it colonized. As such, 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(27)</w:t>
      </w:r>
      <w:r>
        <w:t xml:space="preserve">. This suggested that</w:t>
      </w:r>
      <w:r>
        <w:t xml:space="preserve"> </w:t>
      </w:r>
      <w:r>
        <w:rPr>
          <w:i/>
        </w:rPr>
        <w:t xml:space="preserve">C. difficile</w:t>
      </w:r>
      <w:r>
        <w:t xml:space="preserve"> </w:t>
      </w:r>
      <w:r>
        <w:t xml:space="preserve">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w:t>
      </w:r>
      <w:r>
        <w:t xml:space="preserve"> </w:t>
      </w:r>
      <w:r>
        <w:rPr>
          <w:i/>
        </w:rPr>
        <w:t xml:space="preserve">C. difficile</w:t>
      </w:r>
      <w:r>
        <w:t xml:space="preserve"> </w:t>
      </w:r>
      <w:r>
        <w:t xml:space="preserve">colonizing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while catabolism of amino acids and specific carbohydrates are core components of the</w:t>
      </w:r>
      <w:r>
        <w:t xml:space="preserve"> </w:t>
      </w:r>
      <w:r>
        <w:rPr>
          <w:i/>
        </w:rPr>
        <w:t xml:space="preserve">C. difficile</w:t>
      </w:r>
      <w:r>
        <w:t xml:space="preserve"> </w:t>
      </w:r>
      <w:r>
        <w:t xml:space="preserve">nutritional strategy during infection, it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physiology.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contained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S2).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w:t>
      </w:r>
      <w:r>
        <w:t xml:space="preserve"> </w:t>
      </w:r>
      <w:r>
        <w:t xml:space="preserve">(28)</w:t>
      </w:r>
      <w:r>
        <w:t xml:space="preserve">. Similarly, CC is the reciprocal sum of the lengths of shortest paths included in each node's BC. This value demonstrates how essential a given node is to the overall structure of the metabolic network</w:t>
      </w:r>
      <w:r>
        <w:t xml:space="preserve"> </w:t>
      </w:r>
      <w:r>
        <w:t xml:space="preserve">(29)</w:t>
      </w:r>
      <w:r>
        <w:t xml:space="preserve">. Metabolic network structural studies of</w:t>
      </w:r>
      <w:r>
        <w:t xml:space="preserve"> </w:t>
      </w:r>
      <w:r>
        <w:rPr>
          <w:i/>
        </w:rPr>
        <w:t xml:space="preserve">Escherichia coli</w:t>
      </w:r>
      <w:r>
        <w:t xml:space="preserve"> </w:t>
      </w:r>
      <w:r>
        <w:t xml:space="preserve">have found that metabolites with the highest centrality calculations are involved in fundamental processes in metabolism, namely glycolysis and the citrate acid cycle pathway</w:t>
      </w:r>
      <w:r>
        <w:t xml:space="preserve"> </w:t>
      </w:r>
      <w:r>
        <w:t xml:space="preserve">(30)</w:t>
      </w:r>
      <w:r>
        <w:t xml:space="preserve">. As such, these metrics allow for assessment of the degree to which a metabolic network accurately depicts established principles of bacterial metabolism.</w:t>
      </w:r>
    </w:p>
    <w:p>
      <w:pPr>
        <w:pStyle w:val="BodyText"/>
      </w:pPr>
      <w: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reflected defined biological patterns and was therefore a viable platform to study metabolism of the pathogen.</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utilized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w:t>
      </w:r>
      <w:r>
        <w:t xml:space="preserve"> </w:t>
      </w:r>
      <w:r>
        <w:rPr>
          <w:i/>
        </w:rPr>
        <w:t xml:space="preserve">C. difficile</w:t>
      </w:r>
      <w:r>
        <w:t xml:space="preserve"> </w:t>
      </w:r>
      <w:r>
        <w:t xml:space="preserve">represented only a small precentage of the community in each colonized environment (Fig. S2C), making individual sequencing efforts for each mouse was impossible due to the depth required to sufficiently sequence the transcriptome of</w:t>
      </w:r>
      <w:r>
        <w:t xml:space="preserve"> </w:t>
      </w:r>
      <w:r>
        <w:rPr>
          <w:i/>
        </w:rPr>
        <w:t xml:space="preserve">C. difficile</w:t>
      </w:r>
      <w:r>
        <w:t xml:space="preserve">. Because of this, we generated a single transcriptome per condition of pooled mRNA from all mice within pretreatment groups with ~300 million reads per pool (Table S5). In order to provide statistical validation for our network-based findings, we adopted a Monte Carlo-style simulation for iterative random transcriptome comparison.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the 40 highest scoring metabolites from each treatment group and identified the most consistenly high scoring metabolites (Fig. 4A). The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(20)</w:t>
      </w:r>
      <w:r>
        <w:t xml:space="preserve">. We went on to confirm that our strain of</w:t>
      </w:r>
      <w:r>
        <w:t xml:space="preserve"> </w:t>
      </w:r>
      <w:r>
        <w:rPr>
          <w:i/>
        </w:rPr>
        <w:t xml:space="preserve">C. difficile</w:t>
      </w:r>
      <w:r>
        <w:t xml:space="preserve"> </w:t>
      </w:r>
      <w:r>
        <w:t xml:space="preserve">strain 630 could metabolize GlcNAc for growth (Fig. 4B) in</w:t>
      </w:r>
      <w:r>
        <w:t xml:space="preserve"> </w:t>
      </w:r>
      <w:r>
        <w:rPr>
          <w:i/>
        </w:rPr>
        <w:t xml:space="preserve">C. difficile</w:t>
      </w:r>
      <w:r>
        <w:t xml:space="preserve"> </w:t>
      </w:r>
      <w:r>
        <w:t xml:space="preserve">minimal media</w:t>
      </w:r>
      <w:r>
        <w:t xml:space="preserve"> </w:t>
      </w:r>
      <w:r>
        <w:t xml:space="preserve">(31)</w:t>
      </w:r>
      <w:r>
        <w:t xml:space="preserve">. The Stickland fermentation acceptor proline was also found to be important in all conditions tested</w:t>
      </w:r>
      <w:r>
        <w:t xml:space="preserve"> </w:t>
      </w:r>
      <w:r>
        <w:t xml:space="preserve">(32)</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(20)</w:t>
      </w:r>
      <w:r>
        <w:t xml:space="preserve">; however, use of these metabolites in the context of a complex community of potential competitors has not been observed previously. This analysis indicated that these metabolites might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(Fig. 4B)</w:t>
      </w:r>
      <w:r>
        <w:t xml:space="preserve"> </w:t>
      </w:r>
      <w:r>
        <w:t xml:space="preserve">(6, 12, 33)</w:t>
      </w:r>
      <w:r>
        <w:t xml:space="preserve">. These included sorbitol (streptomycin-pretreated), mannitol (cefoperazone-pretreated), and salicin (clindamycin-pretreated), which were likely introduced by the animal's diet and N-acetylneuraminate (ex-GF), which is an aminoglycan obtained from the animal's mucin layer</w:t>
      </w:r>
      <w:r>
        <w:t xml:space="preserve"> </w:t>
      </w:r>
      <w:r>
        <w:t xml:space="preserve">(34)</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(33)</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(35)</w:t>
      </w:r>
      <w:r>
        <w:t xml:space="preserve">. In streptomycin-pretreatment, galactitol scored highly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(23)</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(36)</w:t>
      </w:r>
      <w:r>
        <w:t xml:space="preserve">. Additionally, alanine was also found to be important in this condition and is a preferred electron donating amino acid in Stickland fermentation</w:t>
      </w:r>
      <w:r>
        <w:t xml:space="preserve"> </w:t>
      </w:r>
      <w:r>
        <w:t xml:space="preserve">(27)</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the cecal content of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compared the relative concentration of important metabolites in untreated SPF mice and antibiotic pretreated mice in the absence of CDI (Fig. 5). We found that the relative concentration of GlcNAc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Conversely, the Stickland donor alanine was significantly decreased across all susceptible conditions (Fig. 5D; all</w:t>
      </w:r>
      <w:r>
        <w:t xml:space="preserve"> </w:t>
      </w:r>
      <w:r>
        <w:rPr>
          <w:i/>
        </w:rPr>
        <w:t xml:space="preserve">P</w:t>
      </w:r>
      <w:r>
        <w:t xml:space="preserve"> </w:t>
      </w:r>
      <w:r>
        <w:t xml:space="preserve">&lt; 0.05). Succinate was significantly increased in both streptomycin and clindamycin pretreated mice (Fig. 5E; all</w:t>
      </w:r>
      <w:r>
        <w:t xml:space="preserve"> </w:t>
      </w:r>
      <w:r>
        <w:rPr>
          <w:i/>
        </w:rPr>
        <w:t xml:space="preserve">P</w:t>
      </w:r>
      <w:r>
        <w:t xml:space="preserve"> </w:t>
      </w:r>
      <w:r>
        <w:t xml:space="preserve">&lt; 0.05). Among the cefoperazone-pretreated SPF and GF mice, we also found that mannitol/sorbitol (Fig. 5C), N-acetylneuraminate (Fig. 5F),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potential nutrient niches that</w:t>
      </w:r>
      <w:r>
        <w:t xml:space="preserve"> </w:t>
      </w:r>
      <w:r>
        <w:rPr>
          <w:i/>
        </w:rPr>
        <w:t xml:space="preserve">C. difficile</w:t>
      </w:r>
      <w:r>
        <w:t xml:space="preserve"> </w:t>
      </w:r>
      <w:r>
        <w:t xml:space="preserve">was able to exploit for its growth.</w:t>
      </w:r>
    </w:p>
    <w:p>
      <w:pPr>
        <w:pStyle w:val="BodyText"/>
      </w:pPr>
      <w:r>
        <w:t xml:space="preserve">Second, we compared relative concentrations of important metabolites during CDI and mock-infection within each pretreatment group (Fig. 5). Both groups of host-derived aminoglycans, GlcNAc/GalNAc (Fig. 5A) and Neu5Ac (Fig. 5F),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also decreased in all infected conditions compared to mock infection, however none of the changes met our threshold for significance (Fig. 5D).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Although a decrease in the concentration of succinate in both streptomycin and clindamycin pretreatment was observed, neither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hierarchy of preferred growth substrates.</w:t>
      </w:r>
    </w:p>
    <w:p>
      <w:pPr>
        <w:pStyle w:val="Heading3"/>
      </w:pPr>
      <w:bookmarkStart w:id="25" w:name="discussion"/>
      <w:bookmarkEnd w:id="25"/>
      <w:r>
        <w:t xml:space="preserve">Discussion</w:t>
      </w:r>
    </w:p>
    <w:p>
      <w:pPr>
        <w:pStyle w:val="FirstParagraph"/>
      </w:pPr>
      <w:r>
        <w:t xml:space="preserve">Our results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(20, 23)</w:t>
      </w:r>
      <w:r>
        <w:t xml:space="preserve">, but also to the context of the specific gut environment in which it finds itself. 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increased availability of many metabolites highlighted by our algorithm in susceptible gut environs. Metabolomic analysis further revealed differential reduction of important metabolites during CDI, which suggested a hierarchy for the utilization of certain growth nutrients.</w:t>
      </w:r>
    </w:p>
    <w:p>
      <w:pPr>
        <w:pStyle w:val="BodyText"/>
      </w:pPr>
      <w:r>
        <w:t xml:space="preserve">An explanation for the differences seen in metabolite importance and substrate availability could be concomitant decreases in population density of one or more competitors for certain resources. Ex-GF mice, where no other microbial competitors are present, provided a partially controlled system of resource competition. In this condition, Neu5Ac was found to be most highly important and concentrations were also significantly increased in susceptible mice and concordantly decreased following infection. The same trend was also present in cefoperazone-pretreatment, which suggested that</w:t>
      </w:r>
      <w:r>
        <w:t xml:space="preserve"> </w:t>
      </w:r>
      <w:r>
        <w:rPr>
          <w:i/>
        </w:rPr>
        <w:t xml:space="preserve">C. difficile</w:t>
      </w:r>
      <w:r>
        <w:t xml:space="preserve"> </w:t>
      </w:r>
      <w:r>
        <w:t xml:space="preserve">may be less competitive for this host-derived aminoglycan and may only have access when certain competitors are no longer present.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specific PTS and ABC transport systems are upregulated</w:t>
      </w:r>
      <w:r>
        <w:t xml:space="preserve"> </w:t>
      </w:r>
      <w:r>
        <w:rPr>
          <w:i/>
        </w:rPr>
        <w:t xml:space="preserve">in vivo</w:t>
      </w:r>
      <w:r>
        <w:t xml:space="preserve"> </w:t>
      </w:r>
      <w:r>
        <w:t xml:space="preserve">(20, 23)</w:t>
      </w:r>
      <w:r>
        <w:t xml:space="preserve">, but our results indicate more complex regulation with inverse expression of the respective systems between antibiotic pretreatments (Fig. 2). In agreement with earlier research we found that</w:t>
      </w:r>
      <w:r>
        <w:t xml:space="preserve"> </w:t>
      </w:r>
      <w:r>
        <w:rPr>
          <w:i/>
        </w:rPr>
        <w:t xml:space="preserve">C. difficile</w:t>
      </w:r>
      <w:r>
        <w:t xml:space="preserve"> </w:t>
      </w:r>
      <w:r>
        <w:t xml:space="preserve">likely fermented amino acids for energy during infection of GF mice in addition to aminoglycan catabolism. Our results go on to support that this metabolic strategy was conserved across all infection conditions tested. Several Stickland substrates had consistently higher importance scores including alanine, leucine, and proline indeed dropped concentration during infection (Table S3, Fig. 5A, and S6A). Fermentation of amino acids provides not only carbon and energy, but are also a source of nitrogen which is a limited resource in the mammalian lower gastrointestinal tract</w:t>
      </w:r>
      <w:r>
        <w:t xml:space="preserve"> </w:t>
      </w:r>
      <w:r>
        <w:t xml:space="preserve">(37)</w:t>
      </w:r>
      <w:r>
        <w:t xml:space="preserve">. This makes Stickland fermentation a valuable metabolic strategy, and it stands to reason</w:t>
      </w:r>
      <w:r>
        <w:t xml:space="preserve"> </w:t>
      </w:r>
      <w:r>
        <w:rPr>
          <w:i/>
        </w:rPr>
        <w:t xml:space="preserve">C. difficile</w:t>
      </w:r>
      <w:r>
        <w:t xml:space="preserve"> </w:t>
      </w:r>
      <w:r>
        <w:t xml:space="preserve">would conserve this strategy across all environments it colonizes. This same principle may also extend to host mucus layer derived aminoglycans as they are another source of both carbon and nitrogen that, despite augmented release by members of the microbiota</w:t>
      </w:r>
      <w:r>
        <w:t xml:space="preserve"> </w:t>
      </w:r>
      <w:r>
        <w:t xml:space="preserve">(38)</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confirm.</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signal contributed by those metabolites on the periphery, and more likely to be imported from the environment, is amplified.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(39)</w:t>
      </w:r>
      <w:r>
        <w:t xml:space="preserve">. These findings highlight that our method not only identifies growth substrates, but reports all metabolites that are being utilized.</w:t>
      </w:r>
    </w:p>
    <w:p>
      <w:pPr>
        <w:pStyle w:val="BodyText"/>
      </w:pPr>
      <w:r>
        <w:t xml:space="preserve">Several factors impacted our approach to generating and interpreting transcriptomic and metabolomic data, despite some previously mentioned limitations. Most prominently, microarray-based gene expression measurement was not a viable alternative to sequencing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condition, several models of bacterial protein expression determinants also suggest that intracellular concentration of mRNA is the strongest predictor for abundance of the corresponding protein products</w:t>
      </w:r>
      <w:r>
        <w:t xml:space="preserve"> </w:t>
      </w:r>
      <w:r>
        <w:t xml:space="preserve">(40)</w:t>
      </w:r>
      <w:r>
        <w:t xml:space="preserve">. We were therefore confident in utilizing normalized transcript abundance as a proxy for enzyme levels. Metabolomic comparisons are also complicated by the fact that multiple organisms contribute to the metabolite pool. The metabolic patterns of the other species in each system (host and microbe) could instead be altered by pathogen colonization. As the concentrations of metabolites in our untargeted assay are reported in relative terms, it is currently difficult to discern if the available biomass of</w:t>
      </w:r>
      <w:r>
        <w:t xml:space="preserve"> </w:t>
      </w:r>
      <w:r>
        <w:rPr>
          <w:i/>
        </w:rPr>
        <w:t xml:space="preserve">C. difficile</w:t>
      </w:r>
      <w:r>
        <w:t xml:space="preserve"> </w:t>
      </w:r>
      <w:r>
        <w:t xml:space="preserve">reaches a level to create these differences on its own. Possible limitations of our modeling approach also exist, despite much of our results being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(41)</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transcriptomic, and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 the host. These results have implications for the development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 Adapted from a previously described model</w:t>
      </w:r>
      <w:r>
        <w:t xml:space="preserve"> </w:t>
      </w:r>
      <w:r>
        <w:t xml:space="preserve">(24)</w:t>
      </w:r>
      <w:r>
        <w:t xml:space="preserve">.</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(0.5%), cefoxitin (0.5%), and erythromycin (0.2%)) at 37° C for 24 hours under anaerobic conditions</w:t>
      </w:r>
      <w:r>
        <w:t xml:space="preserve"> </w:t>
      </w:r>
      <w:r>
        <w:t xml:space="preserve">(42)</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(43)</w:t>
      </w:r>
      <w:r>
        <w:t xml:space="preserve">.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(44)</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(45)</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(45)</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(46)</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(47)</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Read curation was performed in a two step process. First, residual 5’ and 3’ Illumina adapter sequences were trimmed using CutAdapt</w:t>
      </w:r>
      <w:r>
        <w:t xml:space="preserve"> </w:t>
      </w:r>
      <w:r>
        <w:t xml:space="preserve">(48)</w:t>
      </w:r>
      <w:r>
        <w:t xml:space="preserve"> </w:t>
      </w:r>
      <w:r>
        <w:t xml:space="preserve">on a per library basis. Reads were then quality trimmed using Sickle (Joshi, 2011) on the default settings. An average of ~300,000,000 total reads (both paired and orphaned) remained after quality trimming. Mapping was accomplished using Bowtie2</w:t>
      </w:r>
      <w:r>
        <w:t xml:space="preserve"> </w:t>
      </w:r>
      <w:r>
        <w:t xml:space="preserve">(49)</w:t>
      </w:r>
      <w:r>
        <w:t xml:space="preserve"> </w:t>
      </w:r>
      <w:r>
        <w:t xml:space="preserve">and the default stringent settings. ~1,000,000 reads in sample each mapped to the annotated nucleotide gene sequences of</w:t>
      </w:r>
      <w:r>
        <w:t xml:space="preserve"> </w:t>
      </w:r>
      <w:r>
        <w:rPr>
          <w:i/>
        </w:rPr>
        <w:t xml:space="preserve">Clostridioides difficile</w:t>
      </w:r>
      <w:r>
        <w:t xml:space="preserve"> </w:t>
      </w:r>
      <w:r>
        <w:t xml:space="preserve">630 from the KEGG: Kyoto Encyclopedia of Genes and Genomes</w:t>
      </w:r>
      <w:r>
        <w:t xml:space="preserve"> </w:t>
      </w:r>
      <w:r>
        <w:t xml:space="preserve">(50)</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subsampled to the lowest sequence total across the libraries.</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(52)</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http://www.github.com/SchlossLab/Jenior_Modeling_mBio_2017</w:t>
        </w:r>
      </w:hyperlink>
      <w:r>
        <w:t xml:space="preserve">. The authors would additionally like to thank Geoffrey Hannigan Ph.D, Kaitlin Flynn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analyzed data, and contributed to the manuscript.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and precent abundances.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BodyText"/>
      </w:pPr>
      <w:r>
        <w:rPr>
          <w:b/>
        </w:rPr>
        <w:t xml:space="preserve">Supplementary Table 5 | Read counts from</w:t>
      </w:r>
      <w:r>
        <w:rPr>
          <w:b/>
        </w:rPr>
        <w:t xml:space="preserve"> </w:t>
      </w:r>
      <w:r>
        <w:rPr>
          <w:i/>
          <w:b/>
        </w:rPr>
        <w:t xml:space="preserve">C. difficile</w:t>
      </w:r>
      <w:r>
        <w:rPr>
          <w:b/>
        </w:rPr>
        <w:t xml:space="preserve"> </w:t>
      </w:r>
      <w:r>
        <w:rPr>
          <w:b/>
        </w:rPr>
        <w:t xml:space="preserve">transcriptome squencing, curation, and mapping.</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w:t>
      </w:r>
      <w:r>
        <w:t xml:space="preserve"> </w:t>
      </w:r>
      <w:r>
        <w:rPr>
          <w:i/>
        </w:rPr>
        <w:t xml:space="preserve">Clostridium difficile</w:t>
      </w:r>
      <w:r>
        <w:t xml:space="preserv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 Nat Commun</w:t>
      </w:r>
      <w:r>
        <w:t xml:space="preserve"> </w:t>
      </w:r>
      <w:r>
        <w:rPr>
          <w:b/>
        </w:rPr>
        <w:t xml:space="preserve">3114</w:t>
      </w:r>
      <w:r>
        <w:t xml:space="preserve">.</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Current Opinion in Biotechnology</w:t>
      </w:r>
      <w:r>
        <w:t xml:space="preserve"> </w:t>
      </w:r>
      <w:r>
        <w:rPr>
          <w:b/>
        </w:rPr>
        <w:t xml:space="preserve">23</w:t>
      </w:r>
      <w:r>
        <w:t xml:space="preserve">:364–381.</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Anaerobe</w:t>
      </w:r>
      <w:r>
        <w:t xml:space="preserve"> </w:t>
      </w:r>
      <w:r>
        <w:rPr>
          <w:b/>
        </w:rPr>
        <w:t xml:space="preserve">12</w:t>
      </w:r>
      <w:r>
        <w:t xml:space="preserve">:1–4.</w:t>
      </w:r>
    </w:p>
    <w:p>
      <w:pPr>
        <w:pStyle w:val="Bibliography"/>
      </w:pPr>
      <w:r>
        <w:t xml:space="preserve">16.</w:t>
      </w:r>
      <w:r>
        <w:t xml:space="preserve"> </w:t>
      </w:r>
      <w:r>
        <w:rPr>
          <w:b/>
        </w:rPr>
        <w:t xml:space="preserve">Gripp, E.</w:t>
      </w:r>
      <w:r>
        <w:t xml:space="preserve">,</w:t>
      </w:r>
      <w:r>
        <w:t xml:space="preserve"> </w:t>
      </w:r>
      <w:r>
        <w:rPr>
          <w:b/>
        </w:rPr>
        <w:t xml:space="preserve">D. Hlahla</w:t>
      </w:r>
      <w:r>
        <w:t xml:space="preserve">,</w:t>
      </w:r>
      <w:r>
        <w:t xml:space="preserve"> </w:t>
      </w:r>
      <w:r>
        <w:rPr>
          <w:b/>
        </w:rPr>
        <w:t xml:space="preserve">X. Didelot</w:t>
      </w:r>
      <w:r>
        <w:t xml:space="preserve">,</w:t>
      </w:r>
      <w:r>
        <w:t xml:space="preserve"> </w:t>
      </w:r>
      <w:r>
        <w:rPr>
          <w:b/>
        </w:rPr>
        <w:t xml:space="preserve">F. Kops</w:t>
      </w:r>
      <w:r>
        <w:t xml:space="preserve">,</w:t>
      </w:r>
      <w:r>
        <w:t xml:space="preserve"> </w:t>
      </w:r>
      <w:r>
        <w:rPr>
          <w:b/>
        </w:rPr>
        <w:t xml:space="preserve">S. Maurischat</w:t>
      </w:r>
      <w:r>
        <w:t xml:space="preserve">,</w:t>
      </w:r>
      <w:r>
        <w:t xml:space="preserve"> </w:t>
      </w:r>
      <w:r>
        <w:rPr>
          <w:b/>
        </w:rPr>
        <w:t xml:space="preserve">K. Tedin</w:t>
      </w:r>
      <w:r>
        <w:t xml:space="preserve">,</w:t>
      </w:r>
      <w:r>
        <w:t xml:space="preserve"> </w:t>
      </w:r>
      <w:r>
        <w:rPr>
          <w:b/>
        </w:rPr>
        <w:t xml:space="preserve">T. Alter</w:t>
      </w:r>
      <w:r>
        <w:t xml:space="preserve">,</w:t>
      </w:r>
      <w:r>
        <w:t xml:space="preserve"> </w:t>
      </w:r>
      <w:r>
        <w:rPr>
          <w:b/>
        </w:rPr>
        <w:t xml:space="preserve">L. Ellerbroek</w:t>
      </w:r>
      <w:r>
        <w:t xml:space="preserve">,</w:t>
      </w:r>
      <w:r>
        <w:t xml:space="preserve"> </w:t>
      </w:r>
      <w:r>
        <w:rPr>
          <w:b/>
        </w:rPr>
        <w:t xml:space="preserve">K. Schreiber</w:t>
      </w:r>
      <w:r>
        <w:t xml:space="preserve">,</w:t>
      </w:r>
      <w:r>
        <w:t xml:space="preserve"> </w:t>
      </w:r>
      <w:r>
        <w:rPr>
          <w:b/>
        </w:rPr>
        <w:t xml:space="preserve">D. Schomburg</w:t>
      </w:r>
      <w:r>
        <w:t xml:space="preserve">,</w:t>
      </w:r>
      <w:r>
        <w:t xml:space="preserve"> </w:t>
      </w:r>
      <w:r>
        <w:rPr>
          <w:b/>
        </w:rPr>
        <w:t xml:space="preserve">T. Janssen</w:t>
      </w:r>
      <w:r>
        <w:t xml:space="preserve">,</w:t>
      </w:r>
      <w:r>
        <w:t xml:space="preserve"> </w:t>
      </w:r>
      <w:r>
        <w:rPr>
          <w:b/>
        </w:rPr>
        <w:t xml:space="preserve">P. Bartholomäus</w:t>
      </w:r>
      <w:r>
        <w:t xml:space="preserve">,</w:t>
      </w:r>
      <w:r>
        <w:t xml:space="preserve"> </w:t>
      </w:r>
      <w:r>
        <w:rPr>
          <w:b/>
        </w:rPr>
        <w:t xml:space="preserve">D. Hofreuter</w:t>
      </w:r>
      <w:r>
        <w:t xml:space="preserve">,</w:t>
      </w:r>
      <w:r>
        <w:t xml:space="preserve"> </w:t>
      </w:r>
      <w:r>
        <w:rPr>
          <w:b/>
        </w:rPr>
        <w:t xml:space="preserve">S. Woltemate</w:t>
      </w:r>
      <w:r>
        <w:t xml:space="preserve">,</w:t>
      </w:r>
      <w:r>
        <w:t xml:space="preserve"> </w:t>
      </w:r>
      <w:r>
        <w:rPr>
          <w:b/>
        </w:rPr>
        <w:t xml:space="preserve">M. Uhr</w:t>
      </w:r>
      <w:r>
        <w:t xml:space="preserve">,</w:t>
      </w:r>
      <w:r>
        <w:t xml:space="preserve"> </w:t>
      </w:r>
      <w:r>
        <w:rPr>
          <w:b/>
        </w:rPr>
        <w:t xml:space="preserve">B. Brenneke</w:t>
      </w:r>
      <w:r>
        <w:t xml:space="preserve">,</w:t>
      </w:r>
      <w:r>
        <w:t xml:space="preserve"> </w:t>
      </w:r>
      <w:r>
        <w:rPr>
          <w:b/>
        </w:rPr>
        <w:t xml:space="preserve">P. Grüning</w:t>
      </w:r>
      <w:r>
        <w:t xml:space="preserve">,</w:t>
      </w:r>
      <w:r>
        <w:t xml:space="preserve"> </w:t>
      </w:r>
      <w:r>
        <w:rPr>
          <w:b/>
        </w:rPr>
        <w:t xml:space="preserve">G. Gerlach</w:t>
      </w:r>
      <w:r>
        <w:t xml:space="preserve">,</w:t>
      </w:r>
      <w:r>
        <w:t xml:space="preserve"> </w:t>
      </w:r>
      <w:r>
        <w:rPr>
          <w:b/>
        </w:rPr>
        <w:t xml:space="preserve">L. Wieler</w:t>
      </w:r>
      <w:r>
        <w:t xml:space="preserve">,</w:t>
      </w:r>
      <w:r>
        <w:t xml:space="preserve"> </w:t>
      </w:r>
      <w:r>
        <w:rPr>
          <w:b/>
        </w:rPr>
        <w:t xml:space="preserve">S. Suerbaum</w:t>
      </w:r>
      <w:r>
        <w:t xml:space="preserve">, and</w:t>
      </w:r>
      <w:r>
        <w:t xml:space="preserve"> </w:t>
      </w:r>
      <w:r>
        <w:rPr>
          <w:b/>
        </w:rPr>
        <w:t xml:space="preserve">C. Josenhans</w:t>
      </w:r>
      <w:r>
        <w:t xml:space="preserve">. 2011. Closely related</w:t>
      </w:r>
      <w:r>
        <w:t xml:space="preserve"> </w:t>
      </w:r>
      <w:r>
        <w:rPr>
          <w:i/>
        </w:rPr>
        <w:t xml:space="preserve">Campylobacter jejuni</w:t>
      </w:r>
      <w:r>
        <w:t xml:space="preserve"> </w:t>
      </w:r>
      <w:r>
        <w:t xml:space="preserve">strains from different sources reveal a generalist rather than a specialist lifestyle. BMC Genomics</w:t>
      </w:r>
      <w:r>
        <w:t xml:space="preserve"> </w:t>
      </w:r>
      <w:r>
        <w:rPr>
          <w:b/>
        </w:rPr>
        <w:t xml:space="preserve">12</w:t>
      </w:r>
      <w:r>
        <w:t xml:space="preserve">:584.</w:t>
      </w:r>
    </w:p>
    <w:p>
      <w:pPr>
        <w:pStyle w:val="Bibliography"/>
      </w:pPr>
      <w:r>
        <w:t xml:space="preserve">17.</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18.</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19.</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22.</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23.</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24.</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25.</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26.</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27.</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32.</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33.</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34.</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35.</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36.</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w:t>
      </w:r>
      <w:r>
        <w:t xml:space="preserve"> </w:t>
      </w:r>
      <w:r>
        <w:rPr>
          <w:i/>
        </w:rPr>
        <w:t xml:space="preserve">Clostridium difficile</w:t>
      </w:r>
      <w:r>
        <w:t xml:space="preserve">. Microbiology and Immunology</w:t>
      </w:r>
      <w:r>
        <w:t xml:space="preserve"> </w:t>
      </w:r>
      <w:r>
        <w:rPr>
          <w:b/>
        </w:rPr>
        <w:t xml:space="preserve">26</w:t>
      </w:r>
      <w:r>
        <w:t xml:space="preserve">:107–111.</w:t>
      </w:r>
    </w:p>
    <w:p>
      <w:pPr>
        <w:pStyle w:val="Bibliography"/>
      </w:pPr>
      <w:r>
        <w:t xml:space="preserve">37.</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38.</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Glycobiology</w:t>
      </w:r>
      <w:r>
        <w:t xml:space="preserve"> </w:t>
      </w:r>
      <w:r>
        <w:rPr>
          <w:b/>
        </w:rPr>
        <w:t xml:space="preserve">23</w:t>
      </w:r>
      <w:r>
        <w:t xml:space="preserve">:1038–1046.</w:t>
      </w:r>
    </w:p>
    <w:p>
      <w:pPr>
        <w:pStyle w:val="Bibliography"/>
      </w:pPr>
      <w:r>
        <w:t xml:space="preserve">39.</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40.</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41.</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42.</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43.</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44.</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45.</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Development of a dual-index sequencing strategy and curation pipeline for analyzing amplicon sequence data on the MiSeq Illumina sequencing platform. Appl Environ Microbiol</w:t>
      </w:r>
      <w:r>
        <w:t xml:space="preserve"> </w:t>
      </w:r>
      <w:r>
        <w:rPr>
          <w:b/>
        </w:rPr>
        <w:t xml:space="preserve">79</w:t>
      </w:r>
      <w:r>
        <w:t xml:space="preserve">:5112–5120.</w:t>
      </w:r>
    </w:p>
    <w:p>
      <w:pPr>
        <w:pStyle w:val="Bibliography"/>
      </w:pPr>
      <w:r>
        <w:t xml:space="preserve">46.</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47.</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48.</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49.</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50.</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Nucleic Acids Research</w:t>
      </w:r>
      <w:r>
        <w:t xml:space="preserve"> </w:t>
      </w:r>
      <w:r>
        <w:rPr>
          <w:b/>
        </w:rPr>
        <w:t xml:space="preserve">27</w:t>
      </w:r>
      <w:r>
        <w:t xml:space="preserve">:29–34.</w:t>
      </w:r>
    </w:p>
    <w:p>
      <w:pPr>
        <w:pStyle w:val="Bibliography"/>
      </w:pPr>
      <w:r>
        <w:t xml:space="preserve">51.</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52.</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5a6d3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microbiomes</dc:title>
  <dc:creator/>
  <dcterms:created xsi:type="dcterms:W3CDTF">2017-04-17T15:30:28Z</dcterms:created>
  <dcterms:modified xsi:type="dcterms:W3CDTF">2017-04-17T15:30:28Z</dcterms:modified>
</cp:coreProperties>
</file>