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any ceca of the antibiotic-treated SPF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and allowed for some degree of conservation of replicates for downstream analysis. Since these circumstances were unavaoidable, we treated this as normalizing for the average expression of</w:t>
      </w:r>
      <w:r>
        <w:t xml:space="preserve"> </w:t>
      </w:r>
      <w:r>
        <w:rPr>
          <w:i/>
        </w:rPr>
        <w:t xml:space="preserve">C. difficile</w:t>
      </w:r>
      <w:r>
        <w:t xml:space="preserve"> </w:t>
      </w:r>
      <w:r>
        <w:t xml:space="preserve">in each environment.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(20, 26)</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(27)</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them</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(43)</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separate carbohydrates in each colonized gut environment. We also found that Stickland fermentation substrates and host-derived glycans were conserved elements of</w:t>
      </w:r>
      <w:r>
        <w:t xml:space="preserve"> </w:t>
      </w:r>
      <w:r>
        <w:rPr>
          <w:i/>
        </w:rPr>
        <w:t xml:space="preserve">C. difficile</w:t>
      </w:r>
      <w:r>
        <w:t xml:space="preserve">'s nutrient niche across distinct gut communities. Our results implicate that further considerations are needed for the design or targeted prebiotic and probiotic therapies to prevent or eliminate of</w:t>
      </w:r>
      <w:r>
        <w:t xml:space="preserve"> </w:t>
      </w:r>
      <w:r>
        <w:rPr>
          <w:i/>
        </w:rPr>
        <w:t xml:space="preserve">C. difficile</w:t>
      </w:r>
      <w:r>
        <w:t xml:space="preserve"> </w:t>
      </w:r>
      <w:r>
        <w:t xml:space="preserve">from a colonized gut.</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with important carbon sources.</w:t>
      </w:r>
      <w:r>
        <w:t xml:space="preserve"> </w:t>
      </w:r>
      <w:r>
        <w:t xml:space="preserve">Important metabolites included in this analysis were calculated at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curves validating identified growth nutrients from network analysis. All statistical comparison was performed in comparison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48a9b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2017-03-20T13:30:06Z</dcterms:created>
  <dcterms:modified xsi:type="dcterms:W3CDTF">2017-03-20T13:30:06Z</dcterms:modified>
</cp:coreProperties>
</file>