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w:t>
      </w:r>
      <w:r>
        <w:rPr>
          <w:b/>
        </w:rPr>
        <w:t xml:space="preserve">???</w:t>
      </w:r>
      <w:r>
        <w:t xml:space="preserve">)</w:t>
      </w:r>
      <w:r>
        <w:t xml:space="preserve">. After infection, we measured sporulation and toxin production at 18 hours post innoculation. That time point corresponded with when another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(25)</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(26)</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(27)</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(28)</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(29)</w:t>
      </w:r>
      <w:r>
        <w:t xml:space="preserve">. The Stickland fermentation acceptor proline was also found to be important in all conditions tested</w:t>
      </w:r>
      <w:r>
        <w:t xml:space="preserve"> </w:t>
      </w:r>
      <w:r>
        <w:t xml:space="preserve">(30)</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(6, 12, 31)</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(32)</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(31)</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(33)</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(34)</w:t>
      </w:r>
      <w:r>
        <w:t xml:space="preserve">. Additionally, alanine was also found to be important in this condition and is a preferred electron donating amino acid in Stickland fermentation</w:t>
      </w:r>
      <w:r>
        <w:t xml:space="preserve"> </w:t>
      </w:r>
      <w:r>
        <w:t xml:space="preserve">(25)</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(35)</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(36)</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(37)</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(38)</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(39)</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26.</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27.</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28.</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30.</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31.</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32.</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33.</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34.</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35.</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36.</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37.</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38.</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1425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2017-04-04T15:18:16Z</dcterms:created>
  <dcterms:modified xsi:type="dcterms:W3CDTF">2017-04-04T15:18:16Z</dcterms:modified>
</cp:coreProperties>
</file>