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investigations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w:t>
      </w:r>
      <w:r>
        <w:t xml:space="preserve"> </w:t>
      </w:r>
      <w:r>
        <w:t xml:space="preserve">(22–24)</w:t>
      </w:r>
      <w:r>
        <w:t xml:space="preserve">. Transcription-driven approaches of the nature can then be further improved through combination with global metabolomic analysis in order validate modeling-based conclusions. Applying this collection techniques to study</w:t>
      </w:r>
      <w:r>
        <w:t xml:space="preserve"> </w:t>
      </w:r>
      <w:r>
        <w:rPr>
          <w:i/>
        </w:rPr>
        <w:t xml:space="preserve">C. difficile</w:t>
      </w:r>
      <w:r>
        <w:t xml:space="preserve"> </w:t>
      </w:r>
      <w:r>
        <w:t xml:space="preserve">colonization allowed us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Fig. S1)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clindamycin-pretreated mice were also generally higher than that in cefoperazone-pretreated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clindamycin-pretreated groups, toxin titer was below the limit of detection in most streptomycin-pretreated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any ceca of the antibiotic-pretreated SPF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and allowed for some degree of conservation of replicates for downstream analysis. Since these circumstances were unavaoidable,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(20, 25)</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(26)</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antibiotic-pretreated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streptomycin-pretreated mice (Fig. 2F), while ABC sugar transporters were overrepresented in the cefoparazone-pretreated mice (Fig. 2G). The most stark differences were seen in transcription for genes involved in sugar alcohol catabolism (Fig. 2H). Expression of these genes was entirely absent from clindamycin-pretreated mice and expression of genes for mannitol utilization were overrepresented in cefoparazone-pretreated mice and expression of genes for sorbitol utilization were overrepresented in streptomycin-pretreated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clindamycin-pretreated mice (Fig. 2I). Alpha/beta-galactosidase genes were also overrepresented in clindamycin-pretreated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cefoparazone-pretreated mice, however genes that catalyze the committed step of glycolysis were overrepresented in streptomycin-pretreated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(27)</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(28)</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(30)</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(31)</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To first identify the core metabolites that are most essential to</w:t>
      </w:r>
      <w:r>
        <w:t xml:space="preserve"> </w:t>
      </w:r>
      <w:r>
        <w:rPr>
          <w:i/>
        </w:rPr>
        <w:t xml:space="preserve">C. difficile</w:t>
      </w:r>
      <w:r>
        <w:t xml:space="preserve"> </w:t>
      </w:r>
      <w:r>
        <w:t xml:space="preserve">in any condition, we first ranked the scores of all 758 metabolites in the metabolic network within each condition. Using these rankings we then cross-referenced the highest 40 scoring metabolites from each treatment group, recalculated the median importance across all conditions, and reported the top five consistenly high scoring metabolites (Fig. 4A). The host-derived aminoglycan N-acetylglucosamine (GlcNAc)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We also confirmed the</w:t>
      </w:r>
      <w:r>
        <w:t xml:space="preserve"> </w:t>
      </w:r>
      <w:r>
        <w:rPr>
          <w:i/>
        </w:rPr>
        <w:t xml:space="preserve">C. difficile</w:t>
      </w:r>
      <w:r>
        <w:t xml:space="preserve"> </w:t>
      </w:r>
      <w:r>
        <w:t xml:space="preserve">str. 630 could metabolize GlcNAc for growth (Fig. 4C) using specialized minimal media for</w:t>
      </w:r>
      <w:r>
        <w:t xml:space="preserve"> </w:t>
      </w:r>
      <w:r>
        <w:rPr>
          <w:i/>
        </w:rPr>
        <w:t xml:space="preserve">C. difficile</w:t>
      </w:r>
      <w:r>
        <w:t xml:space="preserve"> </w:t>
      </w:r>
      <w:r>
        <w:t xml:space="preserve">(32)</w:t>
      </w:r>
      <w:r>
        <w:t xml:space="preserve">. The Stickland fermentation substrate proline was also found to be important in all conditions tested.</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carbohydrate negative controls. Both glycolysis and Stickland fermentation have been demonstrated by</w:t>
      </w:r>
      <w:r>
        <w:t xml:space="preserve"> </w:t>
      </w:r>
      <w:r>
        <w:rPr>
          <w:i/>
        </w:rPr>
        <w:t xml:space="preserve">C. difficile</w:t>
      </w:r>
      <w:r>
        <w:t xml:space="preserve"> </w:t>
      </w:r>
      <w:r>
        <w:rPr>
          <w:i/>
        </w:rPr>
        <w:t xml:space="preserve">in vivo</w:t>
      </w:r>
      <w:r>
        <w:t xml:space="preserve"> </w:t>
      </w:r>
      <w:r>
        <w:t xml:space="preserve">during GF mouse mono-associated studies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We then moved on to assess differential patterns of metabolite importance across environments and implemented a subtractive approach using the metabolite rankings from the previous analysis. This resulted in those metabolites that were distinctly important to</w:t>
      </w:r>
      <w:r>
        <w:t xml:space="preserve"> </w:t>
      </w:r>
      <w:r>
        <w:rPr>
          <w:i/>
        </w:rPr>
        <w:t xml:space="preserve">C. difficile</w:t>
      </w:r>
      <w:r>
        <w:t xml:space="preserve"> </w:t>
      </w:r>
      <w:r>
        <w:t xml:space="preserve">in the respective environments, which we then reported the top five from each (Fig. 4B). All groups of metabolites contained at least one known carbon source for</w:t>
      </w:r>
      <w:r>
        <w:t xml:space="preserve"> </w:t>
      </w:r>
      <w:r>
        <w:rPr>
          <w:i/>
        </w:rPr>
        <w:t xml:space="preserve">C. difficile</w:t>
      </w:r>
      <w:r>
        <w:t xml:space="preserve"> </w:t>
      </w:r>
      <w:r>
        <w:t xml:space="preserve">(6, 12, 33)</w:t>
      </w:r>
      <w:r>
        <w:t xml:space="preserve">, which we also validated in our strain (Fig. 4C). While host diet is likely the source of sorbitol, mannitol, and salicin, N-acetylneuraminate is another aminoglycan derived from the host mucin layer</w:t>
      </w:r>
      <w:r>
        <w:t xml:space="preserve"> </w:t>
      </w:r>
      <w:r>
        <w:t xml:space="preserve">(34)</w:t>
      </w:r>
      <w:r>
        <w:t xml:space="preserve">. Previously, the concentration of this molecule was shown to be increased through liberation by other bacterial species to the benefit of</w:t>
      </w:r>
      <w:r>
        <w:t xml:space="preserve"> </w:t>
      </w:r>
      <w:r>
        <w:rPr>
          <w:i/>
        </w:rPr>
        <w:t xml:space="preserve">C. difficile</w:t>
      </w:r>
      <w:r>
        <w:t xml:space="preserve"> </w:t>
      </w:r>
      <w:r>
        <w:t xml:space="preserve">(33)</w:t>
      </w:r>
      <w:r>
        <w:t xml:space="preserve">, however our results contest that</w:t>
      </w:r>
      <w:r>
        <w:t xml:space="preserve"> </w:t>
      </w:r>
      <w:r>
        <w:rPr>
          <w:i/>
        </w:rPr>
        <w:t xml:space="preserve">C. difficile</w:t>
      </w:r>
      <w:r>
        <w:t xml:space="preserve"> </w:t>
      </w:r>
      <w:r>
        <w:t xml:space="preserve">utilizes it for growth even in the absence of other bacterial species. Succinyl-CoA was of distinct importance in clindamycin-pretreated mice, and is the direct precursor to succinate which</w:t>
      </w:r>
      <w:r>
        <w:t xml:space="preserve"> </w:t>
      </w:r>
      <w:r>
        <w:rPr>
          <w:i/>
        </w:rPr>
        <w:t xml:space="preserve">C. difficile</w:t>
      </w:r>
      <w:r>
        <w:t xml:space="preserve"> </w:t>
      </w:r>
      <w:r>
        <w:t xml:space="preserve">takes from the gut microbiota to utilize for growth</w:t>
      </w:r>
      <w:r>
        <w:t xml:space="preserve"> </w:t>
      </w:r>
      <w:r>
        <w:t xml:space="preserve">(9)</w:t>
      </w:r>
      <w:r>
        <w:t xml:space="preserve">. These results suggested that this relationship may only exist in certain types of perturbed gut environments. We also noted that</w:t>
      </w:r>
      <w:r>
        <w:t xml:space="preserve"> </w:t>
      </w:r>
      <w:r>
        <w:rPr>
          <w:i/>
        </w:rPr>
        <w:t xml:space="preserve">C. difficile</w:t>
      </w:r>
      <w:r>
        <w:t xml:space="preserve"> </w:t>
      </w:r>
      <w:r>
        <w:t xml:space="preserve">colonized in ex-GF were more likely to acquire numerous amino acids from the environment (Table S3), as opposed to their synthesis presumably due to reduced competition. These results supported the ability of our network algorithm to identify likely growth substrates and that</w:t>
      </w:r>
      <w:r>
        <w:t xml:space="preserve"> </w:t>
      </w:r>
      <w:r>
        <w:rPr>
          <w:i/>
        </w:rPr>
        <w:t xml:space="preserve">C. difficile</w:t>
      </w:r>
      <w:r>
        <w:t xml:space="preserve"> </w:t>
      </w:r>
      <w:r>
        <w:t xml:space="preserve">adapted its metabolism toward specific nutrients across environments.</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cefoperazone-pretreated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cefoperazone-pretreated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 0.059 &amp;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(35)</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Heading3"/>
      </w:pPr>
      <w:bookmarkStart w:id="25" w:name="discussion"/>
      <w:bookmarkEnd w:id="25"/>
      <w:r>
        <w:t xml:space="preserve">Discussion</w:t>
      </w:r>
    </w:p>
    <w:p>
      <w:pPr>
        <w:pStyle w:val="FirstParagraph"/>
      </w:pPr>
      <w:r>
        <w:t xml:space="preserve">Galactitol was also tested as it was important in streptomycin-pretreated animals, however it demonstrated nearly identical growth patterns to no carbohydrate control (Table S4).</w:t>
      </w:r>
    </w:p>
    <w:p>
      <w:pPr>
        <w:pStyle w:val="BodyText"/>
      </w:pPr>
      <w:r>
        <w:t xml:space="preserve">These data also suggested a potential hierarchy in carbon source preference, but requires additional investigations to state conclusively.</w:t>
      </w:r>
    </w:p>
    <w:p>
      <w:pPr>
        <w:pStyle w:val="BodyText"/>
      </w:pPr>
      <w:r>
        <w:t xml:space="preserve">Our results collectively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(36)</w:t>
      </w:r>
      <w:r>
        <w:t xml:space="preserve">. This same principle could extend to host-derived aminoglycans from the mucus layer. Concentrations of N-acetylglucosamine were consistently decreased when groups of bacteria with the capacity to cleave it from mucus were either diminished or absent entirely</w:t>
      </w:r>
      <w:r>
        <w:t xml:space="preserve"> </w:t>
      </w:r>
      <w:r>
        <w:t xml:space="preserve">(37)</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(38)</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(48)</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(52)</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important metabolites.</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26.</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31.</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32.</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38.</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61141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2017-03-27T19:29:51Z</dcterms:created>
  <dcterms:modified xsi:type="dcterms:W3CDTF">2017-03-27T19:29:51Z</dcterms:modified>
</cp:coreProperties>
</file>