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CDI susceptibility is most frequently associated with previous antibiotic exposure, which disrupt the gut bacterial community. This has been described for multiple antibiotic classes which result in distinct gut communities, each presenting separate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adapts its physiology to nutrient availability within differentially susceptible gut environments.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receiving one of three individual antibiotic pretreatments. We found levels of spore and toxin production varied between each group, both processes partially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 the pathogen from cecal content of infected mice. This revealed expression variation in numerous catabolic pathways for various carbon sources. To assess which substrates</w:t>
      </w:r>
      <w:r>
        <w:t xml:space="preserve"> </w:t>
      </w:r>
      <w:r>
        <w:rPr>
          <w:i/>
        </w:rPr>
        <w:t xml:space="preserve">C. difficile</w:t>
      </w:r>
      <w:r>
        <w:t xml:space="preserve"> </w:t>
      </w:r>
      <w:r>
        <w:t xml:space="preserve">was exploiting, we developed a transcriptomic-enabled genome-scale metabolic model of</w:t>
      </w:r>
      <w:r>
        <w:t xml:space="preserve"> </w:t>
      </w:r>
      <w:r>
        <w:rPr>
          <w:i/>
        </w:rPr>
        <w:t xml:space="preserve">C. difficile</w:t>
      </w:r>
      <w:r>
        <w:t xml:space="preserve"> </w:t>
      </w:r>
      <w:r>
        <w:t xml:space="preserve">and a metabolite scoring algorithm that leveraged network architecture. With this platform, we identified carbon sources used by</w:t>
      </w:r>
      <w:r>
        <w:t xml:space="preserve"> </w:t>
      </w:r>
      <w:r>
        <w:rPr>
          <w:i/>
        </w:rPr>
        <w:t xml:space="preserve">C. difficile</w:t>
      </w:r>
      <w:r>
        <w:t xml:space="preserve"> </w:t>
      </w:r>
      <w:r>
        <w:t xml:space="preserve">asymmetrically between infection models. These findings were validated through untargeted mass spectrometry analysis from each condition. Our results supported the hypothesis that</w:t>
      </w:r>
      <w:r>
        <w:t xml:space="preserve"> </w:t>
      </w:r>
      <w:r>
        <w:rPr>
          <w:i/>
        </w:rPr>
        <w:t xml:space="preserve">C. difficile</w:t>
      </w:r>
      <w:r>
        <w:t xml:space="preserve"> </w:t>
      </w:r>
      <w:r>
        <w:t xml:space="preserve">inhabited alternative nutrient niches across colonized environments, with increasing preference for nitrogen-containing carbon sources. These data also highlighted conserved elements of</w:t>
      </w:r>
      <w:r>
        <w:t xml:space="preserve"> </w:t>
      </w:r>
      <w:r>
        <w:rPr>
          <w:i/>
        </w:rPr>
        <w:t xml:space="preserve">C. difficile</w:t>
      </w:r>
      <w:r>
        <w:t xml:space="preserve">'s metabolic strategy, specifically consumption of host-derived aminoglycans and Stickland fermentation substrates.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communities. This work also provides evidence that</w:t>
      </w:r>
      <w:r>
        <w:t xml:space="preserve"> </w:t>
      </w:r>
      <w:r>
        <w:rPr>
          <w:i/>
        </w:rPr>
        <w:t xml:space="preserve">C. difficile</w:t>
      </w:r>
      <w:r>
        <w:t xml:space="preserve"> </w:t>
      </w:r>
      <w:r>
        <w:t xml:space="preserve">virulence may be driven by accessibility of specific carbon sources during infection. This work could lead to the discovery of targeted measures to prevent</w:t>
      </w:r>
      <w:r>
        <w:t xml:space="preserve"> </w:t>
      </w:r>
      <w:r>
        <w:rPr>
          <w:i/>
        </w:rPr>
        <w:t xml:space="preserve">C. difficile</w:t>
      </w:r>
      <w:r>
        <w:t xml:space="preserve"> </w:t>
      </w:r>
      <w:r>
        <w:t xml:space="preserve">colonization including potential pre- or probiotic therapies. Our metabolite importance calculation workflow also provides a platform to the study of nutrient requirements of pathogens in the context of infection or even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by disrupting the gut microbiota</w:t>
      </w:r>
      <w:r>
        <w:t xml:space="preserve"> </w:t>
      </w:r>
      <w:r>
        <w:t xml:space="preserve">(4)</w:t>
      </w:r>
      <w:r>
        <w:t xml:space="preserve">. Multiple distinct antibiotic have been shown to induce susceptibility</w:t>
      </w:r>
      <w:r>
        <w:t xml:space="preserve"> </w:t>
      </w:r>
      <w:r>
        <w:rPr>
          <w:i/>
        </w:rPr>
        <w:t xml:space="preserve">C. difficile</w:t>
      </w:r>
      <w:r>
        <w:t xml:space="preserve"> </w:t>
      </w:r>
      <w:r>
        <w:t xml:space="preserve">to colonization in a mouse model</w:t>
      </w:r>
      <w:r>
        <w:t xml:space="preserve"> </w:t>
      </w:r>
      <w:r>
        <w:t xml:space="preserve">(5–7)</w:t>
      </w:r>
      <w:r>
        <w:t xml:space="preserve">.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(11, 12)</w:t>
      </w:r>
      <w:r>
        <w:t xml:space="preserve">.</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can utilize a variety of growth substrates, and possesses a diverse array host range</w:t>
      </w:r>
      <w:r>
        <w:t xml:space="preserve"> </w:t>
      </w:r>
      <w:r>
        <w:t xml:space="preserve">(13–15)</w:t>
      </w:r>
      <w:r>
        <w:t xml:space="preserve">. These qualities are hallmarks of a ecological generalist for bacteria.</w:t>
      </w:r>
      <w:r>
        <w:t xml:space="preserve"> </w:t>
      </w:r>
      <w:r>
        <w:rPr>
          <w:i/>
        </w:rPr>
        <w:t xml:space="preserve">C. difficile</w:t>
      </w:r>
      <w:r>
        <w:t xml:space="preserve"> </w:t>
      </w:r>
      <w:r>
        <w:t xml:space="preserve">has also been shown to integrate signals from multiple forms of carbon metabolism to regulate its pathogenesis.</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(16, 17)</w:t>
      </w:r>
      <w:r>
        <w:t xml:space="preserve">. Other studies further indicate that numerous additional aspects of</w:t>
      </w:r>
      <w:r>
        <w:t xml:space="preserve"> </w:t>
      </w:r>
      <w:r>
        <w:rPr>
          <w:i/>
        </w:rPr>
        <w:t xml:space="preserve">C. difficile</w:t>
      </w:r>
      <w:r>
        <w:t xml:space="preserve"> </w:t>
      </w:r>
      <w:r>
        <w:t xml:space="preserve">metabolism may be influenced by way of environmental nutrient concentration-sensative global transcriptional regulators such as CodY and CcpA</w:t>
      </w:r>
      <w:r>
        <w:t xml:space="preserve"> </w:t>
      </w:r>
      <w:r>
        <w:t xml:space="preserve">(18, 19)</w:t>
      </w:r>
      <w:r>
        <w:t xml:space="preserve">. However, the previous analyses have mainly focused on</w:t>
      </w:r>
      <w:r>
        <w:t xml:space="preserve"> </w:t>
      </w:r>
      <w:r>
        <w:rPr>
          <w:i/>
        </w:rPr>
        <w:t xml:space="preserve">in vitro</w:t>
      </w:r>
      <w:r>
        <w:t xml:space="preserve"> </w:t>
      </w:r>
      <w:r>
        <w:t xml:space="preserve">growth</w:t>
      </w:r>
      <w:r>
        <w:t xml:space="preserve"> </w:t>
      </w:r>
      <w:r>
        <w:t xml:space="preserve">(20, 21)</w:t>
      </w:r>
      <w:r>
        <w:t xml:space="preserve"> </w:t>
      </w:r>
      <w:r>
        <w:t xml:space="preserve">or colonization of germfree mice</w:t>
      </w:r>
      <w:r>
        <w:t xml:space="preserve"> </w:t>
      </w:r>
      <w:r>
        <w:t xml:space="preserve">(19, 22)</w:t>
      </w:r>
      <w:r>
        <w:t xml:space="preserve">. Although these analyses are informative, they are either primarily directed toward the expression of pathogenicity factors or lack the context of the gut microbiota which</w:t>
      </w:r>
      <w:r>
        <w:t xml:space="preserve"> </w:t>
      </w:r>
      <w:r>
        <w:rPr>
          <w:i/>
        </w:rPr>
        <w:t xml:space="preserve">C. difficile</w:t>
      </w:r>
      <w:r>
        <w:t xml:space="preserve"> </w:t>
      </w:r>
      <w:r>
        <w:t xml:space="preserve">must compete against for substrates. Metabolomic investigations have also been used to assay changes in bacterial metabolism as they relate to CDI and have characterized the levels of germinants and growth substrate availability</w:t>
      </w:r>
      <w:r>
        <w:t xml:space="preserve"> </w:t>
      </w:r>
      <w:r>
        <w:t xml:space="preserve">(6, 10)</w:t>
      </w:r>
      <w:r>
        <w:t xml:space="preserve">; however, metabolomic approaches are unable to a attribute a metabolite to specific organisms in the milieu. Thus metabolomics more closely represents the echoes of total community metabolism, not the currently active processes of any one population. It has thus far not been possible to study</w:t>
      </w:r>
      <w:r>
        <w:t xml:space="preserve"> </w:t>
      </w:r>
      <w:r>
        <w:rPr>
          <w:i/>
        </w:rPr>
        <w:t xml:space="preserve">C. difficile</w:t>
      </w:r>
      <w:r>
        <w:t xml:space="preserve">’s metabolism</w:t>
      </w:r>
      <w:r>
        <w:t xml:space="preserve"> </w:t>
      </w:r>
      <w:r>
        <w:rPr>
          <w:i/>
        </w:rPr>
        <w:t xml:space="preserve">in vivo</w:t>
      </w:r>
      <w:r>
        <w:t xml:space="preserve">.</w:t>
      </w:r>
    </w:p>
    <w:p>
      <w:pPr>
        <w:pStyle w:val="BodyText"/>
      </w:pPr>
      <w:r>
        <w:t xml:space="preserve">To overcome these limitations, we used</w:t>
      </w:r>
      <w:r>
        <w:t xml:space="preserve"> </w:t>
      </w:r>
      <w:r>
        <w:rPr>
          <w:i/>
        </w:rPr>
        <w:t xml:space="preserve">in vivo</w:t>
      </w:r>
      <w:r>
        <w:t xml:space="preserve"> </w:t>
      </w:r>
      <w:r>
        <w:t xml:space="preserve">transcriptomic and metabolomic analysis of</w:t>
      </w:r>
      <w:r>
        <w:t xml:space="preserve"> </w:t>
      </w:r>
      <w:r>
        <w:rPr>
          <w:i/>
        </w:rPr>
        <w:t xml:space="preserve">C. difficile</w:t>
      </w:r>
      <w:r>
        <w:t xml:space="preserve"> </w:t>
      </w:r>
      <w:r>
        <w:t xml:space="preserve">in specific pathogen free (SPF) mice to better understand the active metabolic pathways in a more realistic model of infection. Based on the ability of</w:t>
      </w:r>
      <w:r>
        <w:t xml:space="preserve"> </w:t>
      </w:r>
      <w:r>
        <w:rPr>
          <w:i/>
        </w:rPr>
        <w:t xml:space="preserve">C. difficile</w:t>
      </w:r>
      <w:r>
        <w:t xml:space="preserve"> </w:t>
      </w:r>
      <w:r>
        <w:t xml:space="preserve">to grow on a diverse array of carbon sources and its ability to colonize a variety of communities, we hypothesized that</w:t>
      </w:r>
      <w:r>
        <w:t xml:space="preserve"> </w:t>
      </w:r>
      <w:r>
        <w:rPr>
          <w:i/>
        </w:rPr>
        <w:t xml:space="preserve">C. difficile</w:t>
      </w:r>
      <w:r>
        <w:t xml:space="preserve"> </w:t>
      </w:r>
      <w:r>
        <w:t xml:space="preserve">adapts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By characterizing the transcriptome of</w:t>
      </w:r>
      <w:r>
        <w:t xml:space="preserve"> </w:t>
      </w:r>
      <w:r>
        <w:rPr>
          <w:i/>
        </w:rPr>
        <w:t xml:space="preserve">C. difficile</w:t>
      </w:r>
      <w:r>
        <w:t xml:space="preserve"> </w:t>
      </w:r>
      <w:r>
        <w:t xml:space="preserve">in these different communities and the metabolome of the respective environments, we were able to generate a systems model to directly test the nutrient-niche hypothesis.</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Conventionally-reared SPF mice were treated with one of three different antibiotics. These included streptomycin, cefoperazone, and clindamycin (Table 1 and Fig. S1), which were selected because they each significantly impact the structure and diversity of the cecal microbiome uniquely (Fig. S2A and S2B). In addition, we mono-associated germfree (ex-GF) mice with</w:t>
      </w:r>
      <w:r>
        <w:t xml:space="preserve"> </w:t>
      </w:r>
      <w:r>
        <w:rPr>
          <w:i/>
        </w:rPr>
        <w:t xml:space="preserve">C. difficile</w:t>
      </w:r>
      <w:r>
        <w:t xml:space="preserve"> </w:t>
      </w:r>
      <w:r>
        <w:t xml:space="preserve">to understand its physiology in the absence of other microbiota. We measured sporulation and toxin production at 18 hours post infection because that corresponds to the time when</w:t>
      </w:r>
      <w:r>
        <w:t xml:space="preserve"> </w:t>
      </w:r>
      <w:r>
        <w:rPr>
          <w:i/>
        </w:rPr>
        <w:t xml:space="preserve">C. difficile</w:t>
      </w:r>
      <w:r>
        <w:t xml:space="preserve"> </w:t>
      </w:r>
      <w:r>
        <w:t xml:space="preserve">reaches its maximum vegetative cell density in the cecum with limited sporulation</w:t>
      </w:r>
      <w:r>
        <w:t xml:space="preserve"> </w:t>
      </w:r>
      <w:r>
        <w:t xml:space="preserve">(23)</w:t>
      </w:r>
      <w:r>
        <w:t xml:space="preserve">. There was not a significant difference in the number of vegetative cells between any susceptible condition tested (Fig. 1A). All antibiotic treated (Table 1) and ex-GF mice were colonized to ~1×10</w:t>
      </w:r>
      <w:r>
        <w:rPr>
          <w:vertAlign w:val="superscript"/>
        </w:rPr>
        <w:t xml:space="preserve">8</w:t>
      </w:r>
      <w:r>
        <w:t xml:space="preserve"> </w:t>
      </w:r>
      <w:r>
        <w:t xml:space="preserve">colony forming units (cfu) per gram of cecal content, while untreated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largely more spores were detected in ex-GF mice than in the antibiotic pretreated mice (</w:t>
      </w:r>
      <w:r>
        <w:rPr>
          <w:i/>
        </w:rPr>
        <w:t xml:space="preserve">P</w:t>
      </w:r>
      <w:r>
        <w:t xml:space="preserve"> </w:t>
      </w:r>
      <w:r>
        <w:t xml:space="preserve">= 0.003, 0.004, and 0.003; Fig. 1B). There was also significantly more toxin activity in ex-GF animals than any other colonized group (all</w:t>
      </w:r>
      <w:r>
        <w:t xml:space="preserve"> </w:t>
      </w:r>
      <w:r>
        <w:rPr>
          <w:i/>
        </w:rPr>
        <w:t xml:space="preserve">P</w:t>
      </w:r>
      <w:r>
        <w:t xml:space="preserve"> </w:t>
      </w:r>
      <w:r>
        <w:t xml:space="preserve">&lt; 0.001), with slight variation between antibiotic pretreatment groups (Fig. 1C). These results indicated that</w:t>
      </w:r>
      <w:r>
        <w:t xml:space="preserve"> </w:t>
      </w:r>
      <w:r>
        <w:rPr>
          <w:i/>
        </w:rPr>
        <w:t xml:space="preserve">C. difficile</w:t>
      </w:r>
      <w:r>
        <w:t xml:space="preserve"> </w:t>
      </w:r>
      <w:r>
        <w:t xml:space="preserve">colonized different communities to a consistently high level and that the antibiotic perturbed communities had moderate contrast in levels of spores and toxin. To investigate the physiology of</w:t>
      </w:r>
      <w:r>
        <w:t xml:space="preserve"> </w:t>
      </w:r>
      <w:r>
        <w:rPr>
          <w:i/>
        </w:rPr>
        <w:t xml:space="preserve">C. difficile</w:t>
      </w:r>
      <w:r>
        <w:t xml:space="preserve"> </w:t>
      </w:r>
      <w:r>
        <w:t xml:space="preserve">when colonizing distinct susceptible gut environments, we performed whole transcriptome analysis of</w:t>
      </w:r>
      <w:r>
        <w:t xml:space="preserve"> </w:t>
      </w:r>
      <w:r>
        <w:rPr>
          <w:i/>
        </w:rPr>
        <w:t xml:space="preserve">C. difficile</w:t>
      </w:r>
      <w:r>
        <w:t xml:space="preserve"> </w:t>
      </w:r>
      <w:r>
        <w:t xml:space="preserve">growing in the cecum during infection.</w:t>
      </w:r>
    </w:p>
    <w:p>
      <w:pPr>
        <w:pStyle w:val="BodyText"/>
      </w:pPr>
      <w:r>
        <w:t xml:space="preserve">**</w:t>
      </w:r>
      <w:r>
        <w:t xml:space="preserve"> </w:t>
      </w:r>
      <w:r>
        <w:rPr>
          <w:i/>
        </w:rPr>
        <w:t xml:space="preserve">C. difficile</w:t>
      </w:r>
      <w:r>
        <w:t xml:space="preserve"> </w:t>
      </w:r>
      <w:r>
        <w:t xml:space="preserve">alters its gene expression pathways when colonizing different communities.**</w:t>
      </w:r>
      <w:r>
        <w:t xml:space="preserve"> </w:t>
      </w: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These included genes involved in sporulation, the pathogenecity locus, quorum sensing, and metabolite-regulated sigma factors (Fig. S3); however despite large-scale differences between pretreatment groups, no clear trends between gene expression and colonization, sporulation, or toxin production were evident. It became evident that colonization of each treatment group resulted in different levels of expression for each group of genes. This further indicated that</w:t>
      </w:r>
      <w:r>
        <w:t xml:space="preserve"> </w:t>
      </w:r>
      <w:r>
        <w:rPr>
          <w:i/>
        </w:rPr>
        <w:t xml:space="preserve">C. difficile</w:t>
      </w:r>
      <w:r>
        <w:t xml:space="preserve"> </w:t>
      </w:r>
      <w:r>
        <w:t xml:space="preserve">may adapt its metabolism to the environment it is colonizing.</w:t>
      </w:r>
    </w:p>
    <w:p>
      <w:pPr>
        <w:pStyle w:val="BodyText"/>
      </w:pPr>
      <w:r>
        <w:t xml:space="preserve">We next focused on specific gene families known to contribute to</w:t>
      </w:r>
      <w:r>
        <w:t xml:space="preserve"> </w:t>
      </w:r>
      <w:r>
        <w:rPr>
          <w:i/>
        </w:rPr>
        <w:t xml:space="preserve">C. difficile</w:t>
      </w:r>
      <w:r>
        <w:t xml:space="preserve"> </w:t>
      </w:r>
      <w:r>
        <w:t xml:space="preserve">metabolism (Table S1 and Fig. 2A). Genes involved in Amino acid catabolism, including those that encoded enzymes involved in Stickland fermentation and general peptidases, had the highest level of expression. Stickland fermentation refers to the coupled fermentation of amino acid pairs in which one is deaminated and the other is reduced to ultimately generate ATP</w:t>
      </w:r>
      <w:r>
        <w:t xml:space="preserve"> </w:t>
      </w:r>
      <w:r>
        <w:t xml:space="preserve">(24)</w:t>
      </w:r>
      <w:r>
        <w:t xml:space="preserve">. This indicated that catabolizing environmental amino acids was generally occurring in</w:t>
      </w:r>
      <w:r>
        <w:t xml:space="preserve"> </w:t>
      </w:r>
      <w:r>
        <w:rPr>
          <w:i/>
        </w:rPr>
        <w:t xml:space="preserve">C. difficile</w:t>
      </w:r>
      <w:r>
        <w:t xml:space="preserve"> </w:t>
      </w:r>
      <w:r>
        <w:t xml:space="preserve">during infection, regardless of the structure of the surrounding community. Although there were families equally expressed across conditions in spite of the community differences, there were patterns of expression for certain gene families and specific genes that were distinct to each antibiotic pretreatment. Mice pretreated with cefoperazone tended to have more expression of genes in the ABC sugar transporter and Sugar alcohol catabolism (e.g. mannitol) families and fewer genes in the PTS transporter family than the other pretreatment groups.</w:t>
      </w:r>
      <w:r>
        <w:t xml:space="preserve"> </w:t>
      </w:r>
      <w:r>
        <w:rPr>
          <w:i/>
        </w:rPr>
        <w:t xml:space="preserve">C. difficile</w:t>
      </w:r>
      <w:r>
        <w:t xml:space="preserve"> </w:t>
      </w:r>
      <w:r>
        <w:t xml:space="preserve">in clindamycin-pretreated mice tended to have more expression of genes from Disaccharide catabolism (e.g. (</w:t>
      </w:r>
      <w:r>
        <w:t xml:space="preserve"> </w:t>
      </w:r>
      <w:r>
        <w:t xml:space="preserve"> B )-galactosidases and trehalose/maltose/cellibiose hydrolases), Fermentation product metabolism (including consumption or productiono of acetate, lactate, butyrate, succinate, ethanol, and butanol), and PTS transporter families. Genes from the Sugar alcohol catabolism and ABC sugar transporter families were not highly expressed in clindamycin-pretreated mice. Finally, in streptomycin pretreatment,</w:t>
      </w:r>
      <w:r>
        <w:t xml:space="preserve"> </w:t>
      </w:r>
      <w:r>
        <w:rPr>
          <w:i/>
        </w:rPr>
        <w:t xml:space="preserve">C. difficile</w:t>
      </w:r>
      <w:r>
        <w:t xml:space="preserve"> </w:t>
      </w:r>
      <w:r>
        <w:t xml:space="preserve">had higher levels of expression of genes from the Sugar alcohol catabolism (e.g. sorbitol) and PTS transporter families. Combined, these results suggested that catabolism of amino acids and specific carbohydrates are core components of the</w:t>
      </w:r>
      <w:r>
        <w:t xml:space="preserve"> </w:t>
      </w:r>
      <w:r>
        <w:rPr>
          <w:i/>
        </w:rPr>
        <w:t xml:space="preserve">C. difficile</w:t>
      </w:r>
      <w:r>
        <w:t xml:space="preserve"> </w:t>
      </w:r>
      <w:r>
        <w:t xml:space="preserve">nutritional strategy during infection. These results also supported the hypothesis that</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biology.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that we created contains 447 enzymes and 758 metabolites, with 2135 directed edges.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 quantity 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(25)</w:t>
      </w:r>
      <w:r>
        <w:t xml:space="preserve">. Similarly, CC is instead a calculation for the reciprocal sum of the lengths of those shortest paths quantified by the BC. This value demonstrates how essential a given node is the the overall structure of the metabolic network</w:t>
      </w:r>
      <w:r>
        <w:t xml:space="preserve"> </w:t>
      </w:r>
      <w:r>
        <w:t xml:space="preserve">(26)</w:t>
      </w:r>
      <w:r>
        <w:t xml:space="preserve">. Together, these metrics allowed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(27)</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collectively validated our model of</w:t>
      </w:r>
      <w:r>
        <w:t xml:space="preserve"> </w:t>
      </w:r>
      <w:r>
        <w:rPr>
          <w:i/>
        </w:rPr>
        <w:t xml:space="preserve">C. difficile</w:t>
      </w:r>
      <w:r>
        <w:t xml:space="preserve"> </w:t>
      </w:r>
      <w:r>
        <w:t xml:space="preserve">str. 630 as a platform for studying metabolism.</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We next sought to include transcriptomic data with the metabolic model to infer which metabolites</w:t>
      </w:r>
      <w:r>
        <w:t xml:space="preserve"> </w:t>
      </w:r>
      <w:r>
        <w:rPr>
          <w:i/>
        </w:rPr>
        <w:t xml:space="preserve">C. difficile</w:t>
      </w:r>
      <w:r>
        <w:t xml:space="preserve"> </w:t>
      </w:r>
      <w:r>
        <w:t xml:space="preserve">most likely extracted from a given environment. To accomplish this we mapped normalized transcript abundances to the enzyme nodes in the network. The importance of each metabolite was measured as the log</w:t>
      </w:r>
      <w:r>
        <w:rPr>
          <w:vertAlign w:val="subscript"/>
        </w:rPr>
        <w:t xml:space="preserve">2</w:t>
      </w:r>
      <w:r>
        <w:t xml:space="preserve">-transformed difference in average transcript levels of enzymes that use the metabolite as a substrate and those that generate it as a product (Fig. 3B). A metabolite with a high importance score was more likely obtained from the environment because the expression of genes for enzymes that produce the metabolite were low. Given that separate sequencing efforts for each individual mouse in each group was impossible, we adopted a Monte Carlo-style simulation for statistical validation of our findings. This process generated random score distributions for all metabolite nodes in the network, which made it possible to calculate a confidence interval that represented random noise for each metabolite. This ultimately allowed for assessment of the probability that a given metabolite was excluded from the associated null distribution (Fig. 3C).</w:t>
      </w:r>
    </w:p>
    <w:p>
      <w:pPr>
        <w:pStyle w:val="BodyText"/>
      </w:pPr>
      <w:r>
        <w:t xml:space="preserve">To identify the core metabolites that were most essential for</w:t>
      </w:r>
      <w:r>
        <w:t xml:space="preserve"> </w:t>
      </w:r>
      <w:r>
        <w:rPr>
          <w:i/>
        </w:rPr>
        <w:t xml:space="preserve">C. difficile</w:t>
      </w:r>
      <w:r>
        <w:t xml:space="preserve"> </w:t>
      </w:r>
      <w:r>
        <w:t xml:space="preserve">growth, regardless of the environment, we cross-referenced 40 highest scoring metabolites from each treatment group and identified the most consistenly high scoring metabolites (Fig. 4A). The host-derived aminoglycan N-acetylglucosamine (GlcNAc) was found to the have the highest median importance of all shared metabolites, which has been shown to be a readily available source of carbon and nitrogen which can be limiting in the gut</w:t>
      </w:r>
      <w:r>
        <w:t xml:space="preserve"> </w:t>
      </w:r>
      <w:r>
        <w:t xml:space="preserve">(19)</w:t>
      </w:r>
      <w:r>
        <w:t xml:space="preserve">. We went on to confirm that our strain of</w:t>
      </w:r>
      <w:r>
        <w:t xml:space="preserve"> </w:t>
      </w:r>
      <w:r>
        <w:rPr>
          <w:i/>
        </w:rPr>
        <w:t xml:space="preserve">C. difficile</w:t>
      </w:r>
      <w:r>
        <w:t xml:space="preserve"> </w:t>
      </w:r>
      <w:r>
        <w:t xml:space="preserve">str. 630 could metabolize GlcNAc for growth (Fig. 4B) in</w:t>
      </w:r>
      <w:r>
        <w:t xml:space="preserve"> </w:t>
      </w:r>
      <w:r>
        <w:rPr>
          <w:i/>
        </w:rPr>
        <w:t xml:space="preserve">C. difficile</w:t>
      </w:r>
      <w:r>
        <w:t xml:space="preserve"> </w:t>
      </w:r>
      <w:r>
        <w:t xml:space="preserve">minimal media</w:t>
      </w:r>
      <w:r>
        <w:t xml:space="preserve"> </w:t>
      </w:r>
      <w:r>
        <w:t xml:space="preserve">(28)</w:t>
      </w:r>
      <w:r>
        <w:t xml:space="preserve">. The Stickland fermentation acceptor proline was also found to be important in all conditions tested</w:t>
      </w:r>
      <w:r>
        <w:t xml:space="preserve"> </w:t>
      </w:r>
      <w:r>
        <w:t xml:space="preserve">(29)</w:t>
      </w:r>
      <w:r>
        <w:t xml:space="preserve">.</w:t>
      </w:r>
      <w:r>
        <w:t xml:space="preserve"> </w:t>
      </w:r>
      <w:r>
        <w:rPr>
          <w:i/>
        </w:rPr>
        <w:t xml:space="preserve">C. difficile</w:t>
      </w:r>
      <w:r>
        <w:t xml:space="preserve"> </w:t>
      </w:r>
      <w:r>
        <w:t xml:space="preserve">is auxotrophic for several amino acids including proline, which prevented testing it directly for</w:t>
      </w:r>
      <w:r>
        <w:t xml:space="preserve"> </w:t>
      </w:r>
      <w:r>
        <w:rPr>
          <w:i/>
        </w:rPr>
        <w:t xml:space="preserve">in vitro</w:t>
      </w:r>
      <w:r>
        <w:t xml:space="preserve"> </w:t>
      </w:r>
      <w:r>
        <w:t xml:space="preserve">growth changes despite providing for modest growth in no carbohydrate control. Previous analysis of</w:t>
      </w:r>
      <w:r>
        <w:t xml:space="preserve"> </w:t>
      </w:r>
      <w:r>
        <w:rPr>
          <w:i/>
        </w:rPr>
        <w:t xml:space="preserve">C. difficile</w:t>
      </w:r>
      <w:r>
        <w:t xml:space="preserve"> </w:t>
      </w:r>
      <w:r>
        <w:t xml:space="preserve">colonizing GF mice under mono-associated conditions has indicated that</w:t>
      </w:r>
      <w:r>
        <w:t xml:space="preserve"> </w:t>
      </w:r>
      <w:r>
        <w:rPr>
          <w:i/>
        </w:rPr>
        <w:t xml:space="preserve">C. difficile</w:t>
      </w:r>
      <w:r>
        <w:t xml:space="preserve"> </w:t>
      </w:r>
      <w:r>
        <w:t xml:space="preserve">uses both sets of metabolites</w:t>
      </w:r>
      <w:r>
        <w:t xml:space="preserve"> </w:t>
      </w:r>
      <w:r>
        <w:t xml:space="preserve">(19)</w:t>
      </w:r>
      <w:r>
        <w:t xml:space="preserve">; however, use of these metabolites in the context of a complex community of potential competitors has not been observed previously. This analysis indicated that these metabolites may be an integral component of the nutrient niche for</w:t>
      </w:r>
      <w:r>
        <w:t xml:space="preserve"> </w:t>
      </w:r>
      <w:r>
        <w:rPr>
          <w:i/>
        </w:rPr>
        <w:t xml:space="preserve">C. difficile</w:t>
      </w:r>
      <w:r>
        <w:t xml:space="preserve">.</w:t>
      </w:r>
    </w:p>
    <w:p>
      <w:pPr>
        <w:pStyle w:val="BodyText"/>
      </w:pPr>
      <w:r>
        <w:t xml:space="preserve">We next focused on the highest scoring metabolites that were distinct to each infection condition (Fig. 4A). The resulting groups of metabolites all contained at least one known carbohydrate growth substrate of</w:t>
      </w:r>
      <w:r>
        <w:t xml:space="preserve"> </w:t>
      </w:r>
      <w:r>
        <w:rPr>
          <w:i/>
        </w:rPr>
        <w:t xml:space="preserve">C. difficile</w:t>
      </w:r>
      <w:r>
        <w:t xml:space="preserve"> </w:t>
      </w:r>
      <w:r>
        <w:t xml:space="preserve">(6, 12, 30)</w:t>
      </w:r>
      <w:r>
        <w:t xml:space="preserve"> </w:t>
      </w:r>
      <w:r>
        <w:t xml:space="preserve">(Fig.4B). These included sorbitol (streptomycin-pretreated), mannitol (cefoperazone-pretreated), and salicin (clindamycin-pretreated), which are likely introduced by the animal's diet and N-acetylneuraminate (ex-Germfree), which is an aminoglycan obtained from the animal's mucin layer</w:t>
      </w:r>
      <w:r>
        <w:t xml:space="preserve"> </w:t>
      </w:r>
      <w:r>
        <w:t xml:space="preserve">(31)</w:t>
      </w:r>
      <w:r>
        <w:t xml:space="preserve">. The concentration of N-acetylneuraminate (Neu5Ac) was previously shown to be liberated by other bacterial species to the benefit of</w:t>
      </w:r>
      <w:r>
        <w:t xml:space="preserve"> </w:t>
      </w:r>
      <w:r>
        <w:rPr>
          <w:i/>
        </w:rPr>
        <w:t xml:space="preserve">C. difficile</w:t>
      </w:r>
      <w:r>
        <w:t xml:space="preserve"> </w:t>
      </w:r>
      <w:r>
        <w:t xml:space="preserve">(30)</w:t>
      </w:r>
      <w:r>
        <w:t xml:space="preserve">. Considering that Neu5Ac had one of the higher importance scores in our ex-GF animals, this suggests that</w:t>
      </w:r>
      <w:r>
        <w:t xml:space="preserve"> </w:t>
      </w:r>
      <w:r>
        <w:rPr>
          <w:i/>
        </w:rPr>
        <w:t xml:space="preserve">C. difficile</w:t>
      </w:r>
      <w:r>
        <w:t xml:space="preserve"> </w:t>
      </w:r>
      <w:r>
        <w:t xml:space="preserve">does not require other bacteria to liberate it from the mucus layer. Furthermore, in ex-GF mice two forms of acetate were important which</w:t>
      </w:r>
      <w:r>
        <w:t xml:space="preserve"> </w:t>
      </w:r>
      <w:r>
        <w:rPr>
          <w:i/>
        </w:rPr>
        <w:t xml:space="preserve">C. difficile</w:t>
      </w:r>
      <w:r>
        <w:t xml:space="preserve"> </w:t>
      </w:r>
      <w:r>
        <w:t xml:space="preserve">is known to convert convert further into butyrate during fermentation</w:t>
      </w:r>
      <w:r>
        <w:t xml:space="preserve"> </w:t>
      </w:r>
      <w:r>
        <w:t xml:space="preserve">(32)</w:t>
      </w:r>
      <w:r>
        <w:t xml:space="preserve">. Galactitol also scored highly in Streptomycin-pretreatment and has been shown to be a sugar alcohol growth substrate for other</w:t>
      </w:r>
      <w:r>
        <w:t xml:space="preserve"> </w:t>
      </w:r>
      <w:r>
        <w:rPr>
          <w:i/>
        </w:rPr>
        <w:t xml:space="preserve">C. difficile</w:t>
      </w:r>
      <w:r>
        <w:t xml:space="preserve"> </w:t>
      </w:r>
      <w:r>
        <w:t xml:space="preserve">strains</w:t>
      </w:r>
      <w:r>
        <w:t xml:space="preserve"> </w:t>
      </w:r>
      <w:r>
        <w:rPr>
          <w:i/>
        </w:rPr>
        <w:t xml:space="preserve">in vivo</w:t>
      </w:r>
      <w:r>
        <w:t xml:space="preserve"> </w:t>
      </w:r>
      <w:r>
        <w:t xml:space="preserve">(22)</w:t>
      </w:r>
      <w:r>
        <w:t xml:space="preserve">, but did not improve</w:t>
      </w:r>
      <w:r>
        <w:t xml:space="preserve"> </w:t>
      </w:r>
      <w:r>
        <w:rPr>
          <w:i/>
        </w:rPr>
        <w:t xml:space="preserve">in vitro</w:t>
      </w:r>
      <w:r>
        <w:t xml:space="preserve"> </w:t>
      </w:r>
      <w:r>
        <w:t xml:space="preserve">growth in this study (Table S4). Succinyl-CoA was of distinct importance in clindamycin-pretreated mice, which is the direct precursor to succinate that is produced the gut microbiota and utilized by</w:t>
      </w:r>
      <w:r>
        <w:t xml:space="preserve"> </w:t>
      </w:r>
      <w:r>
        <w:rPr>
          <w:i/>
        </w:rPr>
        <w:t xml:space="preserve">C. difficile</w:t>
      </w:r>
      <w:r>
        <w:t xml:space="preserve"> </w:t>
      </w:r>
      <w:r>
        <w:t xml:space="preserve">for growth</w:t>
      </w:r>
      <w:r>
        <w:t xml:space="preserve"> </w:t>
      </w:r>
      <w:r>
        <w:t xml:space="preserve">(9)</w:t>
      </w:r>
      <w:r>
        <w:t xml:space="preserve">. Cefoperazone and clindamycin preatreatments were also associated with increased importance of ribose analogs, which has been shown to be another carbohydrate substrate that</w:t>
      </w:r>
      <w:r>
        <w:t xml:space="preserve"> </w:t>
      </w:r>
      <w:r>
        <w:rPr>
          <w:i/>
        </w:rPr>
        <w:t xml:space="preserve">C. difficile</w:t>
      </w:r>
      <w:r>
        <w:t xml:space="preserve"> </w:t>
      </w:r>
      <w:r>
        <w:t xml:space="preserve">ferments for growth</w:t>
      </w:r>
      <w:r>
        <w:t xml:space="preserve"> </w:t>
      </w:r>
      <w:r>
        <w:t xml:space="preserve">(33)</w:t>
      </w:r>
      <w:r>
        <w:t xml:space="preserve">. Additionally, alanine was also found to be important in this condition and is a preferred electron donating amino acid in Stickland fermentation</w:t>
      </w:r>
      <w:r>
        <w:t xml:space="preserve"> </w:t>
      </w:r>
      <w:r>
        <w:t xml:space="preserve">(24)</w:t>
      </w:r>
      <w:r>
        <w:t xml:space="preserve">. These data supported the hypothesis that</w:t>
      </w:r>
      <w:r>
        <w:t xml:space="preserve"> </w:t>
      </w:r>
      <w:r>
        <w:rPr>
          <w:i/>
        </w:rPr>
        <w:t xml:space="preserve">C. difficile</w:t>
      </w:r>
      <w:r>
        <w:t xml:space="preserve"> </w:t>
      </w:r>
      <w:r>
        <w:t xml:space="preserve">exploited alternative nutrient sources between the susceptible environments it colonized.</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further validate the results of our metabolic model, we tested the effect of</w:t>
      </w:r>
      <w:r>
        <w:t xml:space="preserve"> </w:t>
      </w:r>
      <w:r>
        <w:rPr>
          <w:i/>
        </w:rPr>
        <w:t xml:space="preserve">C. difficile</w:t>
      </w:r>
      <w:r>
        <w:t xml:space="preserve"> </w:t>
      </w:r>
      <w:r>
        <w:t xml:space="preserve">on the metabolite pool in antibiotic-treated and GF mice. We used non-targeted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We tested whether the susceptible communities had significantly different concentrations of each metabolite relative to untreated SPF mice and whether the presence of</w:t>
      </w:r>
      <w:r>
        <w:t xml:space="preserve"> </w:t>
      </w:r>
      <w:r>
        <w:rPr>
          <w:i/>
        </w:rPr>
        <w:t xml:space="preserve">C. difficile</w:t>
      </w:r>
      <w:r>
        <w:t xml:space="preserve"> </w:t>
      </w:r>
      <w:r>
        <w:t xml:space="preserve">affected the metabolite composition.</w:t>
      </w:r>
    </w:p>
    <w:p>
      <w:pPr>
        <w:pStyle w:val="BodyText"/>
      </w:pPr>
      <w:r>
        <w:t xml:space="preserve">First, we measured whether the relative concentration of important metabolites had a higher concentration in the susceptible environment relative to untreated SPF mice (Fig. 5). We found that the relative concentration of N-acetylglucosamine was actually significantly lower in all susceptible conditions (Fig. 5A; all</w:t>
      </w:r>
      <w:r>
        <w:t xml:space="preserve"> </w:t>
      </w:r>
      <w:r>
        <w:rPr>
          <w:i/>
        </w:rPr>
        <w:t xml:space="preserve">P</w:t>
      </w:r>
      <w:r>
        <w:t xml:space="preserve"> </w:t>
      </w:r>
      <w:r>
        <w:t xml:space="preserve">&lt; 0.001). The Stickland fermentation acceptors proline (all</w:t>
      </w:r>
      <w:r>
        <w:t xml:space="preserve"> </w:t>
      </w:r>
      <w:r>
        <w:rPr>
          <w:i/>
        </w:rPr>
        <w:t xml:space="preserve">P</w:t>
      </w:r>
      <w:r>
        <w:t xml:space="preserve"> </w:t>
      </w:r>
      <w:r>
        <w:t xml:space="preserve">&lt; 0.05) and hydroxyproline (all</w:t>
      </w:r>
      <w:r>
        <w:t xml:space="preserve"> </w:t>
      </w:r>
      <w:r>
        <w:rPr>
          <w:i/>
        </w:rPr>
        <w:t xml:space="preserve">P</w:t>
      </w:r>
      <w:r>
        <w:t xml:space="preserve"> </w:t>
      </w:r>
      <w:r>
        <w:t xml:space="preserve">&lt; 0.05) were significantly higher in all susceptible environments tested (Fig. 5B and S7B). Succinate was significantly increased in both streptomycin and clindamycin pretreated mice (Fig. 5D; all</w:t>
      </w:r>
      <w:r>
        <w:t xml:space="preserve"> </w:t>
      </w:r>
      <w:r>
        <w:rPr>
          <w:i/>
        </w:rPr>
        <w:t xml:space="preserve">P</w:t>
      </w:r>
      <w:r>
        <w:t xml:space="preserve"> </w:t>
      </w:r>
      <w:r>
        <w:t xml:space="preserve">&lt; 0.05). Among the cefoperazone-pretreated SPF and GF mice, we also found that mannitol/sorbitol (Fig. 5C), N-acetylneuraminate (Fig. 5E), and glycine (Fig. S6A) were significantly higher in cefoperazone-treated SPF and GF mice (all</w:t>
      </w:r>
      <w:r>
        <w:t xml:space="preserve"> </w:t>
      </w:r>
      <w:r>
        <w:rPr>
          <w:i/>
        </w:rPr>
        <w:t xml:space="preserve">P</w:t>
      </w:r>
      <w:r>
        <w:t xml:space="preserve"> </w:t>
      </w:r>
      <w:r>
        <w:t xml:space="preserve">&lt; 0.05). These results supported the assertion that antibiotic treatment opened nutrient niches that</w:t>
      </w:r>
      <w:r>
        <w:t xml:space="preserve"> </w:t>
      </w:r>
      <w:r>
        <w:rPr>
          <w:i/>
        </w:rPr>
        <w:t xml:space="preserve">C. difficile</w:t>
      </w:r>
      <w:r>
        <w:t xml:space="preserve"> </w:t>
      </w:r>
      <w:r>
        <w:t xml:space="preserve">was able to exploit for its growth.</w:t>
      </w:r>
    </w:p>
    <w:p>
      <w:pPr>
        <w:pStyle w:val="BodyText"/>
      </w:pPr>
      <w:r>
        <w:t xml:space="preserve">Second, we measured the change in the concentrations of important metabolites during</w:t>
      </w:r>
      <w:r>
        <w:t xml:space="preserve"> </w:t>
      </w:r>
      <w:r>
        <w:rPr>
          <w:i/>
        </w:rPr>
        <w:t xml:space="preserve">C. difficile</w:t>
      </w:r>
      <w:r>
        <w:t xml:space="preserve"> </w:t>
      </w:r>
      <w:r>
        <w:t xml:space="preserve">infection compared to mock infected mice (Fig. 5). Both groups of host-derived aminoglycans, GlcNAc/GalNAc (Fig. 5A) and Neu5Ac (Fig. 5E), were significantly lower when the presence of</w:t>
      </w:r>
      <w:r>
        <w:t xml:space="preserve"> </w:t>
      </w:r>
      <w:r>
        <w:rPr>
          <w:i/>
        </w:rPr>
        <w:t xml:space="preserve">C. difficile</w:t>
      </w:r>
      <w:r>
        <w:t xml:space="preserve"> </w:t>
      </w:r>
      <w:r>
        <w:t xml:space="preserve">in ex-GF mice (</w:t>
      </w:r>
      <w:r>
        <w:rPr>
          <w:i/>
        </w:rPr>
        <w:t xml:space="preserve">P</w:t>
      </w:r>
      <w:r>
        <w:t xml:space="preserve"> </w:t>
      </w:r>
      <w:r>
        <w:t xml:space="preserve">&lt; 0.05 and 0.01). In agreement with the previous results, we found that the Stickland acceptors proline (Fig. 5B) and hydroxyproline (Fig. S6C) were significantly lower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0.05). Glycine, another preferred Stickland acceptor, was lower in each condition following infection with significant change in cefoperazone-pretreatment (Fig. S6D;</w:t>
      </w:r>
      <w:r>
        <w:t xml:space="preserve"> </w:t>
      </w:r>
      <w:r>
        <w:rPr>
          <w:i/>
        </w:rPr>
        <w:t xml:space="preserve">P</w:t>
      </w:r>
      <w:r>
        <w:t xml:space="preserve"> </w:t>
      </w:r>
      <w:r>
        <w:t xml:space="preserve">&lt; 0.05). The Stickland donors leucine and isoleucine were significantly decreased in all infected conditions except streptomycin-pretreatment (Fig. S6A and S6B; all</w:t>
      </w:r>
      <w:r>
        <w:t xml:space="preserve"> </w:t>
      </w:r>
      <w:r>
        <w:rPr>
          <w:i/>
        </w:rPr>
        <w:t xml:space="preserve">P</w:t>
      </w:r>
      <w:r>
        <w:t xml:space="preserve"> </w:t>
      </w:r>
      <w:r>
        <w:t xml:space="preserve">&lt; 0.05). Concentrations of alanine were unchanged across any condition compared to untreated SPF mice (data not shown). These results strongly supported the hypothesis that amino acids are a primary energy source of</w:t>
      </w:r>
      <w:r>
        <w:t xml:space="preserve"> </w:t>
      </w:r>
      <w:r>
        <w:rPr>
          <w:i/>
        </w:rPr>
        <w:t xml:space="preserve">C. difficile</w:t>
      </w:r>
      <w:r>
        <w:t xml:space="preserve"> </w:t>
      </w:r>
      <w:r>
        <w:t xml:space="preserve">during infection. A significant difference was seen for mannitol/sorbitol in ex-GF mice (</w:t>
      </w:r>
      <w:r>
        <w:rPr>
          <w:i/>
        </w:rPr>
        <w:t xml:space="preserve">P</w:t>
      </w:r>
      <w:r>
        <w:t xml:space="preserve"> </w:t>
      </w:r>
      <w:r>
        <w:t xml:space="preserve">&lt; 0.01), but not in cefoperazone-pretreatment (Fig. 5C). While a decrease in concentration of succinate in both streptomycin and clindamycin pretreatment were observed, neither relationship was found to be significant. Overall, metabolomic analysis supported our metabolite importance algorithm for predicting the metabolites utilized by</w:t>
      </w:r>
      <w:r>
        <w:t xml:space="preserve"> </w:t>
      </w:r>
      <w:r>
        <w:rPr>
          <w:i/>
        </w:rPr>
        <w:t xml:space="preserve">C. difficile</w:t>
      </w:r>
      <w:r>
        <w:t xml:space="preserve"> </w:t>
      </w:r>
      <w:r>
        <w:t xml:space="preserve">during different infection conditions. Results from metabolic modeling combined with UPLC-MS also suggested a possible preference hierarchy for growth substrates in</w:t>
      </w:r>
      <w:r>
        <w:t xml:space="preserve"> </w:t>
      </w:r>
      <w:r>
        <w:rPr>
          <w:i/>
        </w:rPr>
        <w:t xml:space="preserve">C. difficile</w:t>
      </w:r>
      <w:r>
        <w:t xml:space="preserve">.</w:t>
      </w:r>
    </w:p>
    <w:p>
      <w:pPr>
        <w:pStyle w:val="Heading3"/>
      </w:pPr>
      <w:bookmarkStart w:id="25" w:name="discussion"/>
      <w:bookmarkEnd w:id="25"/>
      <w:r>
        <w:t xml:space="preserve">Discussion</w:t>
      </w:r>
    </w:p>
    <w:p>
      <w:pPr>
        <w:pStyle w:val="FirstParagraph"/>
      </w:pPr>
      <w:r>
        <w:t xml:space="preserve">Previous transcriptomic efforts to measure the response of</w:t>
      </w:r>
      <w:r>
        <w:t xml:space="preserve"> </w:t>
      </w:r>
      <w:r>
        <w:rPr>
          <w:i/>
        </w:rPr>
        <w:t xml:space="preserve">C. difficile</w:t>
      </w:r>
      <w:r>
        <w:t xml:space="preserve"> </w:t>
      </w:r>
      <w:r>
        <w:t xml:space="preserve">have demonstrated</w:t>
      </w:r>
      <w:r>
        <w:t xml:space="preserve"> </w:t>
      </w:r>
      <w:r>
        <w:rPr>
          <w:i/>
        </w:rPr>
        <w:t xml:space="preserve">in vivo</w:t>
      </w:r>
      <w:r>
        <w:t xml:space="preserve"> </w:t>
      </w:r>
      <w:r>
        <w:t xml:space="preserve">changes in metabolism following colonization of GF mice. In this study, we utilized a conventionally-reared mouse model of infection to compare the response of</w:t>
      </w:r>
      <w:r>
        <w:t xml:space="preserve"> </w:t>
      </w:r>
      <w:r>
        <w:rPr>
          <w:i/>
        </w:rPr>
        <w:t xml:space="preserve">C. difficile</w:t>
      </w:r>
      <w:r>
        <w:t xml:space="preserve"> </w:t>
      </w:r>
      <w:r>
        <w:t xml:space="preserve">to colonization in the context of varied gut communities generated by pretreatment with distinct classes of antibiotics. With these models, we identified subtle differences in sporulation and toxin activity between each antibiotic-pretreated condition. Transcriptomic sequencing of</w:t>
      </w:r>
      <w:r>
        <w:t xml:space="preserve"> </w:t>
      </w:r>
      <w:r>
        <w:rPr>
          <w:i/>
        </w:rPr>
        <w:t xml:space="preserve">C. difficile</w:t>
      </w:r>
      <w:r>
        <w:t xml:space="preserve"> </w:t>
      </w:r>
      <w:r>
        <w:t xml:space="preserve">across colonized environments indicated complex expression patterns of genes in catabolic pathways for a variety of carbon sources. Through integration of transcriptomic data with genome-scale metabolic modeling, we were able to deconvolute these signals and found that</w:t>
      </w:r>
      <w:r>
        <w:t xml:space="preserve"> </w:t>
      </w:r>
      <w:r>
        <w:rPr>
          <w:i/>
        </w:rPr>
        <w:t xml:space="preserve">C. difficile</w:t>
      </w:r>
      <w:r>
        <w:t xml:space="preserve"> </w:t>
      </w:r>
      <w:r>
        <w:t xml:space="preserve">likely utilized specific alternative carbohydrates, carboxylic acids, and aminoglycans across colonized conditions for energy. We also found that Stickland fermentation substrates and products, as well another host-derived amino glycan N-acetylglucosamine, were consistently among the highest scoring shared metabolites which indicated that these metabolites were central to the</w:t>
      </w:r>
      <w:r>
        <w:t xml:space="preserve"> </w:t>
      </w:r>
      <w:r>
        <w:rPr>
          <w:i/>
        </w:rPr>
        <w:t xml:space="preserve">in vivo</w:t>
      </w:r>
      <w:r>
        <w:t xml:space="preserve"> </w:t>
      </w:r>
      <w:r>
        <w:t xml:space="preserve">nutritional strategy of</w:t>
      </w:r>
      <w:r>
        <w:t xml:space="preserve"> </w:t>
      </w:r>
      <w:r>
        <w:rPr>
          <w:i/>
        </w:rPr>
        <w:t xml:space="preserve">C. difficile</w:t>
      </w:r>
      <w:r>
        <w:t xml:space="preserve">. To confirm modeling-based we employed untargeted mass spectrometry that demonstrated increased availability of many metabolites highlighted by our algorithm in susceptible gut environs. Metabolomic analysis further revealed differential concentration reductions in important metabolites during</w:t>
      </w:r>
      <w:r>
        <w:t xml:space="preserve"> </w:t>
      </w:r>
      <w:r>
        <w:rPr>
          <w:i/>
        </w:rPr>
        <w:t xml:space="preserve">C. difficile</w:t>
      </w:r>
      <w:r>
        <w:t xml:space="preserve"> </w:t>
      </w:r>
      <w:r>
        <w:t xml:space="preserve">infection that were suggestive of a preference hierarchy for certain growth nutrients.</w:t>
      </w:r>
    </w:p>
    <w:p>
      <w:pPr>
        <w:pStyle w:val="BodyText"/>
      </w:pPr>
      <w:r>
        <w:t xml:space="preserve">Our results expand upon previous understanding of</w:t>
      </w:r>
      <w:r>
        <w:t xml:space="preserve"> </w:t>
      </w:r>
      <w:r>
        <w:rPr>
          <w:i/>
        </w:rPr>
        <w:t xml:space="preserve">C. difficile</w:t>
      </w:r>
      <w:r>
        <w:t xml:space="preserve"> </w:t>
      </w:r>
      <w:r>
        <w:t xml:space="preserve">metabolism during infection by supporting that not only does the pathogen adapt it's metabolism to life inside of a host</w:t>
      </w:r>
      <w:r>
        <w:t xml:space="preserve"> </w:t>
      </w:r>
      <w:r>
        <w:t xml:space="preserve">(19, 22)</w:t>
      </w:r>
      <w:r>
        <w:t xml:space="preserve">, but also to the context of the specific gut environment in which it finds itself. By this rationale, differences in metabolite importance and substrate availability can be explained by the concomitant decrease in population density of one or more competitors for certain resources. Ex-GF mice, where no other microbial competitors are present, provided a partially controlled system of resource competiton. In this condition, N-acetylneuraminate in these mice was found to be most highly important, and concentrations were also significantly increased in susceptible mice and concordantly decreased following infection. The same trend in the metabolome was also present in cefoperazone-pretreatment, which suggested that</w:t>
      </w:r>
      <w:r>
        <w:t xml:space="preserve"> </w:t>
      </w:r>
      <w:r>
        <w:rPr>
          <w:i/>
        </w:rPr>
        <w:t xml:space="preserve">C. difficile</w:t>
      </w:r>
      <w:r>
        <w:t xml:space="preserve"> </w:t>
      </w:r>
      <w:r>
        <w:t xml:space="preserve">is less competitive for this host-derived aminoglycan and may really have access when certain competition is at a minimum. In the presence of a microbiota,</w:t>
      </w:r>
      <w:r>
        <w:t xml:space="preserve"> </w:t>
      </w:r>
      <w:r>
        <w:rPr>
          <w:i/>
        </w:rPr>
        <w:t xml:space="preserve">C. difficile</w:t>
      </w:r>
      <w:r>
        <w:t xml:space="preserve"> </w:t>
      </w:r>
      <w:r>
        <w:t xml:space="preserve">population-level nutrient utilization patterns differed across each environment tested. For example, past studies have concluded that PTS transport systems are simply upregulated</w:t>
      </w:r>
      <w:r>
        <w:t xml:space="preserve"> </w:t>
      </w:r>
      <w:r>
        <w:rPr>
          <w:i/>
        </w:rPr>
        <w:t xml:space="preserve">in vivo</w:t>
      </w:r>
      <w:r>
        <w:t xml:space="preserve"> </w:t>
      </w:r>
      <w:r>
        <w:t xml:space="preserve">[reference], but our results indicate more complex regulation in concert with ABC sugar transporters inversely expressed between antibiotic pretreatments (Fig. 2). In agreement with earlier research we found that</w:t>
      </w:r>
      <w:r>
        <w:t xml:space="preserve"> </w:t>
      </w:r>
      <w:r>
        <w:rPr>
          <w:i/>
        </w:rPr>
        <w:t xml:space="preserve">C. difficile</w:t>
      </w:r>
      <w:r>
        <w:t xml:space="preserve"> </w:t>
      </w:r>
      <w:r>
        <w:t xml:space="preserve">likely preferred to ferment amino acids for energy during infection of GF mice, however we also found this metabolic strategy to be conserved across all infection conditions tested.</w:t>
      </w:r>
      <w:r>
        <w:t xml:space="preserve"> </w:t>
      </w:r>
      <w:r>
        <w:rPr>
          <w:i/>
        </w:rPr>
        <w:t xml:space="preserve">C. difficile</w:t>
      </w:r>
      <w:r>
        <w:t xml:space="preserve"> </w:t>
      </w:r>
      <w:r>
        <w:t xml:space="preserve">also demonstrated redundancy in this pathway several Stickland substrates had consistently high importance scores including alanine, leucine, and proline (Table S3) supported by drops in concentration during infection (Fig. 5A and S6A). Fermentation of amino acids provides not only carbon and energy, but are also a source of nitrogen which is a limited resource in the mammalian lower GI tract</w:t>
      </w:r>
      <w:r>
        <w:t xml:space="preserve"> </w:t>
      </w:r>
      <w:r>
        <w:t xml:space="preserve">(34)</w:t>
      </w:r>
      <w:r>
        <w:t xml:space="preserve">. This makes Stickland fermentation a valuable metabolic strategy, and stands to reason</w:t>
      </w:r>
      <w:r>
        <w:t xml:space="preserve"> </w:t>
      </w:r>
      <w:r>
        <w:rPr>
          <w:i/>
        </w:rPr>
        <w:t xml:space="preserve">C. difficile</w:t>
      </w:r>
      <w:r>
        <w:t xml:space="preserve"> </w:t>
      </w:r>
      <w:r>
        <w:t xml:space="preserve">would conserve across all environments it colonizes. This same principle may also extend to host mucus layer derived aminoglycans as they are another source of both carbon and nitrogen that, despite augmented release by members of the microbiota</w:t>
      </w:r>
      <w:r>
        <w:t xml:space="preserve"> </w:t>
      </w:r>
      <w:r>
        <w:t xml:space="preserve">(35)</w:t>
      </w:r>
      <w:r>
        <w:t xml:space="preserve">, would be present at some basal concentration regardless of other species' intercession. Finally, we did find disparity in some metabolite importance and change in</w:t>
      </w:r>
      <w:r>
        <w:t xml:space="preserve"> </w:t>
      </w:r>
      <w:r>
        <w:rPr>
          <w:i/>
        </w:rPr>
        <w:t xml:space="preserve">in vivo</w:t>
      </w:r>
      <w:r>
        <w:t xml:space="preserve"> </w:t>
      </w:r>
      <w:r>
        <w:t xml:space="preserve">concentration of certain previously characterized</w:t>
      </w:r>
      <w:r>
        <w:t xml:space="preserve"> </w:t>
      </w:r>
      <w:r>
        <w:rPr>
          <w:i/>
        </w:rPr>
        <w:t xml:space="preserve">C. difficile</w:t>
      </w:r>
      <w:r>
        <w:t xml:space="preserve"> </w:t>
      </w:r>
      <w:r>
        <w:t xml:space="preserve">growth substrates. This may indicate a nutrient preference hierarchy during infection in which amino acids are prized above all other substrates, followed by aminoglycans, then some permutation of carbohydrates, sugar alcohols, and carboxylic acids. Since the latter provide carbon and energy, but not nitrogen, it appears that</w:t>
      </w:r>
      <w:r>
        <w:t xml:space="preserve"> </w:t>
      </w:r>
      <w:r>
        <w:rPr>
          <w:i/>
        </w:rPr>
        <w:t xml:space="preserve">C. difficile</w:t>
      </w:r>
      <w:r>
        <w:t xml:space="preserve"> </w:t>
      </w:r>
      <w:r>
        <w:t xml:space="preserve">metabolism strongly values nitrogen-containing carbon sources that fulfill a larger proportion of its biological requirements but this requires additional investigation to elucidate.</w:t>
      </w:r>
    </w:p>
    <w:p>
      <w:pPr>
        <w:pStyle w:val="BodyText"/>
      </w:pPr>
      <w:r>
        <w:t xml:space="preserve">Our approach is novel to the study of</w:t>
      </w:r>
      <w:r>
        <w:t xml:space="preserve"> </w:t>
      </w:r>
      <w:r>
        <w:rPr>
          <w:i/>
        </w:rPr>
        <w:t xml:space="preserve">C. difficile</w:t>
      </w:r>
      <w:r>
        <w:t xml:space="preserve"> </w:t>
      </w:r>
      <w:r>
        <w:t xml:space="preserve">behavior during infection because it combines multiple levels of biological data to identify metabolic trends that would not be apparent in a single dataset.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nutrient niche space during infection in the context of complex microbial communities. By virtue of our importance algorithm's reliance on network topology, signal contributed by those metabolites on the periphery, and more likely to be imported from the environment, is amplified. We have also made the pipeline generalizable to all species of bacteria whose gene content can be annotated using KEGG. Additionally, this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(36)</w:t>
      </w:r>
      <w:r>
        <w:t xml:space="preserve">. These findings highlight that our method not only identifies growth substrates, but also reports metabolites that are being removed from the environment for any reason.</w:t>
      </w:r>
    </w:p>
    <w:p>
      <w:pPr>
        <w:pStyle w:val="BodyText"/>
      </w:pPr>
      <w:r>
        <w:t xml:space="preserve">It is important to note that some of our methods were limited by a few inescapable constraints that were addressed as we progressed through experimentation and analysis. As</w:t>
      </w:r>
      <w:r>
        <w:t xml:space="preserve"> </w:t>
      </w:r>
      <w:r>
        <w:rPr>
          <w:i/>
        </w:rPr>
        <w:t xml:space="preserve">C. difficile</w:t>
      </w:r>
      <w:r>
        <w:t xml:space="preserve"> </w:t>
      </w:r>
      <w:r>
        <w:t xml:space="preserve">represented less than 3.3% of the bacterial load in the ceca of the antibiotic-treated mice (Fig. S2C), a high degree of sequencing depth per sample was required to yield sufficient quantities of reads contributed by</w:t>
      </w:r>
      <w:r>
        <w:t xml:space="preserve"> </w:t>
      </w:r>
      <w:r>
        <w:rPr>
          <w:i/>
        </w:rPr>
        <w:t xml:space="preserve">C. difficile</w:t>
      </w:r>
      <w:r>
        <w:t xml:space="preserve">. This prohibited our ability to sequence each experimental replicate individually and made it necessary to pool samples within each treatment group to give to sufficient high quality RNA for library construction. Microarray-based gene expression measurement was also not a viable alternative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Despite a single transcriptomic sequencing effort per condition, several models of bacterial protein expression determinants also suggest that intracellular concentration of mRNA is the strongest predictor for abundance of the corresponding protein products</w:t>
      </w:r>
      <w:r>
        <w:t xml:space="preserve"> </w:t>
      </w:r>
      <w:r>
        <w:t xml:space="preserve">(37)</w:t>
      </w:r>
      <w:r>
        <w:t xml:space="preserve">. We were therefore confident in utilizing normalized transcript abundance as a proxy for enzyme levels. Metabolomic comparisons are also complicated by the fact that multiple organisms contribute to the metabolite pool including host and other microbes. Possible limitations of our modeling approach also exist, despite much of our results being consistent with previously published work on the metabolism of</w:t>
      </w:r>
      <w:r>
        <w:t xml:space="preserve"> </w:t>
      </w:r>
      <w:r>
        <w:rPr>
          <w:i/>
        </w:rPr>
        <w:t xml:space="preserve">C. difficile</w:t>
      </w:r>
      <w:r>
        <w:t xml:space="preserve">. Ultimately, the metabolite importance calculation is dependent on correct and existing gene annotation. In this regard it has been shown that the pathway annotations in KEGG are robust to missing elements</w:t>
      </w:r>
      <w:r>
        <w:t xml:space="preserve"> </w:t>
      </w:r>
      <w:r>
        <w:t xml:space="preserve">(38)</w:t>
      </w:r>
      <w:r>
        <w:t xml:space="preserve">, however this does not completely eliminate the possibility for this type of error. Due to the topology of the metabolic network, we were also unable to integrate stoichiometry for each reaction which may effect rates of consumption or production. Reaction reversibility also varies depending on versions of enzymes possessed by each species. Incorrect directionality annotations may lead to mislabeling reactants or products and potentially lead to incorrect importance calculations. With additional manual curation of the</w:t>
      </w:r>
      <w:r>
        <w:t xml:space="preserve"> </w:t>
      </w:r>
      <w:r>
        <w:rPr>
          <w:i/>
        </w:rPr>
        <w:t xml:space="preserve">C. difficile</w:t>
      </w:r>
      <w:r>
        <w:t xml:space="preserve"> </w:t>
      </w:r>
      <w:r>
        <w:t xml:space="preserve">metabolic network, more species specific discoveries can eventually be made.</w:t>
      </w:r>
    </w:p>
    <w:p>
      <w:pPr>
        <w:pStyle w:val="BodyText"/>
      </w:pPr>
      <w:r>
        <w:t xml:space="preserve">In spite of these assumptions, our method does underscore known elements of</w:t>
      </w:r>
      <w:r>
        <w:t xml:space="preserve"> </w:t>
      </w:r>
      <w:r>
        <w:rPr>
          <w:i/>
        </w:rPr>
        <w:t xml:space="preserve">C. difficile</w:t>
      </w:r>
      <w:r>
        <w:t xml:space="preserve"> </w:t>
      </w:r>
      <w:r>
        <w:t xml:space="preserve">biology and subsequent analyses supported predictions of nutrient niche plasticity. In conclusion, this combined genomic + transcriptomic + metabolomic analysis showed that when infecting diverse host-associated gut environments,</w:t>
      </w:r>
      <w:r>
        <w:t xml:space="preserve"> </w:t>
      </w:r>
      <w:r>
        <w:rPr>
          <w:i/>
        </w:rPr>
        <w:t xml:space="preserve">C. difficile</w:t>
      </w:r>
      <w:r>
        <w:t xml:space="preserve"> </w:t>
      </w:r>
      <w:r>
        <w:t xml:space="preserve">optimized its nutrient utilization profile to each gut environment and effectively colonized. These results have implications for the research of targeted measures to prevent</w:t>
      </w:r>
      <w:r>
        <w:t xml:space="preserve"> </w:t>
      </w:r>
      <w:r>
        <w:rPr>
          <w:i/>
        </w:rPr>
        <w:t xml:space="preserve">C. difficile</w:t>
      </w:r>
      <w:r>
        <w:t xml:space="preserve"> </w:t>
      </w:r>
      <w:r>
        <w:t xml:space="preserve">colonization through pre- or probiotic therapy. In the future, this systems-level approach could be easily expanded to study the niche landscape of entire communities of bacteria in response to antibiotic perturbation or pathogen colonization.</w:t>
      </w:r>
    </w:p>
    <w:p>
      <w:pPr>
        <w:pStyle w:val="Heading3"/>
      </w:pPr>
      <w:bookmarkStart w:id="26" w:name="materials-and-methods"/>
      <w:bookmarkEnd w:id="26"/>
      <w:r>
        <w:t xml:space="preserve">Materials and 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(39)</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t xml:space="preserve">All</w:t>
      </w:r>
      <w:r>
        <w:t xml:space="preserve"> </w:t>
      </w:r>
      <w:r>
        <w:rPr>
          <w:i/>
        </w:rPr>
        <w:t xml:space="preserve">C. difficile</w:t>
      </w:r>
      <w:r>
        <w:t xml:space="preserve"> </w:t>
      </w:r>
      <w:r>
        <w:t xml:space="preserve">strain 630 spores were prepared from a single large batch whose concentration was determined a week prior to challenge.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and necropsied to obtain the cecal contents. Two 100 μl aliquots were immediately flash frozen for later DNA extraction and toxin titer analysis respectively. A third 100 μl aliquot was quickly transferred to an anaerobic chamber for quantification of</w:t>
      </w:r>
      <w:r>
        <w:t xml:space="preserve"> </w:t>
      </w:r>
      <w:r>
        <w:rPr>
          <w:i/>
        </w:rPr>
        <w:t xml:space="preserve">C. difficile</w:t>
      </w:r>
      <w:r>
        <w:t xml:space="preserve"> </w:t>
      </w:r>
      <w:r>
        <w:t xml:space="preserve">abundance. The remaining content in the ceca (approximately 1 mL) was mixed with 1 mL of sterile PBS in a stainless steel mortar housed in a dry ice and ethanol bath. The cecal content of 9 mice from 3 cages was pooled into the mortar. Pooling cecal contents was necessary so that there would be a sufficient quantity of high quality rRNA-free RNA for deep sequencing. The pooled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(40)</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(41)</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in</w:t>
      </w:r>
      <w:r>
        <w:t xml:space="preserve"> </w:t>
      </w:r>
      <w:r>
        <w:t xml:space="preserve">(42)</w:t>
      </w:r>
      <w:r>
        <w:t xml:space="preserve">. Briefly, filtered-sterilized cecal content was serially diluted in PBS and added to Vero cells in a 96-well plate. Plates were viewed after 24 hour incubation for cell rounding. A more detailed protocol with product information can be found at:</w:t>
      </w:r>
      <w:r>
        <w:t xml:space="preserve"> </w:t>
      </w:r>
      <w:hyperlink r:id="rId27">
        <w:r>
          <w:rPr>
            <w:rStyle w:val="Hyperlink"/>
          </w:rPr>
          <w:t xml:space="preserve">https://github.com/SchlossLab/Jenior_Modeling_mBio_2017/blob/master/protocols/toxin_assay/Verocell_ToxinActivity_Assay.Rmd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(43)</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(43)</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(44)</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(45)</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(46)</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(47)</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(48)</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(49)</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(e.g.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(50)</w:t>
      </w:r>
      <w:r>
        <w:t xml:space="preserve">.</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all statistical calculations. Significant differences for growth curves compared to no carbohydrate control (+ amino acids) were calculated using 1-way ANOVA with Benjamini-Hochberg correction.</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http://www.github.com/SchlossLab/Jenior_Modeling_mBio_2017</w:t>
        </w:r>
      </w:hyperlink>
      <w:r>
        <w:t xml:space="preserve">. The authors would additionally like to thank Geoffrey Hannigan Ph.D and Nielsen Baxter Ph.D. for their suggestions on manuscript drafts.</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murine infection models.</w:t>
      </w:r>
    </w:p>
    <w:p>
      <w:pPr>
        <w:pStyle w:val="BodyText"/>
      </w:pPr>
      <w:r>
        <w:rPr>
          <w:b/>
        </w:rPr>
        <w:t xml:space="preserve">Figure 1 | Gut environment context affects</w:t>
      </w:r>
      <w:r>
        <w:rPr>
          <w:b/>
        </w:rPr>
        <w:t xml:space="preserve"> </w:t>
      </w:r>
      <w:r>
        <w:rPr>
          <w:i/>
          <w:b/>
        </w:rPr>
        <w:t xml:space="preserve">C. difficile</w:t>
      </w:r>
      <w:r>
        <w:rPr>
          <w:b/>
        </w:rPr>
        <w:t xml:space="preserve"> </w:t>
      </w:r>
      <w:r>
        <w:rPr>
          <w:b/>
        </w:rPr>
        <w:t xml:space="preserve">sporulation and toxin activity.</w:t>
      </w:r>
      <w:r>
        <w:t xml:space="preserve"> </w:t>
      </w:r>
      <w:r>
        <w:t xml:space="preserve">Quantification of spore cfu and toxin titer from cecal content of infected mice (n = 9 per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Dotted lines denote limits of detection (LOD). Values for undetectable points were imputed as half the LOD for calculation of significant differences. Significance (</w:t>
      </w:r>
      <w:r>
        <w:rPr>
          <w:i/>
        </w:rPr>
        <w:t xml:space="preserve">P</w:t>
      </w:r>
      <w:r>
        <w:t xml:space="preserve"> </w:t>
      </w:r>
      <w:r>
        <w:t xml:space="preserve">&lt; 0.05), denoted by single asterisk, was determined with Wilcoxon signed-rank test with Benjamini–Hochberg correction.</w:t>
      </w:r>
    </w:p>
    <w:p>
      <w:pPr>
        <w:pStyle w:val="BodyText"/>
      </w:pPr>
      <w:r>
        <w:rPr>
          <w:b/>
        </w:rPr>
        <w:t xml:space="preserve">Figure 2 |</w:t>
      </w:r>
      <w:r>
        <w:rPr>
          <w:b/>
        </w:rPr>
        <w:t xml:space="preserve"> </w:t>
      </w:r>
      <w:r>
        <w:rPr>
          <w:i/>
          <w:b/>
        </w:rPr>
        <w:t xml:space="preserve">C. difficile</w:t>
      </w:r>
      <w:r>
        <w:rPr>
          <w:b/>
        </w:rPr>
        <w:t xml:space="preserve"> </w:t>
      </w:r>
      <w:r>
        <w:rPr>
          <w:b/>
        </w:rPr>
        <w:t xml:space="preserve">alters expression metabolic pathways between antibiotic pretreatment models.</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labeled and transcription from all other genes are shown in gray.</w:t>
      </w:r>
      <w:r>
        <w:t xml:space="preserve"> </w:t>
      </w:r>
      <w:r>
        <w:rPr>
          <w:b/>
        </w:rPr>
        <w:t xml:space="preserve">(A)</w:t>
      </w:r>
      <w:r>
        <w:t xml:space="preserve"> </w:t>
      </w:r>
      <w:r>
        <w:t xml:space="preserve">Size of highlighted points is relative to the largest transcript abundance among the antibiotic pretreatments for each gene. Categories of metabolism are displayed separately in</w:t>
      </w:r>
      <w:r>
        <w:t xml:space="preserve"> </w:t>
      </w:r>
      <w:r>
        <w:rPr>
          <w:b/>
        </w:rPr>
        <w:t xml:space="preserve">(B-I)</w:t>
      </w:r>
      <w:r>
        <w:t xml:space="preserve">. Genes, annotations, and normalized transcript abundances can be found in Table S1. Refer to Fig. S4 for additional figure interpretation.</w:t>
      </w:r>
    </w:p>
    <w:p>
      <w:pPr>
        <w:pStyle w:val="BodyText"/>
      </w:pPr>
      <w:r>
        <w:rPr>
          <w:b/>
        </w:rPr>
        <w:t xml:space="preserve">Figure 3 |</w:t>
      </w:r>
      <w:r>
        <w:rPr>
          <w:b/>
        </w:rPr>
        <w:t xml:space="preserve"> </w:t>
      </w:r>
      <w:r>
        <w:rPr>
          <w:i/>
          <w:b/>
        </w:rPr>
        <w:t xml:space="preserve">C. difficile</w:t>
      </w:r>
      <w:r>
        <w:rPr>
          <w:b/>
        </w:rPr>
        <w:t xml:space="preserve"> </w:t>
      </w:r>
      <w:r>
        <w:rPr>
          <w:b/>
        </w:rPr>
        <w:t xml:space="preserve">str. 630 genome-scale bipartite metabolic network architecture and transcriptomic-enabled metabolite importance calculation.</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Metabolic network analysis reveals differential carbon source utilization by</w:t>
      </w:r>
      <w:r>
        <w:rPr>
          <w:b/>
        </w:rPr>
        <w:t xml:space="preserve"> </w:t>
      </w:r>
      <w:r>
        <w:rPr>
          <w:i/>
          <w:b/>
        </w:rPr>
        <w:t xml:space="preserve">C. difficile</w:t>
      </w:r>
      <w:r>
        <w:rPr>
          <w:b/>
        </w:rPr>
        <w:t xml:space="preserve"> </w:t>
      </w:r>
      <w:r>
        <w:rPr>
          <w:b/>
        </w:rPr>
        <w:t xml:space="preserve">across infections.</w:t>
      </w:r>
      <w:r>
        <w:t xml:space="preserve"> </w:t>
      </w:r>
      <w:r>
        <w:t xml:space="preserve">Reported metabolites were calculated to have &lt;2.5% probability to be included in the associated random score distribution. All comparison. All comparisons between groups was performed using the 40 highest scoring metabolites from each condition and to further focus the analysis we reported only the top five scored metabolites from any group listed.</w:t>
      </w:r>
      <w:r>
        <w:rPr>
          <w:b/>
        </w:rPr>
        <w:t xml:space="preserve">(A)</w:t>
      </w:r>
      <w:r>
        <w:t xml:space="preserve"> </w:t>
      </w:r>
      <w:r>
        <w:t xml:space="preserve">Shared importance represents the median score of metabolites that were consistently important among all infected conditions. Below the conserved patterns, distinctly important metabolites for each group are shown.</w:t>
      </w:r>
      <w:r>
        <w:t xml:space="preserve"> </w:t>
      </w:r>
      <w:r>
        <w:rPr>
          <w:b/>
        </w:rPr>
        <w:t xml:space="preserve">(B)</w:t>
      </w:r>
      <w:r>
        <w:t xml:space="preserve"> </w:t>
      </w:r>
      <w:r>
        <w:t xml:space="preserve">18 hour</w:t>
      </w:r>
      <w:r>
        <w:t xml:space="preserve"> </w:t>
      </w:r>
      <w:r>
        <w:rPr>
          <w:i/>
        </w:rPr>
        <w:t xml:space="preserve">C. difficile</w:t>
      </w:r>
      <w:r>
        <w:t xml:space="preserve"> </w:t>
      </w:r>
      <w:r>
        <w:t xml:space="preserve">str. 630</w:t>
      </w:r>
      <w:r>
        <w:t xml:space="preserve"> </w:t>
      </w:r>
      <w:r>
        <w:rPr>
          <w:i/>
        </w:rPr>
        <w:t xml:space="preserve">in vitro</w:t>
      </w:r>
      <w:r>
        <w:t xml:space="preserve"> </w:t>
      </w:r>
      <w:r>
        <w:t xml:space="preserve">growth validating substrates from network analysis. All statistical comparison was performed relative to no carbohydrate control (all</w:t>
      </w:r>
      <w:r>
        <w:t xml:space="preserve"> </w:t>
      </w:r>
      <w:r>
        <w:rPr>
          <w:i/>
        </w:rPr>
        <w:t xml:space="preserve">P</w:t>
      </w:r>
      <w:r>
        <w:t xml:space="preserve"> </w:t>
      </w:r>
      <w:r>
        <w:t xml:space="preserve">&lt; 0.001). Significance was determined with one-way ANOVA with Benjamini–Hochberg correction.</w:t>
      </w:r>
    </w:p>
    <w:p>
      <w:pPr>
        <w:pStyle w:val="BodyText"/>
      </w:pPr>
      <w:r>
        <w:rPr>
          <w:b/>
        </w:rPr>
        <w:t xml:space="preserve">Figure 5 | Untargeted</w:t>
      </w:r>
      <w:r>
        <w:rPr>
          <w:b/>
        </w:rPr>
        <w:t xml:space="preserve"> </w:t>
      </w:r>
      <w:r>
        <w:rPr>
          <w:i/>
          <w:b/>
        </w:rPr>
        <w:t xml:space="preserve">in vivo</w:t>
      </w:r>
      <w:r>
        <w:rPr>
          <w:b/>
        </w:rPr>
        <w:t xml:space="preserve"> </w:t>
      </w:r>
      <w:r>
        <w:rPr>
          <w:b/>
        </w:rPr>
        <w:t xml:space="preserve">metabolomics support network-based metabolite importance scores and suggest nutrient preference hierarchy.</w:t>
      </w:r>
      <w:r>
        <w:t xml:space="preserve"> </w:t>
      </w:r>
      <w:r>
        <w:t xml:space="preserve">Paired metabolites were quantified simultaneously as the only differ by chirality making differentiation impossible. Black asterisks inside the panels represent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 Significance was determined with Wilcoxon signed-rank test with Benjamini–Hochberg correction.</w:t>
      </w:r>
    </w:p>
    <w:p>
      <w:pPr>
        <w:pStyle w:val="BodyText"/>
      </w:pPr>
      <w:r>
        <w:rPr>
          <w:b/>
        </w:rPr>
        <w:t xml:space="preserve">Supplementary Figure 1 | Experimental timelines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Euthanization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36).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antibiotic-pretreated condition (</w:t>
      </w:r>
      <w:r>
        <w:rPr>
          <w:i/>
        </w:rPr>
        <w:t xml:space="preserve">P</w:t>
      </w:r>
      <w:r>
        <w:t xml:space="preserve"> </w:t>
      </w:r>
      <w:r>
        <w:t xml:space="preserve">&lt; 0.001).</w:t>
      </w:r>
      <w:r>
        <w:t xml:space="preserve"> </w:t>
      </w:r>
      <w:r>
        <w:rPr>
          <w:b/>
        </w:rPr>
        <w:t xml:space="preserve">(C)</w:t>
      </w:r>
      <w:r>
        <w:t xml:space="preserve"> </w:t>
      </w:r>
      <w:r>
        <w:t xml:space="preserve">Representation of 16S amplicon reads contributed by</w:t>
      </w:r>
      <w:r>
        <w:t xml:space="preserve"> </w:t>
      </w:r>
      <w:r>
        <w:rPr>
          <w:i/>
        </w:rPr>
        <w:t xml:space="preserve">C. difficile</w:t>
      </w:r>
      <w:r>
        <w:t xml:space="preserve"> </w:t>
      </w:r>
      <w:r>
        <w:t xml:space="preserve">in each sequenced condition compared to the total bacterial community. The percents listed at the top of each group is the proportion of the total community represented by</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2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cefoperazone-pretreated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cefoperazone-pretreated mice, and are equally detectable in clindamycin and streptomycin-pretreated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(n = 9 per group).</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&gt;1.0, indicating low levels of variability between samples of the same type.</w:t>
      </w:r>
    </w:p>
    <w:p>
      <w:pPr>
        <w:pStyle w:val="BodyText"/>
      </w:pPr>
      <w:r>
        <w:rPr>
          <w:b/>
        </w:rPr>
        <w:t xml:space="preserve">Supplementary Figure 6 | Change in</w:t>
      </w:r>
      <w:r>
        <w:rPr>
          <w:b/>
        </w:rPr>
        <w:t xml:space="preserve"> </w:t>
      </w:r>
      <w:r>
        <w:rPr>
          <w:i/>
          <w:b/>
        </w:rPr>
        <w:t xml:space="preserve">in vivo</w:t>
      </w:r>
      <w:r>
        <w:rPr>
          <w:b/>
        </w:rPr>
        <w:t xml:space="preserve"> </w:t>
      </w:r>
      <w:r>
        <w:rPr>
          <w:b/>
        </w:rPr>
        <w:t xml:space="preserve">concentrations of additional Stickland fermentation substrates.</w:t>
      </w:r>
      <w:r>
        <w:t xml:space="preserve"> </w:t>
      </w:r>
      <w:r>
        <w:t xml:space="preserve">Comparison of concentrations for other Stickland fermentation substrates from</w:t>
      </w:r>
      <w:r>
        <w:t xml:space="preserve"> </w:t>
      </w:r>
      <w:r>
        <w:rPr>
          <w:i/>
        </w:rPr>
        <w:t xml:space="preserve">C. difficile</w:t>
      </w:r>
      <w:r>
        <w:t xml:space="preserve">-infected and mock-infected mouse cecal content 18 hours post-infection. Labels in the top left corner of each panel indicate whether the amino acid is a Stickland donor or acceptor. Black asterisks inside the panels denote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w:t>
      </w:r>
    </w:p>
    <w:p>
      <w:pPr>
        <w:pStyle w:val="BodyText"/>
      </w:pPr>
      <w:r>
        <w:rPr>
          <w:b/>
        </w:rPr>
        <w:t xml:space="preserve">Supplementary Table 1 | Sets of genes included in Figure 2 with normalized abundances and annotations.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importance scores in each colonized condition.</w:t>
      </w:r>
    </w:p>
    <w:p>
      <w:pPr>
        <w:pStyle w:val="BodyText"/>
      </w:pPr>
      <w:r>
        <w:rPr>
          <w:b/>
        </w:rPr>
        <w:t xml:space="preserve">Supplementary Table 4 | Growth curve analysis for each carbon source.</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 Clostridium difficile.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16.</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17.</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18.</w:t>
      </w:r>
      <w:r>
        <w:t xml:space="preserve"> </w:t>
      </w:r>
      <w:r>
        <w:rPr>
          <w:b/>
        </w:rPr>
        <w:t xml:space="preserve">Dineen, S. S.</w:t>
      </w:r>
      <w:r>
        <w:t xml:space="preserve">,</w:t>
      </w:r>
      <w:r>
        <w:t xml:space="preserve"> </w:t>
      </w:r>
      <w:r>
        <w:rPr>
          <w:b/>
        </w:rPr>
        <w:t xml:space="preserve">S. M. McBride</w:t>
      </w:r>
      <w:r>
        <w:t xml:space="preserve">, and</w:t>
      </w:r>
      <w:r>
        <w:t xml:space="preserve"> </w:t>
      </w:r>
      <w:r>
        <w:rPr>
          <w:b/>
        </w:rPr>
        <w:t xml:space="preserve">A. L. Sonenshein</w:t>
      </w:r>
      <w:r>
        <w:t xml:space="preserve">. 2010. Integration of Metabolism and Virulence by</w:t>
      </w:r>
      <w:r>
        <w:t xml:space="preserve"> </w:t>
      </w:r>
      <w:r>
        <w:rPr>
          <w:i/>
        </w:rPr>
        <w:t xml:space="preserve">Clostridium difficile</w:t>
      </w:r>
      <w:r>
        <w:t xml:space="preserve"> </w:t>
      </w:r>
      <w:r>
        <w:t xml:space="preserve">CodY. Journal of Bacteriology</w:t>
      </w:r>
      <w:r>
        <w:t xml:space="preserve"> </w:t>
      </w:r>
      <w:r>
        <w:rPr>
          <w:b/>
        </w:rPr>
        <w:t xml:space="preserve">192</w:t>
      </w:r>
      <w:r>
        <w:t xml:space="preserve">:5350–5362.</w:t>
      </w:r>
    </w:p>
    <w:p>
      <w:pPr>
        <w:pStyle w:val="Bibliography"/>
      </w:pPr>
      <w:r>
        <w:t xml:space="preserve">19.</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20.</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21.</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22.</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23.</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24.</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25.</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26.</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27.</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28.</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29.</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30.</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31.</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32.</w:t>
      </w:r>
      <w:r>
        <w:t xml:space="preserve"> </w:t>
      </w:r>
      <w:r>
        <w:rPr>
          <w:b/>
        </w:rPr>
        <w:t xml:space="preserve">Vital, M.</w:t>
      </w:r>
      <w:r>
        <w:t xml:space="preserve">,</w:t>
      </w:r>
      <w:r>
        <w:t xml:space="preserve"> </w:t>
      </w:r>
      <w:r>
        <w:rPr>
          <w:b/>
        </w:rPr>
        <w:t xml:space="preserve">A. C. Howe</w:t>
      </w:r>
      <w:r>
        <w:t xml:space="preserve">, and</w:t>
      </w:r>
      <w:r>
        <w:t xml:space="preserve"> </w:t>
      </w:r>
      <w:r>
        <w:rPr>
          <w:b/>
        </w:rPr>
        <w:t xml:space="preserve">J. M. Tiedje</w:t>
      </w:r>
      <w:r>
        <w:t xml:space="preserve">. 2014. Revealing the bacterial butyrate synthesis pathways by analyzing (meta)genomic data. mBio</w:t>
      </w:r>
      <w:r>
        <w:t xml:space="preserve"> </w:t>
      </w:r>
      <w:r>
        <w:rPr>
          <w:b/>
        </w:rPr>
        <w:t xml:space="preserve">5</w:t>
      </w:r>
      <w:r>
        <w:t xml:space="preserve">.</w:t>
      </w:r>
    </w:p>
    <w:p>
      <w:pPr>
        <w:pStyle w:val="Bibliography"/>
      </w:pPr>
      <w:r>
        <w:t xml:space="preserve">33.</w:t>
      </w:r>
      <w:r>
        <w:t xml:space="preserve"> </w:t>
      </w:r>
      <w:r>
        <w:rPr>
          <w:b/>
        </w:rPr>
        <w:t xml:space="preserve">Nakamura, S.</w:t>
      </w:r>
      <w:r>
        <w:t xml:space="preserve">,</w:t>
      </w:r>
      <w:r>
        <w:t xml:space="preserve"> </w:t>
      </w:r>
      <w:r>
        <w:rPr>
          <w:b/>
        </w:rPr>
        <w:t xml:space="preserve">S. Nakashio</w:t>
      </w:r>
      <w:r>
        <w:t xml:space="preserve">,</w:t>
      </w:r>
      <w:r>
        <w:t xml:space="preserve"> </w:t>
      </w:r>
      <w:r>
        <w:rPr>
          <w:b/>
        </w:rPr>
        <w:t xml:space="preserve">K. Yamakawa</w:t>
      </w:r>
      <w:r>
        <w:t xml:space="preserve">,</w:t>
      </w:r>
      <w:r>
        <w:t xml:space="preserve"> </w:t>
      </w:r>
      <w:r>
        <w:rPr>
          <w:b/>
        </w:rPr>
        <w:t xml:space="preserve">N. Tanabe</w:t>
      </w:r>
      <w:r>
        <w:t xml:space="preserve">, and</w:t>
      </w:r>
      <w:r>
        <w:t xml:space="preserve"> </w:t>
      </w:r>
      <w:r>
        <w:rPr>
          <w:b/>
        </w:rPr>
        <w:t xml:space="preserve">S. Nishida</w:t>
      </w:r>
      <w:r>
        <w:t xml:space="preserve">. 1982. Carbohydrate Fermentation by Clostridium difficile. Microbiology and Immunology</w:t>
      </w:r>
      <w:r>
        <w:t xml:space="preserve"> </w:t>
      </w:r>
      <w:r>
        <w:rPr>
          <w:b/>
        </w:rPr>
        <w:t xml:space="preserve">26</w:t>
      </w:r>
      <w:r>
        <w:t xml:space="preserve">:107–111.</w:t>
      </w:r>
    </w:p>
    <w:p>
      <w:pPr>
        <w:pStyle w:val="Bibliography"/>
      </w:pPr>
      <w:r>
        <w:t xml:space="preserve">34.</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35.</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U.S. Patent 9.</w:t>
      </w:r>
    </w:p>
    <w:p>
      <w:pPr>
        <w:pStyle w:val="Bibliography"/>
      </w:pPr>
      <w:r>
        <w:t xml:space="preserve">36.</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37.</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38.</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39.</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40.</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41.</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42.</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43.</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44.</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45.</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46.</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47.</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48.</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49.</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50.</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3f3b84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7"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7"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2017-04-04T12:44:10Z</dcterms:created>
  <dcterms:modified xsi:type="dcterms:W3CDTF">2017-04-04T12:44:10Z</dcterms:modified>
</cp:coreProperties>
</file>