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ultimately by negatively impacting the gut microbiota</w:t>
      </w:r>
      <w:r>
        <w:t xml:space="preserve"> </w:t>
      </w:r>
      <w:r>
        <w:t xml:space="preserve">(</w:t>
      </w:r>
      <w:r>
        <w:rPr>
          <w:b/>
        </w:rPr>
        <w:t xml:space="preserve">???</w:t>
      </w:r>
      <w:r>
        <w:t xml:space="preserve">)</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(4–6)</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(5, 7–9)</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(10, 11)</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(12–14)</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(15, 16)</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(17, 18)</w:t>
      </w:r>
      <w:r>
        <w:t xml:space="preserve">, with limited work characterizing transcription during colonization of germfree mice</w:t>
      </w:r>
      <w:r>
        <w:t xml:space="preserve"> </w:t>
      </w:r>
      <w:r>
        <w:t xml:space="preserve">(19, 20)</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(5, 9)</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(21)</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(21–23)</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(25)</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300 million raw paired-end reads were collected per pooled sample with an average of ~167 thousand reads attributed to</w:t>
      </w:r>
      <w:r>
        <w:t xml:space="preserve"> </w:t>
      </w:r>
      <w:r>
        <w:rPr>
          <w:i/>
        </w:rPr>
        <w:t xml:space="preserve">C. difficile</w:t>
      </w:r>
      <w:r>
        <w:t xml:space="preserve"> </w:t>
      </w:r>
      <w:r>
        <w:t xml:space="preserve">following all curation steps (refer to Methods). This corresponded to an average of ~42x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(19, 26)</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(27)</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(Fig. 2). We then identified the condition in which each gene was most highly transcribed and adjusted the size of the corresponding point relative to that value.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Apart from this conserved trend, analysis of each category individually strongly differentiated the three conditions from one another. First, we found that the expression of genes associated with amino acid catabolism were expressed at nearly consistent levels across the conditions. This was in agreement with their high level of overall expression. Genes for the metabolism of the host-derived aminoglycans N-acetylglucosamine and N-acetylmannosamine were also expressed at consistent levels across each treatment group. Along similar lines with related molecules, a number of genes for processing certain monosaccharides into glycolysis, as well as catabolism of the disaccharides trehalose and cellibiose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(20)</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effected as the primary interest was in those substrates acquired from the environment. These results collectively validated that our model of</w:t>
      </w:r>
      <w:r>
        <w:t xml:space="preserve"> </w:t>
      </w:r>
      <w:r>
        <w:rPr>
          <w:i/>
        </w:rPr>
        <w:t xml:space="preserve">C. difficile</w:t>
      </w:r>
      <w:r>
        <w:t xml:space="preserve"> </w:t>
      </w:r>
      <w:r>
        <w:t xml:space="preserve">str. 630 as a platform for studying metabolism of the bacterium.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(19)</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(5, 11, 36)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(5)</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more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for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then investigated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indeed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Both clindamycin-pretreatment (Fig. 6D) ex-GF mice (Fig. 6E) instead demonstrated a significant correlation between importance scores and (</w:t>
      </w:r>
      <w:r>
        <w:t xml:space="preserve"> </w:t>
      </w:r>
      <w:r>
        <w:t xml:space="preserve">) median scaled intensity (</w:t>
      </w:r>
      <w:r>
        <w:rPr>
          <w:i/>
        </w:rPr>
        <w:t xml:space="preserve">P</w:t>
      </w:r>
      <w:r>
        <w:t xml:space="preserve"> </w:t>
      </w:r>
      <w:r>
        <w:t xml:space="preserve">= 0.008 &amp; 0.003).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(43)</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(5)</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rarefied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(n = 9 per group) and importance scores from transcriptomics for each metabolite with outlier metabolites also labeled.</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Correlations and outliers were recalculated for each individual condition as follows:</w:t>
      </w:r>
      <w:r>
        <w:t xml:space="preserve"> </w:t>
      </w:r>
      <w:r>
        <w:rPr>
          <w:b/>
        </w:rPr>
        <w:t xml:space="preserve">(B)</w:t>
      </w:r>
      <w:r>
        <w:t xml:space="preserve"> </w:t>
      </w:r>
      <w:r>
        <w:t xml:space="preserve">Streptomycin-pretreatment,</w:t>
      </w:r>
      <w:r>
        <w:t xml:space="preserve"> </w:t>
      </w:r>
      <w:r>
        <w:rPr>
          <w:b/>
        </w:rPr>
        <w:t xml:space="preserve">(C)</w:t>
      </w:r>
      <w:r>
        <w:t xml:space="preserve"> </w:t>
      </w:r>
      <w:r>
        <w:t xml:space="preserve">Cefoperazone-pretreatment,</w:t>
      </w:r>
      <w:r>
        <w:t xml:space="preserve"> </w:t>
      </w:r>
      <w:r>
        <w:rPr>
          <w:b/>
        </w:rPr>
        <w:t xml:space="preserve">(D)</w:t>
      </w:r>
      <w:r>
        <w:t xml:space="preserve"> </w:t>
      </w:r>
      <w:r>
        <w:t xml:space="preserve">Clindamycin-pretreatment (</w:t>
      </w:r>
      <w:r>
        <w:rPr>
          <w:i/>
        </w:rPr>
        <w:t xml:space="preserve">P</w:t>
      </w:r>
      <w:r>
        <w:t xml:space="preserve"> </w:t>
      </w:r>
      <w:r>
        <w:t xml:space="preserve">&lt; 0.05),</w:t>
      </w:r>
      <w:r>
        <w:t xml:space="preserve"> </w:t>
      </w:r>
      <w:r>
        <w:rPr>
          <w:b/>
        </w:rPr>
        <w:t xml:space="preserve">(E)</w:t>
      </w:r>
      <w:r>
        <w:t xml:space="preserve"> </w:t>
      </w:r>
      <w:r>
        <w:t xml:space="preserve">and ex-GF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and further support our approach to pooled transcriptomic sequencing.</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2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5.</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6.</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7.</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8.</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9.</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10.</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11.</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12.</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13.</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14.</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15.</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16.</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17.</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18.</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21.</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22.</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23.</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5ebad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2017-03-16T20:39:04Z</dcterms:created>
  <dcterms:modified xsi:type="dcterms:W3CDTF">2017-03-16T20:39:04Z</dcterms:modified>
</cp:coreProperties>
</file>