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stain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(Table S5).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An average of ~6,800,000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(Table S5).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Read counts from</w:t>
      </w:r>
      <w:r>
        <w:rPr>
          <w:b/>
        </w:rPr>
        <w:t xml:space="preserve"> </w:t>
      </w:r>
      <w:r>
        <w:rPr>
          <w:i/>
          <w:b/>
        </w:rPr>
        <w:t xml:space="preserve">C. difficile</w:t>
      </w:r>
      <w:r>
        <w:rPr>
          <w:b/>
        </w:rPr>
        <w:t xml:space="preserve"> </w:t>
      </w:r>
      <w:r>
        <w:rPr>
          <w:b/>
        </w:rPr>
        <w:t xml:space="preserve">transcriptome following curation and mapping.</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d321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2017-04-18T16:16:51Z</dcterms:created>
  <dcterms:modified xsi:type="dcterms:W3CDTF">2017-04-18T16:16:51Z</dcterms:modified>
</cp:coreProperties>
</file>