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communities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become the largest single cause of hospital-acquired infection in the United States. CDI susceptibility is most frequently associated with previous antibiotic exposure, which disrupt the gut bacterial community. This has been described for multiple antibiotic classes which result in distinct gut communities, each presenting separate metabolic challenges to</w:t>
      </w:r>
      <w:r>
        <w:t xml:space="preserve"> </w:t>
      </w:r>
      <w:r>
        <w:rPr>
          <w:i/>
        </w:rPr>
        <w:t xml:space="preserve">C. difficile</w:t>
      </w:r>
      <w:r>
        <w:t xml:space="preserve">. We hypothesized that</w:t>
      </w:r>
      <w:r>
        <w:t xml:space="preserve"> </w:t>
      </w:r>
      <w:r>
        <w:rPr>
          <w:i/>
        </w:rPr>
        <w:t xml:space="preserve">C. difficile</w:t>
      </w:r>
      <w:r>
        <w:t xml:space="preserve"> </w:t>
      </w:r>
      <w:r>
        <w:t xml:space="preserve">adapts its physiology to nutrient availability within differentially susceptible gut environments. Utilizing an</w:t>
      </w:r>
      <w:r>
        <w:t xml:space="preserve"> </w:t>
      </w:r>
      <w:r>
        <w:rPr>
          <w:i/>
        </w:rPr>
        <w:t xml:space="preserve">in vivo</w:t>
      </w:r>
      <w:r>
        <w:t xml:space="preserve"> </w:t>
      </w:r>
      <w:r>
        <w:t xml:space="preserve">model of CDI, we demonstrated that</w:t>
      </w:r>
      <w:r>
        <w:t xml:space="preserve"> </w:t>
      </w:r>
      <w:r>
        <w:rPr>
          <w:i/>
        </w:rPr>
        <w:t xml:space="preserve">C. difficile</w:t>
      </w:r>
      <w:r>
        <w:t xml:space="preserve"> </w:t>
      </w:r>
      <w:r>
        <w:t xml:space="preserve">highly colonized the cecum of mice receiving one of three individual antibiotic pretreatments. We found levels of spore and toxin production varied between each group, both processes partially regulated by environmental nutrient concentrations. To more closely investigate metabolic responses of</w:t>
      </w:r>
      <w:r>
        <w:t xml:space="preserve"> </w:t>
      </w:r>
      <w:r>
        <w:rPr>
          <w:i/>
        </w:rPr>
        <w:t xml:space="preserve">C. difficile</w:t>
      </w:r>
      <w:r>
        <w:t xml:space="preserve"> </w:t>
      </w:r>
      <w:r>
        <w:t xml:space="preserve">during infection, we performed transcriptomic analysis of the pathogen from cecal content of infected mice. This revealed expression variation in numerous catabolic pathways for various carbon sources. To assess which substrates</w:t>
      </w:r>
      <w:r>
        <w:t xml:space="preserve"> </w:t>
      </w:r>
      <w:r>
        <w:rPr>
          <w:i/>
        </w:rPr>
        <w:t xml:space="preserve">C. difficile</w:t>
      </w:r>
      <w:r>
        <w:t xml:space="preserve"> </w:t>
      </w:r>
      <w:r>
        <w:t xml:space="preserve">was exploiting, we developed a transcriptomic-enabled genome-scale metabolic model of</w:t>
      </w:r>
      <w:r>
        <w:t xml:space="preserve"> </w:t>
      </w:r>
      <w:r>
        <w:rPr>
          <w:i/>
        </w:rPr>
        <w:t xml:space="preserve">C. difficile</w:t>
      </w:r>
      <w:r>
        <w:t xml:space="preserve"> </w:t>
      </w:r>
      <w:r>
        <w:t xml:space="preserve">and a metabolite scoring algorithm that leveraged network architecture. With this platform, we identified carbon sources used by</w:t>
      </w:r>
      <w:r>
        <w:t xml:space="preserve"> </w:t>
      </w:r>
      <w:r>
        <w:rPr>
          <w:i/>
        </w:rPr>
        <w:t xml:space="preserve">C. difficile</w:t>
      </w:r>
      <w:r>
        <w:t xml:space="preserve"> </w:t>
      </w:r>
      <w:r>
        <w:t xml:space="preserve">asymmetrically between infection models. These results were validated through correlation with untargeted mass spectrometry analysis from each condition. Our results supported the hypothesis that</w:t>
      </w:r>
      <w:r>
        <w:t xml:space="preserve"> </w:t>
      </w:r>
      <w:r>
        <w:rPr>
          <w:i/>
        </w:rPr>
        <w:t xml:space="preserve">C. difficile</w:t>
      </w:r>
      <w:r>
        <w:t xml:space="preserve"> </w:t>
      </w:r>
      <w:r>
        <w:t xml:space="preserve">indeed metabolized alternative carbon sources across colonized environments. These data also highlighted conserved elements of</w:t>
      </w:r>
      <w:r>
        <w:t xml:space="preserve"> </w:t>
      </w:r>
      <w:r>
        <w:rPr>
          <w:i/>
        </w:rPr>
        <w:t xml:space="preserve">C. difficile</w:t>
      </w:r>
      <w:r>
        <w:t xml:space="preserve">'s metabolic strategy, specifically consumption of host-derived aminoglycans and Stickland fermentation substrates.</w:t>
      </w:r>
    </w:p>
    <w:p>
      <w:pPr>
        <w:pStyle w:val="Heading3"/>
      </w:pPr>
      <w:bookmarkStart w:id="22" w:name="importance"/>
      <w:bookmarkEnd w:id="22"/>
      <w:r>
        <w:t xml:space="preserve">Importance</w:t>
      </w:r>
    </w:p>
    <w:p>
      <w:pPr>
        <w:pStyle w:val="FirstParagraph"/>
      </w:pPr>
      <w:r>
        <w:t xml:space="preserve">In this study we demonstrate that not only does</w:t>
      </w:r>
      <w:r>
        <w:t xml:space="preserve"> </w:t>
      </w:r>
      <w:r>
        <w:rPr>
          <w:i/>
        </w:rPr>
        <w:t xml:space="preserve">C. difficile</w:t>
      </w:r>
      <w:r>
        <w:t xml:space="preserve"> </w:t>
      </w:r>
      <w:r>
        <w:t xml:space="preserve">alter pathogenesis between differentially sensitized hosts, but also exploits separate nutrient niches across environments. Our results support that</w:t>
      </w:r>
      <w:r>
        <w:t xml:space="preserve"> </w:t>
      </w:r>
      <w:r>
        <w:rPr>
          <w:i/>
        </w:rPr>
        <w:t xml:space="preserve">C. difficile</w:t>
      </w:r>
      <w:r>
        <w:t xml:space="preserve"> </w:t>
      </w:r>
      <w:r>
        <w:t xml:space="preserve">possesses a highly plastic nutrient niche space, allowing it to successfully infect distinct communities. This work also provides evidence that</w:t>
      </w:r>
      <w:r>
        <w:t xml:space="preserve"> </w:t>
      </w:r>
      <w:r>
        <w:rPr>
          <w:i/>
        </w:rPr>
        <w:t xml:space="preserve">C. difficile</w:t>
      </w:r>
      <w:r>
        <w:t xml:space="preserve"> </w:t>
      </w:r>
      <w:r>
        <w:t xml:space="preserve">virulence may be driven by accessibility of specific carbon sources during infection. This work could lead to the discovery of targeted measures to prevent</w:t>
      </w:r>
      <w:r>
        <w:t xml:space="preserve"> </w:t>
      </w:r>
      <w:r>
        <w:rPr>
          <w:i/>
        </w:rPr>
        <w:t xml:space="preserve">C. difficile</w:t>
      </w:r>
      <w:r>
        <w:t xml:space="preserve"> </w:t>
      </w:r>
      <w:r>
        <w:t xml:space="preserve">colonization including potential pre- or probiotic therapies. Our metabolite importance calculation workflow also provides a platform to the study of nutrient requirements of pathogens in the context of infection or even patterns of substrate utilization in communities of bacteria.</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by disrupting the gut microbiota</w:t>
      </w:r>
      <w:r>
        <w:t xml:space="preserve"> </w:t>
      </w:r>
      <w:r>
        <w:t xml:space="preserve">(4)</w:t>
      </w:r>
      <w:r>
        <w:t xml:space="preserve">. Multiple distinct antibiotic have been shown to induce susceptibility</w:t>
      </w:r>
      <w:r>
        <w:t xml:space="preserve"> </w:t>
      </w:r>
      <w:r>
        <w:rPr>
          <w:i/>
        </w:rPr>
        <w:t xml:space="preserve">C. difficile</w:t>
      </w:r>
      <w:r>
        <w:t xml:space="preserve"> </w:t>
      </w:r>
      <w:r>
        <w:t xml:space="preserve">to colonization in a mouse model</w:t>
      </w:r>
      <w:r>
        <w:t xml:space="preserve"> </w:t>
      </w:r>
      <w:r>
        <w:t xml:space="preserve">(5–7)</w:t>
      </w:r>
      <w:r>
        <w:t xml:space="preserve">. Each resulted in unique gut bacterial communities that were all equally receptive to</w:t>
      </w:r>
      <w:r>
        <w:t xml:space="preserve"> </w:t>
      </w:r>
      <w:r>
        <w:rPr>
          <w:i/>
        </w:rPr>
        <w:t xml:space="preserve">C. difficile</w:t>
      </w:r>
      <w:r>
        <w:t xml:space="preserve"> </w:t>
      </w:r>
      <w:r>
        <w:t xml:space="preserve">colonization. Others have also shown that many of select antibiotic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(6, 8–10)</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(11, 12)</w:t>
      </w:r>
      <w:r>
        <w:t xml:space="preserve">.</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t xml:space="preserve"> </w:t>
      </w:r>
      <w:r>
        <w:t xml:space="preserve">(13–15)</w:t>
      </w:r>
      <w:r>
        <w:t xml:space="preserve">. Several forms of</w:t>
      </w:r>
      <w:r>
        <w:t xml:space="preserve"> </w:t>
      </w:r>
      <w:r>
        <w:rPr>
          <w:i/>
        </w:rPr>
        <w:t xml:space="preserve">C. difficile</w:t>
      </w:r>
      <w:r>
        <w:t xml:space="preserve"> </w:t>
      </w:r>
      <w:r>
        <w:t xml:space="preserve">carbon metabolism have also been shown to contribute to pathogenesis regulation.</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(16, 17)</w:t>
      </w:r>
      <w:r>
        <w:t xml:space="preserve">. Other previous transcriptomic studies of</w:t>
      </w:r>
      <w:r>
        <w:t xml:space="preserve"> </w:t>
      </w:r>
      <w:r>
        <w:rPr>
          <w:i/>
        </w:rPr>
        <w:t xml:space="preserve">C. difficile</w:t>
      </w:r>
      <w:r>
        <w:t xml:space="preserve"> </w:t>
      </w:r>
      <w:r>
        <w:t xml:space="preserve">have mainly focused on</w:t>
      </w:r>
      <w:r>
        <w:t xml:space="preserve"> </w:t>
      </w:r>
      <w:r>
        <w:rPr>
          <w:i/>
        </w:rPr>
        <w:t xml:space="preserve">in vitro</w:t>
      </w:r>
      <w:r>
        <w:t xml:space="preserve"> </w:t>
      </w:r>
      <w:r>
        <w:t xml:space="preserve">changes</w:t>
      </w:r>
      <w:r>
        <w:t xml:space="preserve"> </w:t>
      </w:r>
      <w:r>
        <w:t xml:space="preserve">(18, 19)</w:t>
      </w:r>
      <w:r>
        <w:t xml:space="preserve">, with limited work characterizing transcription during colonization of germfree mice</w:t>
      </w:r>
      <w:r>
        <w:t xml:space="preserve"> </w:t>
      </w:r>
      <w:r>
        <w:t xml:space="preserve">(20, 21)</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assay changes in bacterial metabolism as they relate to CDI</w:t>
      </w:r>
      <w:r>
        <w:t xml:space="preserve"> </w:t>
      </w:r>
      <w:r>
        <w:t xml:space="preserve">(6, 10)</w:t>
      </w:r>
      <w:r>
        <w:t xml:space="preserve">; however, these methods are unable to a highlight specific organisms in the milieu, more closely resembling echoes of total community metabolism instead of currently active processes in any one species.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specific pathogen free (SPF) animals may provide unique insight into its active metabolic pathways in a more realistic model of infection. Genome-scale metabolic models have proven useful for accurately determining a given organism's nutritional requirements in different scenarios</w:t>
      </w:r>
      <w:r>
        <w:t xml:space="preserve"> </w:t>
      </w:r>
      <w:r>
        <w:t xml:space="preserve">(22)</w:t>
      </w:r>
      <w:r>
        <w:t xml:space="preserve">. Integrating transcriptomic data with genome-scale metabolic modeling has previously aided in identifying the most active aspects of an organism’s metabolism and which substrates are preferred by the organism</w:t>
      </w:r>
      <w:r>
        <w:t xml:space="preserve"> </w:t>
      </w:r>
      <w:r>
        <w:t xml:space="preserve">(22–24)</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Founded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distinct classes of antibiotics. Those chosen included streptomycin, cefoperazone, and clindamycin (Fig. S1) since each significantly impact the structure and diversity of the cecal microbiome uniquely (Fig. S2A &amp; S2B). It has been further demonstrated that at 18 hours after being introduced to a cefoperazone-pretreated mouse,</w:t>
      </w:r>
      <w:r>
        <w:t xml:space="preserve"> </w:t>
      </w:r>
      <w:r>
        <w:rPr>
          <w:i/>
        </w:rPr>
        <w:t xml:space="preserve">C. difficile</w:t>
      </w:r>
      <w:r>
        <w:t xml:space="preserve"> </w:t>
      </w:r>
      <w:r>
        <w:t xml:space="preserve">reached its maximum vegetative cell density in the cecum with limited sporulation</w:t>
      </w:r>
      <w:r>
        <w:t xml:space="preserve"> </w:t>
      </w:r>
      <w:r>
        <w:t xml:space="preserve">(25)</w:t>
      </w:r>
      <w:r>
        <w:t xml:space="preserve">. This provided a single timepoint to measure the largest population of metabolically active</w:t>
      </w:r>
      <w:r>
        <w:t xml:space="preserve"> </w:t>
      </w:r>
      <w:r>
        <w:rPr>
          <w:i/>
        </w:rPr>
        <w:t xml:space="preserve">C. difficile</w:t>
      </w:r>
      <w:r>
        <w:t xml:space="preserve">. We identified differences in the amount of sporulation and toxin activity between each of the conditions tested, further supporting our prediction on environmentally driven changes to metabolism. This was further supported by large-scale differences in expression of</w:t>
      </w:r>
      <w:r>
        <w:t xml:space="preserve"> </w:t>
      </w:r>
      <w:r>
        <w:rPr>
          <w:i/>
        </w:rPr>
        <w:t xml:space="preserve">C. difficile</w:t>
      </w:r>
      <w:r>
        <w:t xml:space="preserve"> </w:t>
      </w:r>
      <w:r>
        <w:t xml:space="preserve">metabolic pathways between each infection model. We then predicted that these distinct adaptive responses were necessitated because</w:t>
      </w:r>
      <w:r>
        <w:t xml:space="preserve"> </w:t>
      </w:r>
      <w:r>
        <w:rPr>
          <w:i/>
        </w:rPr>
        <w:t xml:space="preserve">C. difficile</w:t>
      </w:r>
      <w:r>
        <w:t xml:space="preserve"> </w:t>
      </w:r>
      <w:r>
        <w:t xml:space="preserve">had encountered unique subsets of nutrients in each environment. Integration of transcriptomic data with genome-scale metabolic modeling revealed that</w:t>
      </w:r>
      <w:r>
        <w:t xml:space="preserve"> </w:t>
      </w:r>
      <w:r>
        <w:rPr>
          <w:i/>
        </w:rPr>
        <w:t xml:space="preserve">C. difficile</w:t>
      </w:r>
      <w:r>
        <w:t xml:space="preserve"> </w:t>
      </w:r>
      <w:r>
        <w:t xml:space="preserve">utilized alternative carbon sources across conditions, adapting it's metabolic strategy in each instance. We then validated modeling-based conclusions with untargeted metabolomic analysis to most accurately capture the changes in</w:t>
      </w:r>
      <w:r>
        <w:t xml:space="preserve"> </w:t>
      </w:r>
      <w:r>
        <w:rPr>
          <w:i/>
        </w:rPr>
        <w:t xml:space="preserve">C. difficile</w:t>
      </w:r>
      <w:r>
        <w:t xml:space="preserve"> </w:t>
      </w:r>
      <w:r>
        <w:t xml:space="preserve">behavior. This multi-omic analysis demonstrated that in each antibiotic-pretreatment model, as well as in monoassociated germfree mice,</w:t>
      </w:r>
      <w:r>
        <w:t xml:space="preserve"> </w:t>
      </w:r>
      <w:r>
        <w:rPr>
          <w:i/>
        </w:rPr>
        <w:t xml:space="preserve">C. difficile</w:t>
      </w:r>
      <w:r>
        <w:t xml:space="preserve"> </w:t>
      </w:r>
      <w:r>
        <w:t xml:space="preserve">adapted its nutrient utilization profile to most effectively colonize. Our data also suggests that in addition to this metabolic plasticity,</w:t>
      </w:r>
      <w:r>
        <w:t xml:space="preserve"> </w:t>
      </w:r>
      <w:r>
        <w:rPr>
          <w:i/>
        </w:rPr>
        <w:t xml:space="preserve">C. difficile</w:t>
      </w:r>
      <w:r>
        <w:t xml:space="preserve"> </w:t>
      </w:r>
      <w:r>
        <w:t xml:space="preserve">also maintained at least some focus on catabolism of amino acids and host-derived aminoglycans in each infected condition. These findings are important as they have implications for the future design of measures for the prevention or elimination of</w:t>
      </w:r>
      <w:r>
        <w:t xml:space="preserve"> </w:t>
      </w:r>
      <w:r>
        <w:rPr>
          <w:i/>
        </w:rPr>
        <w:t xml:space="preserve">C. difficile</w:t>
      </w:r>
      <w:r>
        <w:t xml:space="preserve"> </w:t>
      </w:r>
      <w:r>
        <w:t xml:space="preserve">colonization from the gut.</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communities.</w:t>
      </w:r>
      <w:r>
        <w:t xml:space="preserve"> </w:t>
      </w: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There was not a significant difference in the number of vegetative cells between any susceptible condition tested (Fig. 1A).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&amp; 0.003) were detected in ex-GF mice than in the antibiotic treated mice (Fig. 1B). The spore densities in both streptomycin and clindamycin-treated mice were also generally higher than that in cefoperazone-treated mice. There was significantly more toxin activity in ex-GF animals than any other colonized group (all</w:t>
      </w:r>
      <w:r>
        <w:t xml:space="preserve"> </w:t>
      </w:r>
      <w:r>
        <w:rPr>
          <w:i/>
        </w:rPr>
        <w:t xml:space="preserve">P</w:t>
      </w:r>
      <w:r>
        <w:t xml:space="preserve"> </w:t>
      </w:r>
      <w:r>
        <w:t xml:space="preserve">&lt; 0.002), but toxin titer also varied between antibiotic treatment groups (Fig. 1C). Although similar toxin activity was found in both the cefoperazone and clindamycin-treated groups, toxin titer was below the limit of detection in most streptomycin-treated animals. These results indicated that</w:t>
      </w:r>
      <w:r>
        <w:t xml:space="preserve"> </w:t>
      </w:r>
      <w:r>
        <w:rPr>
          <w:i/>
        </w:rPr>
        <w:t xml:space="preserve">C. difficile</w:t>
      </w:r>
      <w:r>
        <w:t xml:space="preserve"> </w:t>
      </w:r>
      <w:r>
        <w:t xml:space="preserve">colonized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differentially expresses metabolic pathways between colonized environments.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As</w:t>
      </w:r>
      <w:r>
        <w:t xml:space="preserve"> </w:t>
      </w:r>
      <w:r>
        <w:rPr>
          <w:i/>
        </w:rPr>
        <w:t xml:space="preserve">C. difficile</w:t>
      </w:r>
      <w:r>
        <w:t xml:space="preserve"> </w:t>
      </w:r>
      <w:r>
        <w:t xml:space="preserve">represents &lt;3.3% of the bacterial load in any ceca of the antibiotic-treated SPF mice (Fig. S2C), a high degree of sequencing depth per sample was required to yield sufficient quantities of reads contributed by</w:t>
      </w:r>
      <w:r>
        <w:t xml:space="preserve"> </w:t>
      </w:r>
      <w:r>
        <w:rPr>
          <w:i/>
        </w:rPr>
        <w:t xml:space="preserve">C. difficile</w:t>
      </w:r>
      <w:r>
        <w:t xml:space="preserve">. This prohibited our ability to sequence each experimental replicate individually, and made it necessary to pool samples within each treatment group to allow for some degree of representation for each of the replicates to conserved for downstream analysis. Since these circumstances were unavaoidable, we treated this as normalizing for the average expression of</w:t>
      </w:r>
      <w:r>
        <w:t xml:space="preserve"> </w:t>
      </w:r>
      <w:r>
        <w:rPr>
          <w:i/>
        </w:rPr>
        <w:t xml:space="preserve">C. difficile</w:t>
      </w:r>
      <w:r>
        <w:t xml:space="preserve"> </w:t>
      </w:r>
      <w:r>
        <w:t xml:space="preserve">in each environment. Microarray-based gene expression measurement was not a viable alternative as the amount of background orthologous transcription from other bacterial species would contribute greatly to non-specific binding and eliminate true</w:t>
      </w:r>
      <w:r>
        <w:t xml:space="preserve"> </w:t>
      </w:r>
      <w:r>
        <w:rPr>
          <w:i/>
        </w:rPr>
        <w:t xml:space="preserve">C. difficile</w:t>
      </w:r>
      <w:r>
        <w:t xml:space="preserve"> </w:t>
      </w:r>
      <w:r>
        <w:t xml:space="preserve">signal. Upon sequencing, approximately 300 million total raw paired-end reads were collected per pooled sample with an average of ~160 thousand reads attributed to</w:t>
      </w:r>
      <w:r>
        <w:t xml:space="preserve"> </w:t>
      </w:r>
      <w:r>
        <w:rPr>
          <w:i/>
        </w:rPr>
        <w:t xml:space="preserve">C. difficile</w:t>
      </w:r>
      <w:r>
        <w:t xml:space="preserve"> </w:t>
      </w:r>
      <w:r>
        <w:t xml:space="preserve">following all curation steps (refer to Methods). This corresponded to an average of ~40x coverage across the</w:t>
      </w:r>
      <w:r>
        <w:t xml:space="preserve"> </w:t>
      </w:r>
      <w:r>
        <w:rPr>
          <w:i/>
        </w:rPr>
        <w:t xml:space="preserve">C. difficile</w:t>
      </w:r>
      <w:r>
        <w:t xml:space="preserve"> </w:t>
      </w:r>
      <w:r>
        <w:t xml:space="preserve">str. 630 reference genome. While this value may be low compared to some transcriptional studies of</w:t>
      </w:r>
      <w:r>
        <w:t xml:space="preserve"> </w:t>
      </w:r>
      <w:r>
        <w:rPr>
          <w:i/>
        </w:rPr>
        <w:t xml:space="preserve">in vitro</w:t>
      </w:r>
      <w:r>
        <w:t xml:space="preserve"> </w:t>
      </w:r>
      <w:r>
        <w:t xml:space="preserve">bacterial monoculture or</w:t>
      </w:r>
      <w:r>
        <w:t xml:space="preserve"> </w:t>
      </w:r>
      <w:r>
        <w:rPr>
          <w:i/>
        </w:rPr>
        <w:t xml:space="preserve">in vivo</w:t>
      </w:r>
      <w:r>
        <w:t xml:space="preserve"> </w:t>
      </w:r>
      <w:r>
        <w:t xml:space="preserve">ex-GF monoassociation</w:t>
      </w:r>
      <w:r>
        <w:t xml:space="preserve"> </w:t>
      </w:r>
      <w:r>
        <w:t xml:space="preserve">(20, 26)</w:t>
      </w:r>
      <w:r>
        <w:t xml:space="preserve">, it is not feasible to reach higher coverage in the context of a diverse bacterial community. These levels have been shown to be largely acceptable for similar analyses due to the focus on large-scale differences in specific annotated genes</w:t>
      </w:r>
      <w:r>
        <w:t xml:space="preserve"> </w:t>
      </w:r>
      <w:r>
        <w:t xml:space="preserve">(27)</w:t>
      </w:r>
      <w:r>
        <w:t xml:space="preserve">. Microarray-based gene expression analysis was not a viable alternative as the amount of background transcription from other bacterial species would cause background non-specific binding of orthologous transcript and eliminate any true</w:t>
      </w:r>
      <w:r>
        <w:t xml:space="preserve"> </w:t>
      </w:r>
      <w:r>
        <w:rPr>
          <w:i/>
        </w:rPr>
        <w:t xml:space="preserve">C. difficile</w:t>
      </w:r>
      <w:r>
        <w:t xml:space="preserve"> </w:t>
      </w:r>
      <w:r>
        <w:t xml:space="preserve">signal.</w:t>
      </w:r>
    </w:p>
    <w:p>
      <w:pPr>
        <w:pStyle w:val="BodyText"/>
      </w:pPr>
      <w:r>
        <w:t xml:space="preserve">We first attempted to measure differential expression of specific genes associated with</w:t>
      </w:r>
      <w:r>
        <w:t xml:space="preserve"> </w:t>
      </w:r>
      <w:r>
        <w:rPr>
          <w:i/>
        </w:rPr>
        <w:t xml:space="preserve">in vivo</w:t>
      </w:r>
      <w:r>
        <w:t xml:space="preserve"> </w:t>
      </w:r>
      <w:r>
        <w:t xml:space="preserve">phenotype changes reported in previous studies (Fig. S3), however no clear trends were evident through this analysis. Through this analysis, it became evident that many global transcriptional regulators with ties to metabolism were differentially expressed between conditions (Fig. S3D). This further indicated that</w:t>
      </w:r>
      <w:r>
        <w:t xml:space="preserve"> </w:t>
      </w:r>
      <w:r>
        <w:rPr>
          <w:i/>
        </w:rPr>
        <w:t xml:space="preserve">C. difficile</w:t>
      </w:r>
      <w:r>
        <w:t xml:space="preserve"> </w:t>
      </w:r>
      <w:r>
        <w:t xml:space="preserve">may adapt its metabolism to the environment it is colonizing. Toward this point, we focused on specific gene families known to contribute to certain forms of</w:t>
      </w:r>
      <w:r>
        <w:t xml:space="preserve"> </w:t>
      </w:r>
      <w:r>
        <w:rPr>
          <w:i/>
        </w:rPr>
        <w:t xml:space="preserve">C. difficile</w:t>
      </w:r>
      <w:r>
        <w:t xml:space="preserve"> </w:t>
      </w:r>
      <w:r>
        <w:t xml:space="preserve">metabolism (Table S1), and went on to calculate the percentage of total expression between antibiotic-treated conditions for each gene. We then identified the condition in which each gene was most highly transcribed and adjusted the size of the corresponding point relative to that value (Fig. 2A). Overall, this demonstrated that genes involved in amino acid catabolism had the greatest amount of expression. Included were enzymes involved in Stickland fermentation as well as several general peptidases. These results indicated that catabolizing environmental amino acids may be important for the growth of</w:t>
      </w:r>
      <w:r>
        <w:t xml:space="preserve"> </w:t>
      </w:r>
      <w:r>
        <w:rPr>
          <w:i/>
        </w:rPr>
        <w:t xml:space="preserve">C. difficile</w:t>
      </w:r>
      <w:r>
        <w:t xml:space="preserve"> </w:t>
      </w:r>
      <w:r>
        <w:t xml:space="preserve">during infection. We then performed analysis of each category individually strongly differentiated the three conditions from one another. In addition to high levels of expression, we found that the genes associated with amino acid catabolism were also expressed at nearly consistent levels across the conditions (Fig. 2B). This was in agreement with their high level of overall expression. Genes for the metabolism of the host-derived aminoglycans N-acetylglucosamine and N-acetylmannosamine were expressed at consistent levels across each treatment group as well (Fig. 2C). Along similar lines with related molecules, a number of genes for processing certain monosaccharides into glycolysis, as well as catabolism of the disaccharides trehalose and cellibiose were expressed relatively evenly between each condition (Fig. 2D &amp; 2E). Combined, these findings suggested that catabolism of amino acids and specific carbohydrates are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large differences in expression of certain pathways between groups of mice. We chose to assess sugar transport systems because they have been associated with adaptive expression of phosphotransferase systems (PTS) and ABC transporters with many known differences in substrate specificities</w:t>
      </w:r>
      <w:r>
        <w:t xml:space="preserve"> </w:t>
      </w:r>
      <w:r>
        <w:t xml:space="preserve">(21)</w:t>
      </w:r>
      <w:r>
        <w:t xml:space="preserve">. The genes classified as PTS transporters were overrepresented in both clindamycin and streptomycin-treated mice (Fig. 2F), while ABC sugar transporters were overrepresented in the cefoparazone-treated mice (Fig. 2G). The most stark differences were seen in transcription for genes involved in sugar alcohol catabolism (Fig. 2H). Expression of these genes was entirely absent from clindamycin-treated mice and expression of genes for mannitol utilization were overrepresented in cefoparazone-treated mice and expression of genes for sorbitol utilization were overrepresented in streptomycin-treated mice. Concordant patterns also emerged in genes associated with fermentation end steps and disaccharide degradation.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were more abundant in clindamycin-treated mice (Fig. 2I). Alpha/beta-galactosidase genes were also overrepresented in clindamycin-treated mice, suggesting increased disaccharide consumption in this condition. Monosaccharide catabolism includes genes for not only the integral steps of glycolysis, but also several genes that mediate entry points of monosaccharides to this pathway. Transcripts for several genes in this group were overrepresented in cefoparazone-treated mice, however genes that catalyze the committed step of glycolysis were overrepresented in streptomycin-treated mice. Overall, these results supported the hypothesis that</w:t>
      </w:r>
      <w:r>
        <w:t xml:space="preserve"> </w:t>
      </w:r>
      <w:r>
        <w:rPr>
          <w:i/>
        </w:rPr>
        <w:t xml:space="preserve">C. difficile</w:t>
      </w:r>
      <w:r>
        <w:t xml:space="preserve"> </w:t>
      </w:r>
      <w:r>
        <w:t xml:space="preserve">adapted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biology.</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and biochemical reaction annotations available in KEGG (2016). Enzymes and metabolites were represented by nodes, and their interactions by directed connecting edges (Fig. 3A). The complete network of</w:t>
      </w:r>
      <w:r>
        <w:t xml:space="preserve"> </w:t>
      </w:r>
      <w:r>
        <w:rPr>
          <w:i/>
        </w:rPr>
        <w:t xml:space="preserve">C. difficile</w:t>
      </w:r>
      <w:r>
        <w:t xml:space="preserve"> </w:t>
      </w:r>
      <w:r>
        <w:t xml:space="preserve">str. 630 that we created contains 447 enzymes and 758 metabolites, with 2135 directed edges. To validate our metabolic network, we analyzed network topology by calculating two metrics of centrality, betweenness centrality (BC) and closeness centrality (CC), to assess for those nodes which are critical to the structure of the metabolic network and if these patterns reflect known patterns in</w:t>
      </w:r>
      <w:r>
        <w:t xml:space="preserve"> </w:t>
      </w:r>
      <w:r>
        <w:rPr>
          <w:i/>
        </w:rPr>
        <w:t xml:space="preserve">C. difficile</w:t>
      </w:r>
      <w:r>
        <w:t xml:space="preserve"> </w:t>
      </w:r>
      <w:r>
        <w:t xml:space="preserve">or bacterial metabolism (Table S2). BC is the quantity of shortest paths connecting all other member nodes of a network that pass through a given node. In biological terms, this refers to the amount of influence a given hub has on the overall flow of metabolism through the network</w:t>
      </w:r>
      <w:r>
        <w:t xml:space="preserve"> </w:t>
      </w:r>
      <w:r>
        <w:t xml:space="preserve">(28)</w:t>
      </w:r>
      <w:r>
        <w:t xml:space="preserve">. Similarly, CC is instead a calculation for the reciprocal sum of the lengths of those shortest paths quantified by the BC. This value demonstrates how essential a given node is the the overall structure of the metabolic network</w:t>
      </w:r>
      <w:r>
        <w:t xml:space="preserve"> </w:t>
      </w:r>
      <w:r>
        <w:t xml:space="preserve">(29)</w:t>
      </w:r>
      <w:r>
        <w:t xml:space="preserve">. Together, these metrics allowed for the assessment of how much a network reflects known principles of highly central biological processes.</w:t>
      </w:r>
    </w:p>
    <w:p>
      <w:pPr>
        <w:pStyle w:val="BodyText"/>
      </w:pPr>
      <w:r>
        <w:t xml:space="preserve">Combining both analyses to find those nodes that are not only central control points, but also important to the structure of the entire network, we found 5 of the top 10 enzymes according to both BC and CC were most critical to metabolism based on topology (2-dehydro-3-deoxyphosphogluconate aldolase, aspartate aminotransferase, pyruvate-flavodoxin oxidoreductase, formate C-acetyltransferase, and 1-deoxy-D-xylulose-5-phosphate synthase). Many of these enzymes participate in core processes including glycolysis, the pentose phosphate pathway, or the citric acid cycle. Upon analysis of the other 15 high-scoring enzymes, the majority are also distinct components of these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(30)</w:t>
      </w:r>
      <w:r>
        <w:t xml:space="preserve">.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collectively validated our model of</w:t>
      </w:r>
      <w:r>
        <w:t xml:space="preserve"> </w:t>
      </w:r>
      <w:r>
        <w:rPr>
          <w:i/>
        </w:rPr>
        <w:t xml:space="preserve">C. difficile</w:t>
      </w:r>
      <w:r>
        <w:t xml:space="preserve"> </w:t>
      </w:r>
      <w:r>
        <w:t xml:space="preserve">str. 630 as a platform for studying metabolism.</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Moving into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to obtain from its environment in each condition. To accomplish this we mapped normalized transcript abundances to the enzyme nodes in the network. As transcription and translation are coupled in bacteria, we hypothesized that we could incorporate whole transcriptome sequencing results into the metabolic model to impute active metabolism. Several models of bacterial protein expression determinants also suggest that intracellular concentration of mRNA is the strongest predictor for abundance of the corresponding protein products</w:t>
      </w:r>
      <w:r>
        <w:t xml:space="preserve"> </w:t>
      </w:r>
      <w:r>
        <w:t xml:space="preserve">(31)</w:t>
      </w:r>
      <w:r>
        <w:t xml:space="preserve">. We were therefore confident in utilizing normalized transcript abundance as a proxy for enzyme levels. The importance of each metabolite was measured as the log</w:t>
      </w:r>
      <w:r>
        <w:rPr>
          <w:vertAlign w:val="subscript"/>
        </w:rPr>
        <w:t xml:space="preserve">2</w:t>
      </w:r>
      <w:r>
        <w:t xml:space="preserve">-transformed difference between the average transcript levels of enzymes that use the metabolite as a substrate and those that generate it as a product (Fig. 3B). A metabolite with a high importance score was most likely obtained from the environment because the expression of genes for enzymes that produce the metabolite were low. Given that separate sequencing efforts for each individual mouse in each group was impossible, we instead adopted a Monte Carlo-style simulation to achieve some degree of statistical validation to our findings. We first calculated metabolite importance scores for 10,000 iterations of random transcript abundance reassignment of all enzyme nodes in the network. Next we used these distributions to calculate a 95% confidence interval for each metabolite and create comparators that represent random noise</w:t>
      </w:r>
      <w:r>
        <w:t xml:space="preserve"> </w:t>
      </w:r>
      <w:r>
        <w:t xml:space="preserve">(32)</w:t>
      </w:r>
      <w:r>
        <w:t xml:space="preserve">. This ultimately allowed for computing a probability of given metabolite being excluded from its associated null hypothesis score distribution (Fig. 3C). All downstream analysis was performed using those metabolites that met this criteria.</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identify patterns of growth substrate importance within each infected condition (Table S3). To first identify the core metabolites that are most essential to</w:t>
      </w:r>
      <w:r>
        <w:t xml:space="preserve"> </w:t>
      </w:r>
      <w:r>
        <w:rPr>
          <w:i/>
        </w:rPr>
        <w:t xml:space="preserve">C. difficile</w:t>
      </w:r>
      <w:r>
        <w:t xml:space="preserve"> </w:t>
      </w:r>
      <w:r>
        <w:t xml:space="preserve">in any condition, we cross-referenced the highest 50 scoring metabolites from each treatment group and recalculated the median importance across all conditions (Fig. 4A). The host-derived aminoglycan N-acetyl-D-glucosamine was found to the have the highest median importance of all shared metabolites, which has been shown to be a readily available source of carbon and nitrogen utilized by</w:t>
      </w:r>
      <w:r>
        <w:t xml:space="preserve"> </w:t>
      </w:r>
      <w:r>
        <w:rPr>
          <w:i/>
        </w:rPr>
        <w:t xml:space="preserve">C. difficile</w:t>
      </w:r>
      <w:r>
        <w:t xml:space="preserve">, entering into glycolysis. Components of the Stickland fermentation pathway were also found to be important to</w:t>
      </w:r>
      <w:r>
        <w:t xml:space="preserve"> </w:t>
      </w:r>
      <w:r>
        <w:rPr>
          <w:i/>
        </w:rPr>
        <w:t xml:space="preserve">C. difficile</w:t>
      </w:r>
      <w:r>
        <w:t xml:space="preserve"> </w:t>
      </w:r>
      <w:r>
        <w:t xml:space="preserve">in all conditions tested including proline, 3−hydroxybutanoyl−CoA, and formate</w:t>
      </w:r>
      <w:r>
        <w:t xml:space="preserve"> </w:t>
      </w:r>
      <w:r>
        <w:t xml:space="preserve">(33–35)</w:t>
      </w:r>
      <w:r>
        <w:t xml:space="preserve">. Both of these forms have been demonstrated by</w:t>
      </w:r>
      <w:r>
        <w:t xml:space="preserve"> </w:t>
      </w:r>
      <w:r>
        <w:rPr>
          <w:i/>
        </w:rPr>
        <w:t xml:space="preserve">C. difficile</w:t>
      </w:r>
      <w:r>
        <w:t xml:space="preserve"> </w:t>
      </w:r>
      <w:r>
        <w:rPr>
          <w:i/>
        </w:rPr>
        <w:t xml:space="preserve">in vivo</w:t>
      </w:r>
      <w:r>
        <w:t xml:space="preserve"> </w:t>
      </w:r>
      <w:r>
        <w:t xml:space="preserve">during GF mouse mono-associated conditions</w:t>
      </w:r>
      <w:r>
        <w:t xml:space="preserve"> </w:t>
      </w:r>
      <w:r>
        <w:t xml:space="preserve">(20)</w:t>
      </w:r>
      <w:r>
        <w:t xml:space="preserve">, but never before in the context of a complex community of potential competitors. This indicated that these metabolites may be an integral component of the nutrient niche for</w:t>
      </w:r>
      <w:r>
        <w:t xml:space="preserve"> </w:t>
      </w:r>
      <w:r>
        <w:rPr>
          <w:i/>
        </w:rPr>
        <w:t xml:space="preserve">C. difficile</w:t>
      </w:r>
      <w:r>
        <w:t xml:space="preserve"> </w:t>
      </w:r>
      <w:r>
        <w:t xml:space="preserve">in any infection condition.</w:t>
      </w:r>
    </w:p>
    <w:p>
      <w:pPr>
        <w:pStyle w:val="BodyText"/>
      </w:pPr>
      <w:r>
        <w:t xml:space="preserve">Moving on to assess differential patterns of metabolite importance across environments, we focused the analysis and compared the highest 25 scoring metabolites in each infection condition to screen for those that are distinctly important to</w:t>
      </w:r>
      <w:r>
        <w:t xml:space="preserve"> </w:t>
      </w:r>
      <w:r>
        <w:rPr>
          <w:i/>
        </w:rPr>
        <w:t xml:space="preserve">C. difficile</w:t>
      </w:r>
      <w:r>
        <w:t xml:space="preserve"> </w:t>
      </w:r>
      <w:r>
        <w:t xml:space="preserve">in each respective environment (Fig. 4B). The resulting groups of metabolites all contained at least one known carbohydrate growth substrate of</w:t>
      </w:r>
      <w:r>
        <w:t xml:space="preserve"> </w:t>
      </w:r>
      <w:r>
        <w:rPr>
          <w:i/>
        </w:rPr>
        <w:t xml:space="preserve">C. difficile</w:t>
      </w:r>
      <w:r>
        <w:t xml:space="preserve"> </w:t>
      </w:r>
      <w:r>
        <w:t xml:space="preserve">(6, 12, 36)</w:t>
      </w:r>
      <w:r>
        <w:t xml:space="preserve">. This included sorbitol, mannitol, salicin, and N-acetylneuraminic acid. While the first 3 are more likely introduced by the diet, N-acetylneuraminic acid is another amino sugar integrated into the host mucin layer</w:t>
      </w:r>
      <w:r>
        <w:t xml:space="preserve"> </w:t>
      </w:r>
      <w:r>
        <w:t xml:space="preserve">(37)</w:t>
      </w:r>
      <w:r>
        <w:t xml:space="preserve">. Previously, the concentration of this molecule was shown to increased through liberation by other bacterial species to the benefit of</w:t>
      </w:r>
      <w:r>
        <w:t xml:space="preserve"> </w:t>
      </w:r>
      <w:r>
        <w:rPr>
          <w:i/>
        </w:rPr>
        <w:t xml:space="preserve">C. difficile</w:t>
      </w:r>
      <w:r>
        <w:t xml:space="preserve"> </w:t>
      </w:r>
      <w:r>
        <w:t xml:space="preserve">(36)</w:t>
      </w:r>
      <w:r>
        <w:t xml:space="preserve">, however our results suggest that</w:t>
      </w:r>
      <w:r>
        <w:t xml:space="preserve"> </w:t>
      </w:r>
      <w:r>
        <w:rPr>
          <w:i/>
        </w:rPr>
        <w:t xml:space="preserve">C. difficile</w:t>
      </w:r>
      <w:r>
        <w:t xml:space="preserve"> </w:t>
      </w:r>
      <w:r>
        <w:t xml:space="preserve">will utilize it for growth regardless of concentration. Furthermore, in GF mice where no other competitors are present, our model indicated that</w:t>
      </w:r>
      <w:r>
        <w:t xml:space="preserve"> </w:t>
      </w:r>
      <w:r>
        <w:rPr>
          <w:i/>
        </w:rPr>
        <w:t xml:space="preserve">C. difficile</w:t>
      </w:r>
      <w:r>
        <w:t xml:space="preserve"> </w:t>
      </w:r>
      <w:r>
        <w:t xml:space="preserve">was more likely to acquire numerous amino acids from the environment, presumably instead of going through the process of their synthesis. These data supported the hypothesis that</w:t>
      </w:r>
      <w:r>
        <w:t xml:space="preserve"> </w:t>
      </w:r>
      <w:r>
        <w:rPr>
          <w:i/>
        </w:rPr>
        <w:t xml:space="preserve">C. difficile</w:t>
      </w:r>
      <w:r>
        <w:t xml:space="preserve"> </w:t>
      </w:r>
      <w:r>
        <w:t xml:space="preserve">exploited alternative nutrient sources between the susceptible environments it colonized.</w:t>
      </w:r>
    </w:p>
    <w:p>
      <w:pPr>
        <w:pStyle w:val="BodyText"/>
      </w:pPr>
      <w:r>
        <w:rPr>
          <w:b/>
        </w:rPr>
        <w:t xml:space="preserve">Important metabolites from</w:t>
      </w:r>
      <w:r>
        <w:rPr>
          <w:b/>
        </w:rPr>
        <w:t xml:space="preserve"> </w:t>
      </w:r>
      <w:r>
        <w:rPr>
          <w:i/>
          <w:b/>
        </w:rPr>
        <w:t xml:space="preserve">in vivo</w:t>
      </w:r>
      <w:r>
        <w:rPr>
          <w:b/>
        </w:rPr>
        <w:t xml:space="preserve"> </w:t>
      </w:r>
      <w:r>
        <w:rPr>
          <w:b/>
        </w:rPr>
        <w:t xml:space="preserve">network analysis are</w:t>
      </w:r>
      <w:r>
        <w:rPr>
          <w:b/>
        </w:rPr>
        <w:t xml:space="preserve"> </w:t>
      </w:r>
      <w:r>
        <w:rPr>
          <w:i/>
          <w:b/>
        </w:rPr>
        <w:t xml:space="preserve">C. difficile</w:t>
      </w:r>
      <w:r>
        <w:rPr>
          <w:b/>
        </w:rPr>
        <w:t xml:space="preserve"> </w:t>
      </w:r>
      <w:r>
        <w:rPr>
          <w:b/>
        </w:rPr>
        <w:t xml:space="preserve">growth substrates</w:t>
      </w:r>
      <w:r>
        <w:t xml:space="preserve"> </w:t>
      </w:r>
      <w:r>
        <w:t xml:space="preserve">We went on to test important metabolites for the ability to support</w:t>
      </w:r>
      <w:r>
        <w:t xml:space="preserve"> </w:t>
      </w:r>
      <w:r>
        <w:rPr>
          <w:i/>
        </w:rPr>
        <w:t xml:space="preserve">C. difficile</w:t>
      </w:r>
      <w:r>
        <w:t xml:space="preserve"> </w:t>
      </w:r>
      <w:r>
        <w:t xml:space="preserve">growth</w:t>
      </w:r>
      <w:r>
        <w:t xml:space="preserve"> </w:t>
      </w:r>
      <w:r>
        <w:rPr>
          <w:i/>
        </w:rPr>
        <w:t xml:space="preserve">in vitro</w:t>
      </w:r>
      <w:r>
        <w:t xml:space="preserve"> </w:t>
      </w:r>
      <w:r>
        <w:t xml:space="preserve">(Fig. 4C). This was performed using a modified defined</w:t>
      </w:r>
      <w:r>
        <w:t xml:space="preserve"> </w:t>
      </w:r>
      <w:r>
        <w:rPr>
          <w:i/>
        </w:rPr>
        <w:t xml:space="preserve">C. difficile</w:t>
      </w:r>
      <w:r>
        <w:t xml:space="preserve"> </w:t>
      </w:r>
      <w:r>
        <w:t xml:space="preserve">minimal media</w:t>
      </w:r>
      <w:r>
        <w:t xml:space="preserve"> </w:t>
      </w:r>
      <w:r>
        <w:t xml:space="preserve">(6)</w:t>
      </w:r>
      <w:r>
        <w:t xml:space="preserve">, supplemented individually with the selected carbohydrates implicated by high importance scores.</w:t>
      </w:r>
      <w:r>
        <w:t xml:space="preserve"> </w:t>
      </w:r>
      <w:r>
        <w:rPr>
          <w:i/>
        </w:rPr>
        <w:t xml:space="preserve">C. difficile</w:t>
      </w:r>
      <w:r>
        <w:t xml:space="preserve"> </w:t>
      </w:r>
      <w:r>
        <w:t xml:space="preserve">is auxotrophic in minimal media for several amino acids including proline</w:t>
      </w:r>
      <w:r>
        <w:t xml:space="preserve"> </w:t>
      </w:r>
      <w:r>
        <w:t xml:space="preserve">(38)</w:t>
      </w:r>
      <w:r>
        <w:t xml:space="preserve">, as such it was necessary to include them despite modest growth through their fermentation. This focused our analysis on carbohydrates and made the most effective negative control growth in media lacking carbohydrates but containing amino acids. When tested for improved growth, at least one carbon source found to be distinctly important in each environment as well as among those shred in the combined analysis significantly improved growth relative to controls (all</w:t>
      </w:r>
      <w:r>
        <w:t xml:space="preserve"> </w:t>
      </w:r>
      <w:r>
        <w:rPr>
          <w:i/>
        </w:rPr>
        <w:t xml:space="preserve">P</w:t>
      </w:r>
      <w:r>
        <w:t xml:space="preserve"> </w:t>
      </w:r>
      <w:r>
        <w:t xml:space="preserve">&lt; NA). This included N-acetylglucosamine (shared; Max OD</w:t>
      </w:r>
      <w:r>
        <w:rPr>
          <w:vertAlign w:val="subscript"/>
        </w:rPr>
        <w:t xml:space="preserve">600</w:t>
      </w:r>
      <w:r>
        <w:t xml:space="preserve"> </w:t>
      </w:r>
      <w:r>
        <w:t xml:space="preserve">= 0.744), mannitol (cefoperazone; Max OD</w:t>
      </w:r>
      <w:r>
        <w:rPr>
          <w:vertAlign w:val="subscript"/>
        </w:rPr>
        <w:t xml:space="preserve">600</w:t>
      </w:r>
      <w:r>
        <w:t xml:space="preserve"> </w:t>
      </w:r>
      <w:r>
        <w:t xml:space="preserve">= 0.461),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0.375). Galactitol was also tested as it was important in streptomycin-treated animals, however it demonstrated nearly identical growth patterns to no carbohydrate control (Table S4). These results supported the ability of our network algorithm to identify likely growth substrates and provided additional evidence that</w:t>
      </w:r>
      <w:r>
        <w:t xml:space="preserve"> </w:t>
      </w:r>
      <w:r>
        <w:rPr>
          <w:i/>
        </w:rPr>
        <w:t xml:space="preserve">C. difficile</w:t>
      </w:r>
      <w:r>
        <w:t xml:space="preserve"> </w:t>
      </w:r>
      <w:r>
        <w:t xml:space="preserve">was well-suited to adapt its metabolism toward specific nutrients. These data also suggested a potential hierarchy in carbon source preference, but requires additional investigations to state conclusively.</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To support conclusions from transcriptional network-based analysis we employed untargeted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(Metabolon, Durham NC). Using these results, we first assessed variability in the datasets generated for this study with replicates. The goal was to infer possible consistency within transriptomic sequencing efforts without similar replication. Extremely low and consistent sample variance was found in across all 16S and metabolomic replicates (Fig. S5). Since species abundance partially determines enzyme abundance, which in turn partially controls changes in the metabolome, these data reassured us that our conclusions for transcriptional differences were reliable.</w:t>
      </w:r>
    </w:p>
    <w:p>
      <w:pPr>
        <w:pStyle w:val="BodyText"/>
      </w:pPr>
      <w:r>
        <w:t xml:space="preserve">With respect the modeling results, we measured whether important metabolites from network analysis were increased in relative concentration in their corresponding susceptible environments compared to untreated SPF mice (Fig. S6). Looking first toward N-acetylglucosamine since it was the most consistently important shared metabolite (Fig. 4A), we found that its relative concentration was actually significantly decreased in all susceptible conditions tested (Fig. S6A; all</w:t>
      </w:r>
      <w:r>
        <w:t xml:space="preserve"> </w:t>
      </w:r>
      <w:r>
        <w:rPr>
          <w:i/>
        </w:rPr>
        <w:t xml:space="preserve">P</w:t>
      </w:r>
      <w:r>
        <w:t xml:space="preserve"> </w:t>
      </w:r>
      <w:r>
        <w:t xml:space="preserve">&lt;= 0.002). A similar trend was also seen in salicylate (Fig. S5F; all</w:t>
      </w:r>
      <w:r>
        <w:t xml:space="preserve"> </w:t>
      </w:r>
      <w:r>
        <w:rPr>
          <w:i/>
        </w:rPr>
        <w:t xml:space="preserve">P</w:t>
      </w:r>
      <w:r>
        <w:t xml:space="preserve"> </w:t>
      </w:r>
      <w:r>
        <w:t xml:space="preserve">&lt;= 0.045), a product of salacin cleavage (salicin was not included in the panel). We also found that N-acetylneuraminate (Fig. S6B), mannitol/sorbitol (Fig. S6G), and galactitol (Fig. S6H) were significantly increased in only cefoperazone-treated SPF and GF mice (all</w:t>
      </w:r>
      <w:r>
        <w:t xml:space="preserve"> </w:t>
      </w:r>
      <w:r>
        <w:rPr>
          <w:i/>
        </w:rPr>
        <w:t xml:space="preserve">P</w:t>
      </w:r>
      <w:r>
        <w:t xml:space="preserve"> </w:t>
      </w:r>
      <w:r>
        <w:t xml:space="preserve">&lt; 0.05). Only Stickland fermentation substrates proline (all</w:t>
      </w:r>
      <w:r>
        <w:t xml:space="preserve"> </w:t>
      </w:r>
      <w:r>
        <w:rPr>
          <w:i/>
        </w:rPr>
        <w:t xml:space="preserve">P</w:t>
      </w:r>
      <w:r>
        <w:t xml:space="preserve"> </w:t>
      </w:r>
      <w:r>
        <w:t xml:space="preserve">&lt; 0.002) and trans-4-hydroxyproline (all</w:t>
      </w:r>
      <w:r>
        <w:t xml:space="preserve"> </w:t>
      </w:r>
      <w:r>
        <w:rPr>
          <w:i/>
        </w:rPr>
        <w:t xml:space="preserve">P</w:t>
      </w:r>
      <w:r>
        <w:t xml:space="preserve"> </w:t>
      </w:r>
      <w:r>
        <w:t xml:space="preserve">&lt; 0.002) were found to be significantly increased in all susceptible environments tested (Fig. S6C &amp; S6E). Glycine (Fig. S6D) was found to also be consistently increased, with significant differences in cefoperazone-treated SPF and GF mice (</w:t>
      </w:r>
      <w:r>
        <w:rPr>
          <w:i/>
        </w:rPr>
        <w:t xml:space="preserve">P</w:t>
      </w:r>
      <w:r>
        <w:t xml:space="preserve"> </w:t>
      </w:r>
      <w:r>
        <w:t xml:space="preserve">= 0.005 &amp; 0.005).</w:t>
      </w:r>
    </w:p>
    <w:p>
      <w:pPr>
        <w:pStyle w:val="BodyText"/>
      </w:pPr>
      <w:r>
        <w:t xml:space="preserve">We then determined that concentrations of important metabolites decreased during</w:t>
      </w:r>
      <w:r>
        <w:t xml:space="preserve"> </w:t>
      </w:r>
      <w:r>
        <w:rPr>
          <w:i/>
        </w:rPr>
        <w:t xml:space="preserve">C. difficile</w:t>
      </w:r>
      <w:r>
        <w:t xml:space="preserve"> </w:t>
      </w:r>
      <w:r>
        <w:t xml:space="preserve">infection compared to mock infection, implying their consumption by the pathogen. Both groups of host-derived aminoglycans, N-acetylglucosamine/N−acetylgalactosamine (Fig. 5A) and N-acetylneuraminate (Fig. 5F), were only significantly decreased in the presence of</w:t>
      </w:r>
      <w:r>
        <w:t xml:space="preserve"> </w:t>
      </w:r>
      <w:r>
        <w:rPr>
          <w:i/>
        </w:rPr>
        <w:t xml:space="preserve">C. difficile</w:t>
      </w:r>
      <w:r>
        <w:t xml:space="preserve"> </w:t>
      </w:r>
      <w:r>
        <w:t xml:space="preserve">in ex-GF mice (</w:t>
      </w:r>
      <w:r>
        <w:rPr>
          <w:i/>
        </w:rPr>
        <w:t xml:space="preserve">P</w:t>
      </w:r>
      <w:r>
        <w:t xml:space="preserve"> </w:t>
      </w:r>
      <w:r>
        <w:t xml:space="preserve">&lt; 0.67 &amp; 0). No significant relationship was seen in either galactitol (Fig. 5C) or mannitol/sorbitol (Fig. 5D) (</w:t>
      </w:r>
      <w:r>
        <w:rPr>
          <w:i/>
        </w:rPr>
        <w:t xml:space="preserve">P</w:t>
      </w:r>
      <w:r>
        <w:t xml:space="preserve"> </w:t>
      </w:r>
      <w:r>
        <w:t xml:space="preserve">&gt;</w:t>
      </w:r>
      <w:r>
        <w:t xml:space="preserve"> </w:t>
      </w:r>
      <w:r>
        <w:rPr>
          <w:rStyle w:val="VerbatimChar"/>
        </w:rPr>
        <w:t xml:space="preserve">galactitol_p_strep</w:t>
      </w:r>
      <w:r>
        <w:t xml:space="preserve"> </w:t>
      </w:r>
      <w:r>
        <w:t xml:space="preserve">&amp; 0.388). The slight increase in the concentration of salicylate (Fig. 5E) may be interpreted as due to increased cleavage of salicin by</w:t>
      </w:r>
      <w:r>
        <w:t xml:space="preserve"> </w:t>
      </w:r>
      <w:r>
        <w:rPr>
          <w:i/>
        </w:rPr>
        <w:t xml:space="preserve">C. difficile</w:t>
      </w:r>
      <w:r>
        <w:t xml:space="preserve">, but requires further investigation. As side note, acetate was found to be important in all conditions except ex-GF mice (Table S3) and has been shown to be consumed by</w:t>
      </w:r>
      <w:r>
        <w:t xml:space="preserve"> </w:t>
      </w:r>
      <w:r>
        <w:rPr>
          <w:i/>
        </w:rPr>
        <w:t xml:space="preserve">C. difficile</w:t>
      </w:r>
      <w:r>
        <w:t xml:space="preserve"> </w:t>
      </w:r>
      <w:r>
        <w:t xml:space="preserve">during Stickland fermentation</w:t>
      </w:r>
      <w:r>
        <w:t xml:space="preserve"> </w:t>
      </w:r>
      <w:r>
        <w:t xml:space="preserve">(39)</w:t>
      </w:r>
      <w:r>
        <w:t xml:space="preserve">. We found that</w:t>
      </w:r>
      <w:r>
        <w:t xml:space="preserve"> </w:t>
      </w:r>
      <w:r>
        <w:rPr>
          <w:i/>
        </w:rPr>
        <w:t xml:space="preserve">C. difficile</w:t>
      </w:r>
      <w:r>
        <w:t xml:space="preserve"> </w:t>
      </w:r>
      <w:r>
        <w:t xml:space="preserve">colonization indeed led to a significant decrease in the levels of acetate (Fig. S7C;</w:t>
      </w:r>
      <w:r>
        <w:t xml:space="preserve"> </w:t>
      </w:r>
      <w:r>
        <w:rPr>
          <w:i/>
        </w:rPr>
        <w:t xml:space="preserve">P</w:t>
      </w:r>
      <w:r>
        <w:t xml:space="preserve"> </w:t>
      </w:r>
      <w:r>
        <w:t xml:space="preserve">= 0.0121858). Together, these findings provided some validation for our metabolite importance algorithm as a method for predicting metabolites that are most likely consumed by a bacteria in a given environment, not just growth substrates. In accordance with the previous analysis, we found that proline (Fig. 5A) and trans-4-hydroxyproline (Fig. S7B) were significantly decreased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0.013). Glycine was concordantly decreased in each condition following infection (Fig. S7A), with significant change in cefoperazone-pretreatment (</w:t>
      </w:r>
      <w:r>
        <w:rPr>
          <w:i/>
        </w:rPr>
        <w:t xml:space="preserve">P</w:t>
      </w:r>
      <w:r>
        <w:t xml:space="preserve"> </w:t>
      </w:r>
      <w:r>
        <w:t xml:space="preserve">= 0.217). These results strongly supported the hypothesis that amino acids are a primary energy source of</w:t>
      </w:r>
      <w:r>
        <w:t xml:space="preserve"> </w:t>
      </w:r>
      <w:r>
        <w:rPr>
          <w:i/>
        </w:rPr>
        <w:t xml:space="preserve">C. difficile</w:t>
      </w:r>
      <w:r>
        <w:t xml:space="preserve"> </w:t>
      </w:r>
      <w:r>
        <w:t xml:space="preserve">during infection.</w:t>
      </w:r>
    </w:p>
    <w:p>
      <w:pPr>
        <w:pStyle w:val="BodyText"/>
      </w:pPr>
      <w:r>
        <w:rPr>
          <w:b/>
        </w:rPr>
        <w:t xml:space="preserve">Multi-omic integration supports predictive value of network platform for identifying previously unknown metabolic patterns.</w:t>
      </w:r>
      <w:r>
        <w:t xml:space="preserve"> </w:t>
      </w:r>
      <w:r>
        <w:t xml:space="preserve">Moving beyond specific metabolite analysis, we wanted to determine how well metabolite importance scores related to the relative concentration of all metabolites in a given environment. To most effectively combine metabolite importance scores with the affiliated concentration data, we decided to calculate the median change in relative concentration for each metabolite measured between corresponding mock and</w:t>
      </w:r>
      <w:r>
        <w:t xml:space="preserve"> </w:t>
      </w:r>
      <w:r>
        <w:rPr>
          <w:i/>
        </w:rPr>
        <w:t xml:space="preserve">C. difficile</w:t>
      </w:r>
      <w:r>
        <w:t xml:space="preserve">-infected conditions. This was accomplished by dividing the median log10-scaled intensity of each metabolite in mock-infected mice by its corresponding intensity in</w:t>
      </w:r>
      <w:r>
        <w:t xml:space="preserve"> </w:t>
      </w:r>
      <w:r>
        <w:rPr>
          <w:i/>
        </w:rPr>
        <w:t xml:space="preserve">C. difficile</w:t>
      </w:r>
      <w:r>
        <w:t xml:space="preserve">-infected mice to give the delta median scaled intensity for each metabolite. In this way, larger values indicated those metabolites that decreased in concentration when</w:t>
      </w:r>
      <w:r>
        <w:t xml:space="preserve"> </w:t>
      </w:r>
      <w:r>
        <w:rPr>
          <w:i/>
        </w:rPr>
        <w:t xml:space="preserve">C. difficile</w:t>
      </w:r>
      <w:r>
        <w:t xml:space="preserve"> </w:t>
      </w:r>
      <w:r>
        <w:t xml:space="preserve">colonized. This also resulted in a single value we could combine with importance scores for each metabolite and perform a linear correlation analysis. Positive correlations indicated that the metabolites predicted to be consumed by</w:t>
      </w:r>
      <w:r>
        <w:t xml:space="preserve"> </w:t>
      </w:r>
      <w:r>
        <w:rPr>
          <w:i/>
        </w:rPr>
        <w:t xml:space="preserve">C. difficile</w:t>
      </w:r>
      <w:r>
        <w:t xml:space="preserve"> </w:t>
      </w:r>
      <w:r>
        <w:t xml:space="preserve">through transcript-informed metabolic networks have a concomitant decrease in the metabolome. This relationship would also imply that those metabolites with negative importance scores and increased concentration in infected animals are being produced by</w:t>
      </w:r>
      <w:r>
        <w:t xml:space="preserve"> </w:t>
      </w:r>
      <w:r>
        <w:rPr>
          <w:i/>
        </w:rPr>
        <w:t xml:space="preserve">C. difficile</w:t>
      </w:r>
      <w:r>
        <w:t xml:space="preserve">.</w:t>
      </w:r>
    </w:p>
    <w:p>
      <w:pPr>
        <w:pStyle w:val="BodyText"/>
      </w:pPr>
      <w:r>
        <w:t xml:space="preserve">We applied this approach first to a pooled analysis of all groups to maximize our ability to validate the predictive capacity of the modeling algorithm (Fig. 6A). This revealed a significant positive correlation (</w:t>
      </w:r>
      <w:r>
        <w:rPr>
          <w:i/>
        </w:rPr>
        <w:t xml:space="preserve">P</w:t>
      </w:r>
      <w:r>
        <w:t xml:space="preserve"> </w:t>
      </w:r>
      <w:r>
        <w:t xml:space="preserve">= 0.004) and supported our method for identifying metabolites that are most likely to be consumed by</w:t>
      </w:r>
      <w:r>
        <w:t xml:space="preserve"> </w:t>
      </w:r>
      <w:r>
        <w:rPr>
          <w:i/>
        </w:rPr>
        <w:t xml:space="preserve">C. difficile</w:t>
      </w:r>
      <w:r>
        <w:t xml:space="preserve"> </w:t>
      </w:r>
      <w:r>
        <w:t xml:space="preserve">based on transcriptional activity. Furthermore, this technique also allowed us to analyze outliers from the generalized linear model to assess if they are explained by other known patterns of</w:t>
      </w:r>
      <w:r>
        <w:t xml:space="preserve"> </w:t>
      </w:r>
      <w:r>
        <w:rPr>
          <w:i/>
        </w:rPr>
        <w:t xml:space="preserve">C. difficile</w:t>
      </w:r>
      <w:r>
        <w:t xml:space="preserve"> </w:t>
      </w:r>
      <w:r>
        <w:t xml:space="preserve">biology. In this instance, 16 outlier metabolites were present and fell into only 3 separate KEGG annotation categories; amino acids, carbohydrates, and nucleotides (Table S5). We went on to identify that 12 of 16 outlier metabolites that were important in their respective condition were annotated as growth substrates or growth enhancers of</w:t>
      </w:r>
      <w:r>
        <w:t xml:space="preserve"> </w:t>
      </w:r>
      <w:r>
        <w:rPr>
          <w:i/>
        </w:rPr>
        <w:t xml:space="preserve">C. difficile</w:t>
      </w:r>
      <w:r>
        <w:t xml:space="preserve"> </w:t>
      </w:r>
      <w:r>
        <w:t xml:space="preserve">(38)</w:t>
      </w:r>
      <w:r>
        <w:t xml:space="preserve">. This included L-proline, L-threonine, N-acetyl-D-glucosamine, D-fructose, and galactitol. The metabolites that were more likely to be produced based on importance scores but decreased in the context of infection were the nucleotides adenine, deoxyadenosine, and xanthine. Although</w:t>
      </w:r>
      <w:r>
        <w:t xml:space="preserve"> </w:t>
      </w:r>
      <w:r>
        <w:rPr>
          <w:i/>
        </w:rPr>
        <w:t xml:space="preserve">C. difficile</w:t>
      </w:r>
      <w:r>
        <w:t xml:space="preserve"> </w:t>
      </w:r>
      <w:r>
        <w:t xml:space="preserve">has the capacity to synthesize each</w:t>
      </w:r>
      <w:r>
        <w:t xml:space="preserve"> </w:t>
      </w:r>
      <w:r>
        <w:t xml:space="preserve">(39)</w:t>
      </w:r>
      <w:r>
        <w:t xml:space="preserve">, it may also have the ability to catabolize these purines to participate downstream in Stickland reactions</w:t>
      </w:r>
      <w:r>
        <w:t xml:space="preserve"> </w:t>
      </w:r>
      <w:r>
        <w:t xml:space="preserve">(40)</w:t>
      </w:r>
      <w:r>
        <w:t xml:space="preserve">. The findings here may indicate that</w:t>
      </w:r>
      <w:r>
        <w:t xml:space="preserve"> </w:t>
      </w:r>
      <w:r>
        <w:rPr>
          <w:i/>
        </w:rPr>
        <w:t xml:space="preserve">C. difficile</w:t>
      </w:r>
      <w:r>
        <w:t xml:space="preserve"> </w:t>
      </w:r>
      <w:r>
        <w:t xml:space="preserve">utilizes both environmental and synthesized pools of the molecules at a faster rate than they are produced by the bacterium alone and may reinforce the centrality of amino acid fermentation to</w:t>
      </w:r>
      <w:r>
        <w:t xml:space="preserve"> </w:t>
      </w:r>
      <w:r>
        <w:rPr>
          <w:i/>
        </w:rPr>
        <w:t xml:space="preserve">C. difficile</w:t>
      </w:r>
      <w:r>
        <w:t xml:space="preserve"> </w:t>
      </w:r>
      <w:r>
        <w:rPr>
          <w:i/>
        </w:rPr>
        <w:t xml:space="preserve">in vivo</w:t>
      </w:r>
      <w:r>
        <w:t xml:space="preserve"> </w:t>
      </w:r>
      <w:r>
        <w:t xml:space="preserve">metabolism.</w:t>
      </w:r>
    </w:p>
    <w:p>
      <w:pPr>
        <w:pStyle w:val="BodyText"/>
      </w:pPr>
      <w:r>
        <w:t xml:space="preserve">We then directed the analysis toward each individual infection condition tested. In streptomycin-pretreatment (Fig. 6B) and cefoperazone-pretreatment (Fig. 6C) the correlations did not achieve significance (</w:t>
      </w:r>
      <w:r>
        <w:rPr>
          <w:i/>
        </w:rPr>
        <w:t xml:space="preserve">P</w:t>
      </w:r>
      <w:r>
        <w:t xml:space="preserve"> </w:t>
      </w:r>
      <w:r>
        <w:t xml:space="preserve">= 0.272 &amp; 0.893), but remained positive. Analysis of outliers revealed that in streptomycin-pretreatment both the host-derived aminoglycan N-acetyl-D-glucosamine and L-proline were implicated as most likely to be utilized by</w:t>
      </w:r>
      <w:r>
        <w:t xml:space="preserve"> </w:t>
      </w:r>
      <w:r>
        <w:rPr>
          <w:i/>
        </w:rPr>
        <w:t xml:space="preserve">C. difficile</w:t>
      </w:r>
      <w:r>
        <w:t xml:space="preserve"> </w:t>
      </w:r>
      <w:r>
        <w:t xml:space="preserve">while L-proline was the only growth substrate outlier in this way in cefoperazone-pretreated mice. Both clindamycin-pretreatment (Fig. 6D) and ex-GF mice (Fig. 6E) instead demonstrated a significant correlation between importance scores and delta median scaled intensity (</w:t>
      </w:r>
      <w:r>
        <w:rPr>
          <w:i/>
        </w:rPr>
        <w:t xml:space="preserve">P</w:t>
      </w:r>
      <w:r>
        <w:t xml:space="preserve"> </w:t>
      </w:r>
      <w:r>
        <w:t xml:space="preserve">= 0.008 &amp; 0.003). Although clindamycin-pretreatment was associated with most outlier metabolites, both groups also shared a similar trend of carbohydrates and Stickland fermentation substrates being important and decreased in infected conditions. Proline specifically was found to be both highly important and decreased in concentration across all infections. In combination with the previously mentioned patterns, this further supports Stickland fermentation as a core metabolic strategy of</w:t>
      </w:r>
      <w:r>
        <w:t xml:space="preserve"> </w:t>
      </w:r>
      <w:r>
        <w:rPr>
          <w:i/>
        </w:rPr>
        <w:t xml:space="preserve">C. difficile</w:t>
      </w:r>
      <w:r>
        <w:t xml:space="preserve"> </w:t>
      </w:r>
      <w:r>
        <w:t xml:space="preserve">in the gut which agrees with previous</w:t>
      </w:r>
      <w:r>
        <w:t xml:space="preserve"> </w:t>
      </w:r>
      <w:r>
        <w:rPr>
          <w:i/>
        </w:rPr>
        <w:t xml:space="preserve">in vitro</w:t>
      </w:r>
      <w:r>
        <w:t xml:space="preserve"> </w:t>
      </w:r>
      <w:r>
        <w:t xml:space="preserve">findings</w:t>
      </w:r>
      <w:r>
        <w:t xml:space="preserve"> </w:t>
      </w:r>
      <w:r>
        <w:t xml:space="preserve">(35)</w:t>
      </w:r>
      <w:r>
        <w:t xml:space="preserve">. Together, these data supported network-derived importance scores as well as our hypothesis that</w:t>
      </w:r>
      <w:r>
        <w:t xml:space="preserve"> </w:t>
      </w:r>
      <w:r>
        <w:rPr>
          <w:i/>
        </w:rPr>
        <w:t xml:space="preserve">C. difficile</w:t>
      </w:r>
      <w:r>
        <w:t xml:space="preserve"> </w:t>
      </w:r>
      <w:r>
        <w:t xml:space="preserve">adapted portions of its carbon source metabolism in distinct susceptible environments in addition to certain highly consistent strategies.</w:t>
      </w:r>
    </w:p>
    <w:p>
      <w:pPr>
        <w:pStyle w:val="Heading3"/>
      </w:pPr>
      <w:bookmarkStart w:id="25" w:name="discussion"/>
      <w:bookmarkEnd w:id="25"/>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adjusts its metabolism to fit growth substrate availability in susceptible gut environments. The specific carbon sources identified as important to</w:t>
      </w:r>
      <w:r>
        <w:t xml:space="preserve"> </w:t>
      </w:r>
      <w:r>
        <w:rPr>
          <w:i/>
        </w:rPr>
        <w:t xml:space="preserve">C. difficile</w:t>
      </w:r>
      <w:r>
        <w:t xml:space="preserve"> </w:t>
      </w:r>
      <w:r>
        <w:t xml:space="preserve">across environments provided for substantial growth</w:t>
      </w:r>
      <w:r>
        <w:t xml:space="preserve"> </w:t>
      </w:r>
      <w:r>
        <w:rPr>
          <w:i/>
        </w:rPr>
        <w:t xml:space="preserve">in vitro</w:t>
      </w:r>
      <w:r>
        <w:t xml:space="preserve"> </w:t>
      </w:r>
      <w:r>
        <w:t xml:space="preserve">and decreased in concentration</w:t>
      </w:r>
      <w:r>
        <w:t xml:space="preserve"> </w:t>
      </w:r>
      <w:r>
        <w:rPr>
          <w:i/>
        </w:rPr>
        <w:t xml:space="preserve">in vivo</w:t>
      </w:r>
      <w:r>
        <w:t xml:space="preserve"> </w:t>
      </w:r>
      <w:r>
        <w:t xml:space="preserve">after the pathogen colonized. Increased availability is presumably the result of concomitant decreases in the population of one or more competitors for those resources. Some important substrates did not follow similar trends in the metabolome, but it does not necessarily imply that</w:t>
      </w:r>
      <w:r>
        <w:t xml:space="preserve"> </w:t>
      </w:r>
      <w:r>
        <w:rPr>
          <w:i/>
        </w:rPr>
        <w:t xml:space="preserve">C. difficile</w:t>
      </w:r>
      <w:r>
        <w:t xml:space="preserve"> </w:t>
      </w:r>
      <w:r>
        <w:t xml:space="preserve">cannot make use of them. It could simply mean that they are in large excess or their rate of consumption could be slow. Further research is required to explore these interactions. Our method is also able to identify consistent trends in metabolism across environments. The finding that Stickland fermentation substrates were consistently among the highest scoring shared metabolites and that they consistently decreased in concentration upon</w:t>
      </w:r>
      <w:r>
        <w:t xml:space="preserve"> </w:t>
      </w:r>
      <w:r>
        <w:rPr>
          <w:i/>
        </w:rPr>
        <w:t xml:space="preserve">C. difficile</w:t>
      </w:r>
      <w:r>
        <w:t xml:space="preserve"> </w:t>
      </w:r>
      <w:r>
        <w:t xml:space="preserve">colonization strongly indicated that these metabolites are central to the nutritional strategy of</w:t>
      </w:r>
      <w:r>
        <w:t xml:space="preserve"> </w:t>
      </w:r>
      <w:r>
        <w:rPr>
          <w:i/>
        </w:rPr>
        <w:t xml:space="preserve">C. difficile</w:t>
      </w:r>
      <w:r>
        <w:t xml:space="preserve">. It stands to reason that catabolism of amino acids would be a highly conserved strategy for</w:t>
      </w:r>
      <w:r>
        <w:t xml:space="preserve"> </w:t>
      </w:r>
      <w:r>
        <w:rPr>
          <w:i/>
        </w:rPr>
        <w:t xml:space="preserve">C. difficile</w:t>
      </w:r>
      <w:r>
        <w:t xml:space="preserve"> </w:t>
      </w:r>
      <w:r>
        <w:t xml:space="preserve">since they provide not only carbon and energy, but are also a source for nitrogen which is a limited resource in the mammalian lower GI tract</w:t>
      </w:r>
      <w:r>
        <w:t xml:space="preserve"> </w:t>
      </w:r>
      <w:r>
        <w:t xml:space="preserve">(41)</w:t>
      </w:r>
      <w:r>
        <w:t xml:space="preserve">. This same principle could extend to host-derived aminoglycans from the mucus layer. Concentrations of N-acetyl-D-glucosamine were consistently decreased when groups of bacteria with the capacity to cleave it from mucus were either diminished or absent entirely</w:t>
      </w:r>
      <w:r>
        <w:t xml:space="preserve"> </w:t>
      </w:r>
      <w:r>
        <w:t xml:space="preserve">(42)</w:t>
      </w:r>
      <w:r>
        <w:t xml:space="preserve">. N-acetylneuraminate was only found to be highly important in ex-GF mice when no other competitors are present. This could suggest that</w:t>
      </w:r>
      <w:r>
        <w:t xml:space="preserve"> </w:t>
      </w:r>
      <w:r>
        <w:rPr>
          <w:i/>
        </w:rPr>
        <w:t xml:space="preserve">C. difficile</w:t>
      </w:r>
      <w:r>
        <w:t xml:space="preserve"> </w:t>
      </w:r>
      <w:r>
        <w:t xml:space="preserve">is less competitive for these desirable nutrients, but can only really access them when competition is at a minimum.</w:t>
      </w:r>
    </w:p>
    <w:p>
      <w:pPr>
        <w:pStyle w:val="BodyText"/>
      </w:pPr>
      <w:r>
        <w:t xml:space="preserve">Based on the evidence presented, resistance to colonization by</w:t>
      </w:r>
      <w:r>
        <w:t xml:space="preserve"> </w:t>
      </w:r>
      <w:r>
        <w:rPr>
          <w:i/>
        </w:rPr>
        <w:t xml:space="preserve">C. difficile</w:t>
      </w:r>
      <w:r>
        <w:t xml:space="preserve"> </w:t>
      </w:r>
      <w:r>
        <w:t xml:space="preserve">could be due to an inability of the pathogen to outcompete a collection of metabolic specialists in an intact community, and separate classes of antibiotics differentially eliminate subsets of these groups. This concept may potentially explain the success of fecal microbial transplant in eliminating</w:t>
      </w:r>
      <w:r>
        <w:t xml:space="preserve"> </w:t>
      </w:r>
      <w:r>
        <w:rPr>
          <w:i/>
        </w:rPr>
        <w:t xml:space="preserve">C. difficile</w:t>
      </w:r>
      <w:r>
        <w:t xml:space="preserve"> </w:t>
      </w:r>
      <w:r>
        <w:t xml:space="preserve">infection. The wholesale installation of a diverse range of specialized metabolic strategies might be enough to outcompete</w:t>
      </w:r>
      <w:r>
        <w:t xml:space="preserve"> </w:t>
      </w:r>
      <w:r>
        <w:rPr>
          <w:i/>
        </w:rPr>
        <w:t xml:space="preserve">C. difficile</w:t>
      </w:r>
      <w:r>
        <w:t xml:space="preserve"> </w:t>
      </w:r>
      <w:r>
        <w:t xml:space="preserve">from previously sensitive gut environments. This may be particularly true with competitors for fermentable amino acids as our data also suggests that these are critical to</w:t>
      </w:r>
      <w:r>
        <w:t xml:space="preserve"> </w:t>
      </w:r>
      <w:r>
        <w:rPr>
          <w:i/>
        </w:rPr>
        <w:t xml:space="preserve">C. difficile</w:t>
      </w:r>
      <w:r>
        <w:t xml:space="preserve"> </w:t>
      </w:r>
      <w:r>
        <w:t xml:space="preserve">overall</w:t>
      </w:r>
      <w:r>
        <w:t xml:space="preserve"> </w:t>
      </w:r>
      <w:r>
        <w:rPr>
          <w:i/>
        </w:rPr>
        <w:t xml:space="preserve">in vivo</w:t>
      </w:r>
      <w:r>
        <w:t xml:space="preserve"> </w:t>
      </w:r>
      <w:r>
        <w:t xml:space="preserve">metabolic strategy. A previous study generated a mutant</w:t>
      </w:r>
      <w:r>
        <w:t xml:space="preserve"> </w:t>
      </w:r>
      <w:r>
        <w:rPr>
          <w:i/>
        </w:rPr>
        <w:t xml:space="preserve">C. difficile</w:t>
      </w:r>
      <w:r>
        <w:t xml:space="preserve"> </w:t>
      </w:r>
      <w:r>
        <w:t xml:space="preserve">in proline reductase, which allows proline to enter Stickland fermentation, to evaluate how necessary proline is for growth</w:t>
      </w:r>
      <w:r>
        <w:t xml:space="preserve"> </w:t>
      </w:r>
      <w:r>
        <w:t xml:space="preserve">(43)</w:t>
      </w:r>
      <w:r>
        <w:t xml:space="preserve">.</w:t>
      </w:r>
      <w:r>
        <w:t xml:space="preserve"> </w:t>
      </w:r>
      <w:r>
        <w:rPr>
          <w:i/>
        </w:rPr>
        <w:t xml:space="preserve">C. difficile</w:t>
      </w:r>
      <w:r>
        <w:t xml:space="preserve"> </w:t>
      </w:r>
      <w:r>
        <w:t xml:space="preserve">was able to grow without defect due to hydroxyproline, a non-proteinogenic amino acid, replacing proline in Stickland fermentation by circumventing the proline reductase dependent step of the pathway. As hydroxyproline shares the exact same relationship in concentrations as proline (Fig. S7B), it stands to reason that</w:t>
      </w:r>
      <w:r>
        <w:t xml:space="preserve"> </w:t>
      </w:r>
      <w:r>
        <w:rPr>
          <w:i/>
        </w:rPr>
        <w:t xml:space="preserve">C. difficile</w:t>
      </w:r>
      <w:r>
        <w:t xml:space="preserve"> </w:t>
      </w:r>
      <w:r>
        <w:t xml:space="preserve">is utilizing both during the infection conditions tested. As glycine (Fig. S7A) can also similarly be utilized, the redundancy in this pathway strongly supports how imperative this type of metabolism is to</w:t>
      </w:r>
      <w:r>
        <w:t xml:space="preserve"> </w:t>
      </w:r>
      <w:r>
        <w:rPr>
          <w:i/>
        </w:rPr>
        <w:t xml:space="preserve">C. difficile</w:t>
      </w:r>
      <w:r>
        <w:t xml:space="preserve"> </w:t>
      </w:r>
      <w:r>
        <w:t xml:space="preserve">during infection.</w:t>
      </w:r>
    </w:p>
    <w:p>
      <w:pPr>
        <w:pStyle w:val="BodyText"/>
      </w:pPr>
      <w:r>
        <w:t xml:space="preserve">Our modeling approach also may allow for the identification of emergent properties for the metabolism of</w:t>
      </w:r>
      <w:r>
        <w:t xml:space="preserve"> </w:t>
      </w:r>
      <w:r>
        <w:rPr>
          <w:i/>
        </w:rPr>
        <w:t xml:space="preserve">C. difficile</w:t>
      </w:r>
      <w:r>
        <w:t xml:space="preserve"> </w:t>
      </w:r>
      <w:r>
        <w:t xml:space="preserve">during infection. One example could be the appearance of CO</w:t>
      </w:r>
      <w:r>
        <w:rPr>
          <w:vertAlign w:val="subscript"/>
        </w:rPr>
        <w:t xml:space="preserve">2</w:t>
      </w:r>
      <w:r>
        <w:t xml:space="preserve">, an apparent metabolic end product, in the list of shared important metabolites.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(44)</w:t>
      </w:r>
      <w:r>
        <w:t xml:space="preserve">. This may highlight that our method not only identify growth substrates, but also reports metabolites that are being removed from the environment. Although our modeling results are consistent with previously published work on the metabolism of</w:t>
      </w:r>
      <w:r>
        <w:t xml:space="preserve"> </w:t>
      </w:r>
      <w:r>
        <w:rPr>
          <w:i/>
        </w:rPr>
        <w:t xml:space="preserve">C. difficile</w:t>
      </w:r>
      <w:r>
        <w:t xml:space="preserve">, there are potential limitations of this approach. Ultimately, the metabolite importance calculation is dependent on correct and existing gene annotation. In this regard it has been shown that the pathway annotations in KEGG are robust to missing elements</w:t>
      </w:r>
      <w:r>
        <w:t xml:space="preserve"> </w:t>
      </w:r>
      <w:r>
        <w:t xml:space="preserve">(45)</w:t>
      </w:r>
      <w:r>
        <w:t xml:space="preserve">, however this does not completely eliminate the possibility for this type of error. Due to the topology of the metabolic network, we were also unable to integrate stoichiometry for each reaction which may effect rates of consumption or production. In spite of these assumptions, the method outlined here underscores known elements of</w:t>
      </w:r>
      <w:r>
        <w:t xml:space="preserve"> </w:t>
      </w:r>
      <w:r>
        <w:rPr>
          <w:i/>
        </w:rPr>
        <w:t xml:space="preserve">C. difficile</w:t>
      </w:r>
      <w:r>
        <w:t xml:space="preserve"> </w:t>
      </w:r>
      <w:r>
        <w:t xml:space="preserve">biology and our subsequent</w:t>
      </w:r>
      <w:r>
        <w:t xml:space="preserve"> </w:t>
      </w:r>
      <w:r>
        <w:rPr>
          <w:i/>
        </w:rPr>
        <w:t xml:space="preserve">in vivo</w:t>
      </w:r>
      <w:r>
        <w:t xml:space="preserve"> </w:t>
      </w:r>
      <w:r>
        <w:t xml:space="preserve">metabolomic analysis supported predictions of nutrient niche plasticity.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metabolism during infection in the context of a complex community of bacteria. In conclusion,</w:t>
      </w:r>
      <w:r>
        <w:t xml:space="preserve"> </w:t>
      </w:r>
      <w:r>
        <w:rPr>
          <w:i/>
        </w:rPr>
        <w:t xml:space="preserve">C. difficile</w:t>
      </w:r>
      <w:r>
        <w:t xml:space="preserve"> </w:t>
      </w:r>
      <w:r>
        <w:t xml:space="preserve">was able to optimize its nutritional strategy for separate carbohydrates in each colonized gut environment. We also found that Stickland fermentation substrates and host-derived glycans were conserved elements of</w:t>
      </w:r>
      <w:r>
        <w:t xml:space="preserve"> </w:t>
      </w:r>
      <w:r>
        <w:rPr>
          <w:i/>
        </w:rPr>
        <w:t xml:space="preserve">C. difficile</w:t>
      </w:r>
      <w:r>
        <w:t xml:space="preserve">'s nutrient niche across distinct gut communities. Our results implicate that further considerations are needed for the design or targeted prebiotic and probiotic therapies to prevent or eliminate of</w:t>
      </w:r>
      <w:r>
        <w:t xml:space="preserve"> </w:t>
      </w:r>
      <w:r>
        <w:rPr>
          <w:i/>
        </w:rPr>
        <w:t xml:space="preserve">C. difficile</w:t>
      </w:r>
      <w:r>
        <w:t xml:space="preserve"> </w:t>
      </w:r>
      <w:r>
        <w:t xml:space="preserve">from a colonized gut.</w:t>
      </w:r>
    </w:p>
    <w:p>
      <w:pPr>
        <w:pStyle w:val="Heading3"/>
      </w:pPr>
      <w:bookmarkStart w:id="26" w:name="materials-and-methods"/>
      <w:bookmarkEnd w:id="26"/>
      <w:r>
        <w:t xml:space="preserve">Materials and 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(46)</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 C for 24 hours under anaerobic conditions</w:t>
      </w:r>
      <w:r>
        <w:t xml:space="preserve"> </w:t>
      </w:r>
      <w:r>
        <w:t xml:space="preserve">(47)</w:t>
      </w:r>
      <w:r>
        <w:t xml:space="preserve">. It is important to note that the germination agent taurocholate was omitted from these plates to quantify only vegetative cells. In parallel, undiluted samples were heated at 60° C for 30 minutes to eliminate vegetative cells and leave only spores</w:t>
      </w:r>
      <w:r>
        <w:t xml:space="preserve"> </w:t>
      </w:r>
      <w:r>
        <w:t xml:space="preserve">(48)</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t xml:space="preserve"> </w:t>
      </w:r>
      <w:r>
        <w:t xml:space="preserve">(49)</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7">
        <w:r>
          <w:rPr>
            <w:rStyle w:val="Hyperlink"/>
          </w:rPr>
          <w:t xml:space="preserve">https://github.com/jlleslie/Intraspecific_Competition/blob/master/methods/Verocell_ToxinActivity_Assay.Rmd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(50)</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(50)</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(51)</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(52)</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for 30 cycles (Kozich, 2013). Quality and integrity of RNA was measured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t xml:space="preserve"> </w:t>
      </w:r>
      <w:r>
        <w:t xml:space="preserve">(53)</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t xml:space="preserve"> </w:t>
      </w:r>
      <w:r>
        <w:t xml:space="preserve">(54)</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(55)</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(56)</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w:t>
      </w:r>
      <w:r>
        <w:t xml:space="preserve">(57)</w:t>
      </w:r>
      <w:r>
        <w:t xml:space="preser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contents were flash frozen in liquid nitrogen at the time of necropsy and subjected to short chain fatty acid quantification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(6)</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the limit of detection for all statistical calculations. Significant differences for growth curves compared to no carbohydrate control (+ amino acids) were calculated using 2-way ANOVA with Benjamini-Hochberg correction. Significance for metabolite importance scores was determined as described above via comparison to Monte-Carlo simulations. Outlier metabolites in linear correlation analysis were identified with a 1.5 minimum cutoff for squared Studentized residual analysis of each individual generalized linear model.</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http://www.github.com/SchlossLab/Jenior_Modeling_mBio_2016</w:t>
        </w:r>
      </w:hyperlink>
      <w:r>
        <w:t xml:space="preserve">.</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infection models.</w:t>
      </w:r>
    </w:p>
    <w:p>
      <w:pPr>
        <w:pStyle w:val="BodyText"/>
      </w:pPr>
      <w:r>
        <w:rPr>
          <w:b/>
        </w:rPr>
        <w:t xml:space="preserve">Figure 1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t xml:space="preserve">Nine mice were included in each treatment group.</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w:t>
      </w:r>
      <w:r>
        <w:t xml:space="preserve"> </w:t>
      </w:r>
      <w:r>
        <w:rPr>
          <w:b/>
        </w:rPr>
        <w:t xml:space="preserve">(C)</w:t>
      </w:r>
      <w:r>
        <w:t xml:space="preserve"> </w:t>
      </w:r>
      <w:r>
        <w:t xml:space="preserve">Toxin titer from cecal content measured by activity in Vero cell rounding assay. Ex-GF mice displayed significantly more spore c.f.u. and toxin activity than all other groups (all</w:t>
      </w:r>
      <w:r>
        <w:t xml:space="preserve"> </w:t>
      </w:r>
      <w:r>
        <w:rPr>
          <w:i/>
        </w:rPr>
        <w:t xml:space="preserve">P</w:t>
      </w:r>
      <w:r>
        <w:t xml:space="preserve"> </w:t>
      </w:r>
      <w:r>
        <w:t xml:space="preserve">&lt; 0.008). Untreated mice in A, B, &amp; C had no detectable</w:t>
      </w:r>
      <w:r>
        <w:t xml:space="preserve"> </w:t>
      </w:r>
      <w:r>
        <w:rPr>
          <w:i/>
        </w:rPr>
        <w:t xml:space="preserve">C. difficile</w:t>
      </w:r>
      <w:r>
        <w:t xml:space="preserve"> </w:t>
      </w:r>
      <w:r>
        <w:t xml:space="preserve">or toxin activity (all</w:t>
      </w:r>
      <w:r>
        <w:t xml:space="preserve"> </w:t>
      </w:r>
      <w:r>
        <w:rPr>
          <w:i/>
        </w:rPr>
        <w:t xml:space="preserve">P</w:t>
      </w:r>
      <w:r>
        <w:t xml:space="preserve"> </w:t>
      </w:r>
      <w:r>
        <w:t xml:space="preserve">&lt; 0.01). Dotted lines denote limits of detection (LOD), with undetectable points shown just below for clarity. Values for undetectable points were imputed as the LOD for calculation of significant differences which were identified by Wilcoxon signed-rank test with the Benjamini-Hochberg correction.</w:t>
      </w:r>
    </w:p>
    <w:p>
      <w:pPr>
        <w:pStyle w:val="BodyText"/>
      </w:pPr>
      <w:r>
        <w:rPr>
          <w:b/>
        </w:rPr>
        <w:t xml:space="preserve">Figure 2 | Ratios of</w:t>
      </w:r>
      <w:r>
        <w:rPr>
          <w:b/>
        </w:rPr>
        <w:t xml:space="preserve"> </w:t>
      </w:r>
      <w:r>
        <w:rPr>
          <w:i/>
          <w:b/>
        </w:rPr>
        <w:t xml:space="preserve">in vivo</w:t>
      </w:r>
      <w:r>
        <w:rPr>
          <w:b/>
        </w:rPr>
        <w:t xml:space="preserve"> </w:t>
      </w:r>
      <w:r>
        <w:rPr>
          <w:b/>
        </w:rPr>
        <w:t xml:space="preserve">expression for specfic</w:t>
      </w:r>
      <w:r>
        <w:rPr>
          <w:b/>
        </w:rPr>
        <w:t xml:space="preserve"> </w:t>
      </w:r>
      <w:r>
        <w:rPr>
          <w:i/>
          <w:b/>
        </w:rPr>
        <w:t xml:space="preserve">C. difficile</w:t>
      </w:r>
      <w:r>
        <w:rPr>
          <w:b/>
        </w:rPr>
        <w:t xml:space="preserve"> </w:t>
      </w:r>
      <w:r>
        <w:rPr>
          <w:b/>
        </w:rPr>
        <w:t xml:space="preserve">metabolic pathways across antibiotic-pretreated mice.</w:t>
      </w:r>
      <w:r>
        <w:t xml:space="preserve"> </w:t>
      </w:r>
      <w:r>
        <w:t xml:space="preserve">Each point in the ternary plot represents a unique gene from the annotated genome of</w:t>
      </w:r>
      <w:r>
        <w:t xml:space="preserve"> </w:t>
      </w:r>
      <w:r>
        <w:rPr>
          <w:i/>
        </w:rPr>
        <w:t xml:space="preserve">C. difficile</w:t>
      </w:r>
      <w:r>
        <w:t xml:space="preserve"> </w:t>
      </w:r>
      <w:r>
        <w:t xml:space="preserve">str. 630. Position reflects the ratio of median rarefied transcript abundance for that gene between the three colonized antibiotic pretreatment models. Genes from specific metabolic pathways of interest are highlighted with all other genes not included in these groups in gray.</w:t>
      </w:r>
      <w:r>
        <w:t xml:space="preserve"> </w:t>
      </w:r>
      <w:r>
        <w:rPr>
          <w:b/>
        </w:rPr>
        <w:t xml:space="preserve">(A)</w:t>
      </w:r>
      <w:r>
        <w:t xml:space="preserve"> </w:t>
      </w:r>
      <w:r>
        <w:t xml:space="preserve">Size of highlighted points represents the largest transcript abundance among the antibiotic pretreatments for each individual gene. Metabolic categories are also plotted separately in</w:t>
      </w:r>
      <w:r>
        <w:t xml:space="preserve"> </w:t>
      </w:r>
      <w:r>
        <w:rPr>
          <w:b/>
        </w:rPr>
        <w:t xml:space="preserve">(B-I)</w:t>
      </w:r>
      <w:r>
        <w:t xml:space="preserve">. Genes, annotations, and normalized transcript abundances can be found in Table S1. Refer to Fig. S4 for additional explanation of figure interpretation.</w:t>
      </w:r>
    </w:p>
    <w:p>
      <w:pPr>
        <w:pStyle w:val="BodyText"/>
      </w:pPr>
      <w:r>
        <w:rPr>
          <w:b/>
        </w:rPr>
        <w:t xml:space="preserve">Figure 3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importance score for</w:t>
      </w:r>
      <w:r>
        <w:t xml:space="preserve"> </w:t>
      </w:r>
      <w:r>
        <w:rPr>
          <w:b/>
        </w:rPr>
        <w:t xml:space="preserve">m</w:t>
      </w:r>
      <w:r>
        <w:t xml:space="preserve">.</w:t>
      </w:r>
    </w:p>
    <w:p>
      <w:pPr>
        <w:pStyle w:val="BodyText"/>
      </w:pPr>
      <w:r>
        <w:rPr>
          <w:b/>
        </w:rPr>
        <w:t xml:space="preserve">Figure 4 | Results from network-based metabolite importance calculation and</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with important carbon sources.</w:t>
      </w:r>
      <w:r>
        <w:t xml:space="preserve"> </w:t>
      </w:r>
      <w:r>
        <w:t xml:space="preserve">Important metabolites included in this analysis were calculated at &lt;5% probability to be a result of their associated random score distribution.</w:t>
      </w:r>
      <w:r>
        <w:t xml:space="preserve"> </w:t>
      </w:r>
      <w:r>
        <w:rPr>
          <w:b/>
        </w:rPr>
        <w:t xml:space="preserve">(A)</w:t>
      </w:r>
      <w:r>
        <w:t xml:space="preserve"> </w:t>
      </w:r>
      <w:r>
        <w:t xml:space="preserve">Median shared metabolites among the 50 highest scoring metabolites from each condition.</w:t>
      </w:r>
      <w:r>
        <w:t xml:space="preserve"> </w:t>
      </w:r>
      <w:r>
        <w:rPr>
          <w:b/>
        </w:rPr>
        <w:t xml:space="preserve">(B)</w:t>
      </w:r>
      <w:r>
        <w:t xml:space="preserve"> </w:t>
      </w:r>
      <w:r>
        <w:t xml:space="preserve">Distinctly important metabolites from each treatment group.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t xml:space="preserve">18 hour</w:t>
      </w:r>
      <w:r>
        <w:t xml:space="preserve"> </w:t>
      </w:r>
      <w:r>
        <w:rPr>
          <w:i/>
        </w:rPr>
        <w:t xml:space="preserve">C. difficile</w:t>
      </w:r>
      <w:r>
        <w:t xml:space="preserve"> </w:t>
      </w:r>
      <w:r>
        <w:t xml:space="preserve">str. 630</w:t>
      </w:r>
      <w:r>
        <w:t xml:space="preserve"> </w:t>
      </w:r>
      <w:r>
        <w:rPr>
          <w:i/>
        </w:rPr>
        <w:t xml:space="preserve">in vitro</w:t>
      </w:r>
      <w:r>
        <w:t xml:space="preserve"> </w:t>
      </w:r>
      <w:r>
        <w:t xml:space="preserve">growth curves validating identified growth nutrients from network analysis. All statistical comparison was performed in comparison to no carbohydrate control (</w:t>
      </w:r>
      <w:r>
        <w:rPr>
          <w:i/>
        </w:rPr>
        <w:t xml:space="preserve">P</w:t>
      </w:r>
      <w:r>
        <w:t xml:space="preserve"> </w:t>
      </w:r>
      <w:r>
        <w:t xml:space="preserve">&lt; 0.001). Significant differences between growth curves were calculated using 2-Way ANOVA with Benjamini-Hochberg correction.</w:t>
      </w:r>
    </w:p>
    <w:p>
      <w:pPr>
        <w:pStyle w:val="BodyText"/>
      </w:pPr>
      <w:r>
        <w:rPr>
          <w:b/>
        </w:rPr>
        <w:t xml:space="preserve">Figure 5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select metabolites indicated as important by metabolic modeling.</w:t>
      </w:r>
      <w:r>
        <w:t xml:space="preserve"> </w:t>
      </w:r>
      <w:r>
        <w:t xml:space="preserve">Comparison of relative concentrations of select metabolites from untargeted UPLC-MS analysis of</w:t>
      </w:r>
      <w:r>
        <w:t xml:space="preserve"> </w:t>
      </w:r>
      <w:r>
        <w:rPr>
          <w:i/>
        </w:rPr>
        <w:t xml:space="preserve">C. difficile</w:t>
      </w:r>
      <w:r>
        <w:t xml:space="preserve"> </w:t>
      </w:r>
      <w:r>
        <w:t xml:space="preserve">vs mock-infected mouse cecal content (n = 9 per group).</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Proline,</w:t>
      </w:r>
      <w:r>
        <w:t xml:space="preserve"> </w:t>
      </w:r>
      <w:r>
        <w:rPr>
          <w:b/>
        </w:rPr>
        <w:t xml:space="preserve">(C)</w:t>
      </w:r>
      <w:r>
        <w:t xml:space="preserve"> </w:t>
      </w:r>
      <w:r>
        <w:t xml:space="preserve">Galactitol,</w:t>
      </w:r>
      <w:r>
        <w:t xml:space="preserve"> </w:t>
      </w:r>
      <w:r>
        <w:rPr>
          <w:b/>
        </w:rPr>
        <w:t xml:space="preserve">(D)</w:t>
      </w:r>
      <w:r>
        <w:t xml:space="preserve"> </w:t>
      </w:r>
      <w:r>
        <w:t xml:space="preserve">Mannitol / Sorbitol,</w:t>
      </w:r>
      <w:r>
        <w:t xml:space="preserve"> </w:t>
      </w:r>
      <w:r>
        <w:rPr>
          <w:b/>
        </w:rPr>
        <w:t xml:space="preserve">(E)</w:t>
      </w:r>
      <w:r>
        <w:t xml:space="preserve"> </w:t>
      </w:r>
      <w:r>
        <w:t xml:space="preserve">Salicylate, and</w:t>
      </w:r>
      <w:r>
        <w:t xml:space="preserve"> </w:t>
      </w:r>
      <w:r>
        <w:rPr>
          <w:b/>
        </w:rPr>
        <w:t xml:space="preserve">(F)</w:t>
      </w:r>
      <w:r>
        <w:t xml:space="preserve"> </w:t>
      </w:r>
      <w:r>
        <w:t xml:space="preserve">N−acetylneuraminate. Paired metabolites were quantified simultaneously as the only differ by chirality making differentiation impossible. Significant differences (</w:t>
      </w:r>
      <w:r>
        <w:rPr>
          <w:i/>
        </w:rPr>
        <w:t xml:space="preserve">P</w:t>
      </w:r>
      <w:r>
        <w:t xml:space="preserve"> </w:t>
      </w:r>
      <w:r>
        <w:t xml:space="preserve">&lt; 0.05) were determined using Wilcoxon signed-rank test with Benjamini-Hochberg correction when appropriate.</w:t>
      </w:r>
    </w:p>
    <w:p>
      <w:pPr>
        <w:pStyle w:val="BodyText"/>
      </w:pPr>
      <w:r>
        <w:rPr>
          <w:b/>
        </w:rPr>
        <w:t xml:space="preserve">Figure 6 | Correlation of change in metabolite concentration following</w:t>
      </w:r>
      <w:r>
        <w:rPr>
          <w:b/>
        </w:rPr>
        <w:t xml:space="preserve"> </w:t>
      </w:r>
      <w:r>
        <w:rPr>
          <w:i/>
          <w:b/>
        </w:rPr>
        <w:t xml:space="preserve">C. difficile</w:t>
      </w:r>
      <w:r>
        <w:rPr>
          <w:b/>
        </w:rPr>
        <w:t xml:space="preserve"> </w:t>
      </w:r>
      <w:r>
        <w:rPr>
          <w:b/>
        </w:rPr>
        <w:t xml:space="preserve">colonization with importance scores derived from transcript-informed metabolic modeling.</w:t>
      </w:r>
      <w:r>
        <w:t xml:space="preserve"> </w:t>
      </w:r>
      <w:r>
        <w:t xml:space="preserve">Spearman correlations for general linear models of change in metabolome due to</w:t>
      </w:r>
      <w:r>
        <w:t xml:space="preserve"> </w:t>
      </w:r>
      <w:r>
        <w:rPr>
          <w:i/>
        </w:rPr>
        <w:t xml:space="preserve">C. difficile</w:t>
      </w:r>
      <w:r>
        <w:t xml:space="preserve"> </w:t>
      </w:r>
      <w:r>
        <w:t xml:space="preserve">infection (n = 9 per group) and importance scores from metabolic modeling for each metabolite. Outlier metabolites are labeled for each correlation.</w:t>
      </w:r>
      <w:r>
        <w:t xml:space="preserve"> </w:t>
      </w:r>
      <w:r>
        <w:rPr>
          <w:b/>
        </w:rPr>
        <w:t xml:space="preserve">(A)</w:t>
      </w:r>
      <w:r>
        <w:t xml:space="preserve"> </w:t>
      </w:r>
      <w:r>
        <w:t xml:space="preserve">Results from all treatment groups pooled for single analysis (</w:t>
      </w:r>
      <w:r>
        <w:rPr>
          <w:i/>
        </w:rPr>
        <w:t xml:space="preserve">P</w:t>
      </w:r>
      <w:r>
        <w:t xml:space="preserve"> </w:t>
      </w:r>
      <w:r>
        <w:t xml:space="preserve">= 0.004). Correlations and outliers were calculated separately for each condition:</w:t>
      </w:r>
      <w:r>
        <w:t xml:space="preserve"> </w:t>
      </w:r>
      <w:r>
        <w:rPr>
          <w:b/>
        </w:rPr>
        <w:t xml:space="preserve">(B)</w:t>
      </w:r>
      <w:r>
        <w:t xml:space="preserve"> </w:t>
      </w:r>
      <w:r>
        <w:t xml:space="preserve">Streptomycin-pretreatment (</w:t>
      </w:r>
      <w:r>
        <w:rPr>
          <w:i/>
        </w:rPr>
        <w:t xml:space="preserve">P</w:t>
      </w:r>
      <w:r>
        <w:t xml:space="preserve"> </w:t>
      </w:r>
      <w:r>
        <w:t xml:space="preserve">= 0.272),</w:t>
      </w:r>
      <w:r>
        <w:t xml:space="preserve"> </w:t>
      </w:r>
      <w:r>
        <w:rPr>
          <w:b/>
        </w:rPr>
        <w:t xml:space="preserve">(C)</w:t>
      </w:r>
      <w:r>
        <w:t xml:space="preserve"> </w:t>
      </w:r>
      <w:r>
        <w:t xml:space="preserve">Cefoperazone-pretreatment (</w:t>
      </w:r>
      <w:r>
        <w:rPr>
          <w:i/>
        </w:rPr>
        <w:t xml:space="preserve">P</w:t>
      </w:r>
      <w:r>
        <w:t xml:space="preserve"> </w:t>
      </w:r>
      <w:r>
        <w:t xml:space="preserve">= 0.893),</w:t>
      </w:r>
      <w:r>
        <w:t xml:space="preserve"> </w:t>
      </w:r>
      <w:r>
        <w:rPr>
          <w:b/>
        </w:rPr>
        <w:t xml:space="preserve">(D)</w:t>
      </w:r>
      <w:r>
        <w:t xml:space="preserve"> </w:t>
      </w:r>
      <w:r>
        <w:t xml:space="preserve">Clindamycin-pretreatment (</w:t>
      </w:r>
      <w:r>
        <w:rPr>
          <w:i/>
        </w:rPr>
        <w:t xml:space="preserve">P</w:t>
      </w:r>
      <w:r>
        <w:t xml:space="preserve"> </w:t>
      </w:r>
      <w:r>
        <w:t xml:space="preserve">= 0.008),</w:t>
      </w:r>
      <w:r>
        <w:t xml:space="preserve"> </w:t>
      </w:r>
      <w:r>
        <w:rPr>
          <w:b/>
        </w:rPr>
        <w:t xml:space="preserve">(E)</w:t>
      </w:r>
      <w:r>
        <w:t xml:space="preserve"> </w:t>
      </w:r>
      <w:r>
        <w:t xml:space="preserve">and ex-GF mice (</w:t>
      </w:r>
      <w:r>
        <w:rPr>
          <w:i/>
        </w:rPr>
        <w:t xml:space="preserve">P</w:t>
      </w:r>
      <w:r>
        <w:t xml:space="preserve"> </w:t>
      </w:r>
      <w:r>
        <w:t xml:space="preserve">= 0.003). Outlier metabolites were idenified using Studentized-least squared residual analysis using a cutoff of &gt;1.5.</w:t>
      </w:r>
    </w:p>
    <w:p>
      <w:pPr>
        <w:pStyle w:val="BodyText"/>
      </w:pPr>
      <w:r>
        <w:rPr>
          <w:b/>
        </w:rPr>
        <w:t xml:space="preserve">Supplementary 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SPF mice used in these experiments (n = 63). All treatment groups are significantly different from each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antibiotic-treated condition by Wilcoxon signed-rank test (</w:t>
      </w:r>
      <w:r>
        <w:rPr>
          <w:i/>
        </w:rPr>
        <w:t xml:space="preserve">P</w:t>
      </w:r>
      <w:r>
        <w:t xml:space="preserve"> </w:t>
      </w:r>
      <w:r>
        <w:t xml:space="preserve">&lt; 0.001).</w:t>
      </w:r>
      <w:r>
        <w:t xml:space="preserve"> </w:t>
      </w:r>
      <w:r>
        <w:rPr>
          <w:b/>
        </w:rPr>
        <w:t xml:space="preserve">(C)</w:t>
      </w:r>
      <w:r>
        <w:t xml:space="preserve"> </w:t>
      </w:r>
      <w:r>
        <w:t xml:space="preserve">Representation of reads contributed by</w:t>
      </w:r>
      <w:r>
        <w:t xml:space="preserve"> </w:t>
      </w:r>
      <w:r>
        <w:rPr>
          <w:i/>
        </w:rPr>
        <w:t xml:space="preserve">C. difficile</w:t>
      </w:r>
      <w:r>
        <w:t xml:space="preserve"> </w:t>
      </w:r>
      <w:r>
        <w:t xml:space="preserve">in each sequenced condition. Shown in each group is the quantity of normalized reads contributed by either</w:t>
      </w:r>
      <w:r>
        <w:t xml:space="preserve"> </w:t>
      </w:r>
      <w:r>
        <w:rPr>
          <w:i/>
        </w:rPr>
        <w:t xml:space="preserve">C. difficile</w:t>
      </w:r>
      <w:r>
        <w:t xml:space="preserve"> </w:t>
      </w:r>
      <w:r>
        <w:t xml:space="preserve">or all other reads within that sequencing effort. The percents listed at the top of each group is the proportion of the total community composed of</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determined by Wilcoxon signed-rank test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Additional explanation for Figure 2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to demonstrate consistent measurements in multiple levels of data (n = 9 per group).</w:t>
      </w:r>
      <w:r>
        <w:t xml:space="preserve"> </w:t>
      </w:r>
      <w:r>
        <w:rPr>
          <w:b/>
        </w:rPr>
        <w:t xml:space="preserve">(A)</w:t>
      </w:r>
      <w:r>
        <w:t xml:space="preserve"> </w:t>
      </w:r>
      <w:r>
        <w:t xml:space="preserve">OTU abundances from 16S rRNA gene sequencing, sample variances for each OTU were calculated individually prior to summary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summary statistic calculations. In both groups of calculations all median sample variances are &gt;1, indicating extremely low levels of variability between samples of the same type.</w:t>
      </w:r>
    </w:p>
    <w:p>
      <w:pPr>
        <w:pStyle w:val="BodyText"/>
      </w:pPr>
      <w:r>
        <w:rPr>
          <w:b/>
        </w:rPr>
        <w:t xml:space="preserve">Supplementary Figure 6 | Relative</w:t>
      </w:r>
      <w:r>
        <w:rPr>
          <w:b/>
        </w:rPr>
        <w:t xml:space="preserve"> </w:t>
      </w:r>
      <w:r>
        <w:rPr>
          <w:i/>
          <w:b/>
        </w:rPr>
        <w:t xml:space="preserve">in vivo</w:t>
      </w:r>
      <w:r>
        <w:rPr>
          <w:b/>
        </w:rPr>
        <w:t xml:space="preserve"> </w:t>
      </w:r>
      <w:r>
        <w:rPr>
          <w:b/>
        </w:rPr>
        <w:t xml:space="preserve">concentrations of metabolites highlighted through network-based analysis in uninfected mice</w:t>
      </w:r>
      <w:r>
        <w:t xml:space="preserve"> </w:t>
      </w:r>
      <w:r>
        <w:t xml:space="preserve">Select metabolite concentrations using untargeted UPLC-MS quantification from cecal content of</w:t>
      </w:r>
      <w:r>
        <w:t xml:space="preserve"> </w:t>
      </w:r>
      <w:r>
        <w:rPr>
          <w:i/>
        </w:rPr>
        <w:t xml:space="preserve">C. difficile</w:t>
      </w:r>
      <w:r>
        <w:t xml:space="preserve"> </w:t>
      </w:r>
      <w:r>
        <w:t xml:space="preserve">susceptible mice compared to resistant controls. Samples were collected at the same 18 hour timepoint as the analyses performed in infection experiments (n = 9 mice per group). Highlighted carbohydrates included:</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N−Acetylneuraminate,</w:t>
      </w:r>
      <w:r>
        <w:t xml:space="preserve"> </w:t>
      </w:r>
      <w:r>
        <w:rPr>
          <w:b/>
        </w:rPr>
        <w:t xml:space="preserve">(C)</w:t>
      </w:r>
      <w:r>
        <w:t xml:space="preserve"> </w:t>
      </w:r>
      <w:r>
        <w:t xml:space="preserve">Proline,</w:t>
      </w:r>
      <w:r>
        <w:t xml:space="preserve"> </w:t>
      </w:r>
      <w:r>
        <w:rPr>
          <w:b/>
        </w:rPr>
        <w:t xml:space="preserve">(D)</w:t>
      </w:r>
      <w:r>
        <w:t xml:space="preserve"> </w:t>
      </w:r>
      <w:r>
        <w:t xml:space="preserve">Glycine,</w:t>
      </w:r>
      <w:r>
        <w:t xml:space="preserve"> </w:t>
      </w:r>
      <w:r>
        <w:rPr>
          <w:b/>
        </w:rPr>
        <w:t xml:space="preserve">(E)</w:t>
      </w:r>
      <w:r>
        <w:t xml:space="preserve"> </w:t>
      </w:r>
      <w:r>
        <w:t xml:space="preserve">Salicylate,</w:t>
      </w:r>
      <w:r>
        <w:t xml:space="preserve"> </w:t>
      </w:r>
      <w:r>
        <w:rPr>
          <w:b/>
        </w:rPr>
        <w:t xml:space="preserve">(F)</w:t>
      </w:r>
      <w:r>
        <w:t xml:space="preserve"> </w:t>
      </w:r>
      <w:r>
        <w:t xml:space="preserve">Mannitol / Sorbitol, and</w:t>
      </w:r>
      <w:r>
        <w:t xml:space="preserve"> </w:t>
      </w:r>
      <w:r>
        <w:rPr>
          <w:b/>
        </w:rPr>
        <w:t xml:space="preserve">(G)</w:t>
      </w:r>
      <w:r>
        <w:t xml:space="preserve"> </w:t>
      </w:r>
      <w:r>
        <w:t xml:space="preserve">Galactitol. Significant differences (</w:t>
      </w:r>
      <w:r>
        <w:rPr>
          <w:i/>
        </w:rPr>
        <w:t xml:space="preserve">P</w:t>
      </w:r>
      <w:r>
        <w:t xml:space="preserve"> </w:t>
      </w:r>
      <w:r>
        <w:t xml:space="preserve">&lt; 0.05) were determined using Wilcoxon signed-rank test with Benjamini-Hochberg correction.</w:t>
      </w:r>
    </w:p>
    <w:p>
      <w:pPr>
        <w:pStyle w:val="BodyText"/>
      </w:pPr>
      <w:r>
        <w:rPr>
          <w:b/>
        </w:rPr>
        <w:t xml:space="preserve">Supplementary Figure 7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additional select metabolites.</w:t>
      </w:r>
      <w:r>
        <w:t xml:space="preserve"> </w:t>
      </w:r>
      <w:r>
        <w:t xml:space="preserve">Comparison of concentrations for select metabolites from</w:t>
      </w:r>
      <w:r>
        <w:t xml:space="preserve"> </w:t>
      </w:r>
      <w:r>
        <w:rPr>
          <w:i/>
        </w:rPr>
        <w:t xml:space="preserve">C. difficile</w:t>
      </w:r>
      <w:r>
        <w:t xml:space="preserve">-infected to mock-infected mouse cecal content 18 hours post-infection.</w:t>
      </w:r>
      <w:r>
        <w:t xml:space="preserve"> </w:t>
      </w:r>
      <w:r>
        <w:rPr>
          <w:b/>
        </w:rPr>
        <w:t xml:space="preserve">(A)</w:t>
      </w:r>
      <w:r>
        <w:t xml:space="preserve"> </w:t>
      </w:r>
      <w:r>
        <w:t xml:space="preserve">Glycine and</w:t>
      </w:r>
      <w:r>
        <w:t xml:space="preserve"> </w:t>
      </w:r>
      <w:r>
        <w:rPr>
          <w:b/>
        </w:rPr>
        <w:t xml:space="preserve">(B)</w:t>
      </w:r>
      <w:r>
        <w:t xml:space="preserve"> </w:t>
      </w:r>
      <w:r>
        <w:t xml:space="preserve">Trans-4-hydroxyproline were both quantified by untargeted UPLC-MS analysis.</w:t>
      </w:r>
      <w:r>
        <w:t xml:space="preserve"> </w:t>
      </w:r>
      <w:r>
        <w:rPr>
          <w:b/>
        </w:rPr>
        <w:t xml:space="preserve">(C)</w:t>
      </w:r>
      <w:r>
        <w:t xml:space="preserve"> </w:t>
      </w:r>
      <w:r>
        <w:t xml:space="preserve">Acetate concentrations were measured using GC-MS. Significant differences (</w:t>
      </w:r>
      <w:r>
        <w:rPr>
          <w:i/>
        </w:rPr>
        <w:t xml:space="preserve">P</w:t>
      </w:r>
      <w:r>
        <w:t xml:space="preserve"> </w:t>
      </w:r>
      <w:r>
        <w:t xml:space="preserve">&lt; 0.05) were determined using Wilcoxon signed-rank test with Benjamini-Hochberg correction.</w:t>
      </w:r>
    </w:p>
    <w:p>
      <w:pPr>
        <w:pStyle w:val="BodyText"/>
      </w:pPr>
      <w:r>
        <w:rPr>
          <w:b/>
        </w:rPr>
        <w:t xml:space="preserve">Supplementary Table 1 | Sets of genes included in Figure 2 with normalized abundances and annotations.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importantance scores in each colonized condition.</w:t>
      </w:r>
    </w:p>
    <w:p>
      <w:pPr>
        <w:pStyle w:val="BodyText"/>
      </w:pPr>
      <w:r>
        <w:rPr>
          <w:b/>
        </w:rPr>
        <w:t xml:space="preserve">Supplementary Table 4 | Growth curve analysis for each tested carbon source.</w:t>
      </w:r>
    </w:p>
    <w:p>
      <w:pPr>
        <w:pStyle w:val="BodyText"/>
      </w:pPr>
      <w:r>
        <w:rPr>
          <w:b/>
        </w:rPr>
        <w:t xml:space="preserve">Supplementary Table 5 | Outliers from generalized linear models of combined metabolome and metabolic network output analysis.</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Britton, R. A.</w:t>
      </w:r>
      <w:r>
        <w:t xml:space="preserve">, and</w:t>
      </w:r>
      <w:r>
        <w:t xml:space="preserve"> </w:t>
      </w:r>
      <w:r>
        <w:rPr>
          <w:b/>
        </w:rPr>
        <w:t xml:space="preserve">V. B. Young</w:t>
      </w:r>
      <w:r>
        <w:t xml:space="preserve">. 2014. Role of the intestinal microbiota in resistance to colonization by Clostridium difficile. Gastroenterology</w:t>
      </w:r>
      <w:r>
        <w:t xml:space="preserve"> </w:t>
      </w:r>
      <w:r>
        <w:rPr>
          <w:b/>
        </w:rPr>
        <w:t xml:space="preserve">146</w:t>
      </w:r>
      <w:r>
        <w:t xml:space="preserve">:1547–1553.</w:t>
      </w:r>
    </w:p>
    <w:p>
      <w:pPr>
        <w:pStyle w:val="Bibliography"/>
      </w:pPr>
      <w:r>
        <w:t xml:space="preserve">5.</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6.</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w:t>
      </w:r>
    </w:p>
    <w:p>
      <w:pPr>
        <w:pStyle w:val="Bibliography"/>
      </w:pPr>
      <w:r>
        <w:t xml:space="preserve">7.</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8.</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9.</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10.</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11.</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12.</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13.</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14.</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U.S. Patent 3.</w:t>
      </w:r>
    </w:p>
    <w:p>
      <w:pPr>
        <w:pStyle w:val="Bibliography"/>
      </w:pPr>
      <w:r>
        <w:t xml:space="preserve">15.</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U.S. Patent 1.</w:t>
      </w:r>
    </w:p>
    <w:p>
      <w:pPr>
        <w:pStyle w:val="Bibliography"/>
      </w:pPr>
      <w:r>
        <w:t xml:space="preserve">16.</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17.</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18.</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19.</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20.</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21.</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22.</w:t>
      </w:r>
      <w:r>
        <w:t xml:space="preserve"> </w:t>
      </w:r>
      <w:r>
        <w:rPr>
          <w:b/>
        </w:rPr>
        <w:t xml:space="preserve">Patil, K. R.</w:t>
      </w:r>
      <w:r>
        <w:t xml:space="preserve">, and</w:t>
      </w:r>
      <w:r>
        <w:t xml:space="preserve"> </w:t>
      </w:r>
      <w:r>
        <w:rPr>
          <w:b/>
        </w:rPr>
        <w:t xml:space="preserve">J. Nielsen</w:t>
      </w:r>
      <w:r>
        <w:t xml:space="preserve">. 2005. Uncovering transcriptional regulation of metabolism by using metabolic network topology. Proceedings of the National Academy of Sciences of the United States of America</w:t>
      </w:r>
      <w:r>
        <w:t xml:space="preserve"> </w:t>
      </w:r>
      <w:r>
        <w:rPr>
          <w:b/>
        </w:rPr>
        <w:t xml:space="preserve">102</w:t>
      </w:r>
      <w:r>
        <w:t xml:space="preserve">:2685–9.</w:t>
      </w:r>
    </w:p>
    <w:p>
      <w:pPr>
        <w:pStyle w:val="Bibliography"/>
      </w:pPr>
      <w:r>
        <w:t xml:space="preserve">23.</w:t>
      </w:r>
      <w:r>
        <w:t xml:space="preserve"> </w:t>
      </w:r>
      <w:r>
        <w:rPr>
          <w:b/>
        </w:rPr>
        <w:t xml:space="preserve">Borenstein, E.</w:t>
      </w:r>
      <w:r>
        <w:t xml:space="preserve">,</w:t>
      </w:r>
      <w:r>
        <w:t xml:space="preserve"> </w:t>
      </w:r>
      <w:r>
        <w:rPr>
          <w:b/>
        </w:rPr>
        <w:t xml:space="preserve">M. Kupiec</w:t>
      </w:r>
      <w:r>
        <w:t xml:space="preserve">,</w:t>
      </w:r>
      <w:r>
        <w:t xml:space="preserve"> </w:t>
      </w:r>
      <w:r>
        <w:rPr>
          <w:b/>
        </w:rPr>
        <w:t xml:space="preserve">M. W. Feldman</w:t>
      </w:r>
      <w:r>
        <w:t xml:space="preserve">, and</w:t>
      </w:r>
      <w:r>
        <w:t xml:space="preserve"> </w:t>
      </w:r>
      <w:r>
        <w:rPr>
          <w:b/>
        </w:rPr>
        <w:t xml:space="preserve">E. Ruppin</w:t>
      </w:r>
      <w:r>
        <w:t xml:space="preserve">. 2008. Large-scale reconstruction and phylogenetic analysis of metabolic environments. Proceedings of the National Academy of Sciences</w:t>
      </w:r>
      <w:r>
        <w:t xml:space="preserve"> </w:t>
      </w:r>
      <w:r>
        <w:rPr>
          <w:b/>
        </w:rPr>
        <w:t xml:space="preserve">105</w:t>
      </w:r>
      <w:r>
        <w:t xml:space="preserve">:14482–14487.</w:t>
      </w:r>
    </w:p>
    <w:p>
      <w:pPr>
        <w:pStyle w:val="Bibliography"/>
      </w:pPr>
      <w:r>
        <w:t xml:space="preserve">24.</w:t>
      </w:r>
      <w:r>
        <w:t xml:space="preserve"> </w:t>
      </w:r>
      <w:r>
        <w:rPr>
          <w:b/>
        </w:rPr>
        <w:t xml:space="preserve">Suthers, P. F.</w:t>
      </w:r>
      <w:r>
        <w:t xml:space="preserve">,</w:t>
      </w:r>
      <w:r>
        <w:t xml:space="preserve"> </w:t>
      </w:r>
      <w:r>
        <w:rPr>
          <w:b/>
        </w:rPr>
        <w:t xml:space="preserve">M. S. Dasika</w:t>
      </w:r>
      <w:r>
        <w:t xml:space="preserve">,</w:t>
      </w:r>
      <w:r>
        <w:t xml:space="preserve"> </w:t>
      </w:r>
      <w:r>
        <w:rPr>
          <w:b/>
        </w:rPr>
        <w:t xml:space="preserve">V. S. Kumar</w:t>
      </w:r>
      <w:r>
        <w:t xml:space="preserve">,</w:t>
      </w:r>
      <w:r>
        <w:t xml:space="preserve"> </w:t>
      </w:r>
      <w:r>
        <w:rPr>
          <w:b/>
        </w:rPr>
        <w:t xml:space="preserve">G. Denisov</w:t>
      </w:r>
      <w:r>
        <w:t xml:space="preserve">,</w:t>
      </w:r>
      <w:r>
        <w:t xml:space="preserve"> </w:t>
      </w:r>
      <w:r>
        <w:rPr>
          <w:b/>
        </w:rPr>
        <w:t xml:space="preserve">J. I. Glass</w:t>
      </w:r>
      <w:r>
        <w:t xml:space="preserve">, and</w:t>
      </w:r>
      <w:r>
        <w:t xml:space="preserve"> </w:t>
      </w:r>
      <w:r>
        <w:rPr>
          <w:b/>
        </w:rPr>
        <w:t xml:space="preserve">C. D. Maranas</w:t>
      </w:r>
      <w:r>
        <w:t xml:space="preserve">. 2009. Genome-scale metabolic reconstruction Of mycoplasma genitalium, iPS189. PLoS Computational Biology</w:t>
      </w:r>
      <w:r>
        <w:t xml:space="preserve"> </w:t>
      </w:r>
      <w:r>
        <w:rPr>
          <w:b/>
        </w:rPr>
        <w:t xml:space="preserve">5</w:t>
      </w:r>
      <w:r>
        <w:t xml:space="preserve">.</w:t>
      </w:r>
    </w:p>
    <w:p>
      <w:pPr>
        <w:pStyle w:val="Bibliography"/>
      </w:pPr>
      <w:r>
        <w:t xml:space="preserve">25.</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26.</w:t>
      </w:r>
      <w:r>
        <w:t xml:space="preserve"> </w:t>
      </w:r>
      <w:r>
        <w:rPr>
          <w:b/>
        </w:rPr>
        <w:t xml:space="preserve">Antunes, A.</w:t>
      </w:r>
      <w:r>
        <w:t xml:space="preserve">,</w:t>
      </w:r>
      <w:r>
        <w:t xml:space="preserve"> </w:t>
      </w:r>
      <w:r>
        <w:rPr>
          <w:b/>
        </w:rPr>
        <w:t xml:space="preserve">E. Camiade</w:t>
      </w:r>
      <w:r>
        <w:t xml:space="preserve">,</w:t>
      </w:r>
      <w:r>
        <w:t xml:space="preserve"> </w:t>
      </w:r>
      <w:r>
        <w:rPr>
          <w:b/>
        </w:rPr>
        <w:t xml:space="preserve">M. Monot</w:t>
      </w:r>
      <w:r>
        <w:t xml:space="preserve">,</w:t>
      </w:r>
      <w:r>
        <w:t xml:space="preserve"> </w:t>
      </w:r>
      <w:r>
        <w:rPr>
          <w:b/>
        </w:rPr>
        <w:t xml:space="preserve">E. Courtois</w:t>
      </w:r>
      <w:r>
        <w:t xml:space="preserve">,</w:t>
      </w:r>
      <w:r>
        <w:t xml:space="preserve"> </w:t>
      </w:r>
      <w:r>
        <w:rPr>
          <w:b/>
        </w:rPr>
        <w:t xml:space="preserve">F. Barbut</w:t>
      </w:r>
      <w:r>
        <w:t xml:space="preserve">,</w:t>
      </w:r>
      <w:r>
        <w:t xml:space="preserve"> </w:t>
      </w:r>
      <w:r>
        <w:rPr>
          <w:b/>
        </w:rPr>
        <w:t xml:space="preserve">N. V. Sernova</w:t>
      </w:r>
      <w:r>
        <w:t xml:space="preserve">,</w:t>
      </w:r>
      <w:r>
        <w:t xml:space="preserve"> </w:t>
      </w:r>
      <w:r>
        <w:rPr>
          <w:b/>
        </w:rPr>
        <w:t xml:space="preserve">D. A. Rodionov</w:t>
      </w:r>
      <w:r>
        <w:t xml:space="preserve">,</w:t>
      </w:r>
      <w:r>
        <w:t xml:space="preserve"> </w:t>
      </w:r>
      <w:r>
        <w:rPr>
          <w:b/>
        </w:rPr>
        <w:t xml:space="preserve">I. Martin-Verstraete</w:t>
      </w:r>
      <w:r>
        <w:t xml:space="preserve">, and</w:t>
      </w:r>
      <w:r>
        <w:t xml:space="preserve"> </w:t>
      </w:r>
      <w:r>
        <w:rPr>
          <w:b/>
        </w:rPr>
        <w:t xml:space="preserve">B. Dupuy</w:t>
      </w:r>
      <w:r>
        <w:t xml:space="preserve">. 2012. Global transcriptional control by glucose and carbon regulator CcpA in</w:t>
      </w:r>
      <w:r>
        <w:t xml:space="preserve"> </w:t>
      </w:r>
      <w:r>
        <w:rPr>
          <w:i/>
        </w:rPr>
        <w:t xml:space="preserve">Clostridium difficile</w:t>
      </w:r>
      <w:r>
        <w:t xml:space="preserve">. U.S. Patent 21.</w:t>
      </w:r>
    </w:p>
    <w:p>
      <w:pPr>
        <w:pStyle w:val="Bibliography"/>
      </w:pPr>
      <w:r>
        <w:t xml:space="preserve">27.</w:t>
      </w:r>
      <w:r>
        <w:t xml:space="preserve"> </w:t>
      </w:r>
      <w:r>
        <w:rPr>
          <w:b/>
        </w:rPr>
        <w:t xml:space="preserve">Haas, B. J.</w:t>
      </w:r>
      <w:r>
        <w:t xml:space="preserve">,</w:t>
      </w:r>
      <w:r>
        <w:t xml:space="preserve"> </w:t>
      </w:r>
      <w:r>
        <w:rPr>
          <w:b/>
        </w:rPr>
        <w:t xml:space="preserve">M. Chin</w:t>
      </w:r>
      <w:r>
        <w:t xml:space="preserve">,</w:t>
      </w:r>
      <w:r>
        <w:t xml:space="preserve"> </w:t>
      </w:r>
      <w:r>
        <w:rPr>
          <w:b/>
        </w:rPr>
        <w:t xml:space="preserve">C. Nusbaum</w:t>
      </w:r>
      <w:r>
        <w:t xml:space="preserve">,</w:t>
      </w:r>
      <w:r>
        <w:t xml:space="preserve"> </w:t>
      </w:r>
      <w:r>
        <w:rPr>
          <w:b/>
        </w:rPr>
        <w:t xml:space="preserve">B. W. Birren</w:t>
      </w:r>
      <w:r>
        <w:t xml:space="preserve">, and</w:t>
      </w:r>
      <w:r>
        <w:t xml:space="preserve"> </w:t>
      </w:r>
      <w:r>
        <w:rPr>
          <w:b/>
        </w:rPr>
        <w:t xml:space="preserve">J. Livny</w:t>
      </w:r>
      <w:r>
        <w:t xml:space="preserve">. 2012. How deep is deep enough for RNA-Seq profiling of bacterial transcriptomes? BMC Genomics</w:t>
      </w:r>
      <w:r>
        <w:t xml:space="preserve"> </w:t>
      </w:r>
      <w:r>
        <w:rPr>
          <w:b/>
        </w:rPr>
        <w:t xml:space="preserve">13</w:t>
      </w:r>
      <w:r>
        <w:t xml:space="preserve">:734.</w:t>
      </w:r>
    </w:p>
    <w:p>
      <w:pPr>
        <w:pStyle w:val="Bibliography"/>
      </w:pPr>
      <w:r>
        <w:t xml:space="preserve">28.</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29.</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30.</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31.</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32.</w:t>
      </w:r>
      <w:r>
        <w:t xml:space="preserve"> </w:t>
      </w:r>
      <w:r>
        <w:rPr>
          <w:b/>
        </w:rPr>
        <w:t xml:space="preserve">Bonett, D. G.</w:t>
      </w:r>
      <w:r>
        <w:t xml:space="preserve">, and</w:t>
      </w:r>
      <w:r>
        <w:t xml:space="preserve"> </w:t>
      </w:r>
      <w:r>
        <w:rPr>
          <w:b/>
        </w:rPr>
        <w:t xml:space="preserve">R. M. Price</w:t>
      </w:r>
      <w:r>
        <w:t xml:space="preserve">. 2002. Statistical inference for a linear function of medians: confidence intervals, hypothesis testing, and sample size requirements. Psychological methods</w:t>
      </w:r>
      <w:r>
        <w:t xml:space="preserve"> </w:t>
      </w:r>
      <w:r>
        <w:rPr>
          <w:b/>
        </w:rPr>
        <w:t xml:space="preserve">7</w:t>
      </w:r>
      <w:r>
        <w:t xml:space="preserve">:370–383.</w:t>
      </w:r>
    </w:p>
    <w:p>
      <w:pPr>
        <w:pStyle w:val="Bibliography"/>
      </w:pPr>
      <w:r>
        <w:t xml:space="preserve">33.</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34.</w:t>
      </w:r>
      <w:r>
        <w:t xml:space="preserve"> </w:t>
      </w:r>
      <w:r>
        <w:rPr>
          <w:b/>
        </w:rPr>
        <w:t xml:space="preserve">Fonknechten, N.</w:t>
      </w:r>
      <w:r>
        <w:t xml:space="preserve">,</w:t>
      </w:r>
      <w:r>
        <w:t xml:space="preserve"> </w:t>
      </w:r>
      <w:r>
        <w:rPr>
          <w:b/>
        </w:rPr>
        <w:t xml:space="preserve">S. Chaussonnerie</w:t>
      </w:r>
      <w:r>
        <w:t xml:space="preserve">,</w:t>
      </w:r>
      <w:r>
        <w:t xml:space="preserve"> </w:t>
      </w:r>
      <w:r>
        <w:rPr>
          <w:b/>
        </w:rPr>
        <w:t xml:space="preserve">S. Tricot</w:t>
      </w:r>
      <w:r>
        <w:t xml:space="preserve">,</w:t>
      </w:r>
      <w:r>
        <w:t xml:space="preserve"> </w:t>
      </w:r>
      <w:r>
        <w:rPr>
          <w:b/>
        </w:rPr>
        <w:t xml:space="preserve">A. Lajus</w:t>
      </w:r>
      <w:r>
        <w:t xml:space="preserve">,</w:t>
      </w:r>
      <w:r>
        <w:t xml:space="preserve"> </w:t>
      </w:r>
      <w:r>
        <w:rPr>
          <w:b/>
        </w:rPr>
        <w:t xml:space="preserve">J. R. Andreesen</w:t>
      </w:r>
      <w:r>
        <w:t xml:space="preserve">,</w:t>
      </w:r>
      <w:r>
        <w:t xml:space="preserve"> </w:t>
      </w:r>
      <w:r>
        <w:rPr>
          <w:b/>
        </w:rPr>
        <w:t xml:space="preserve">N. Perchat</w:t>
      </w:r>
      <w:r>
        <w:t xml:space="preserve">,</w:t>
      </w:r>
      <w:r>
        <w:t xml:space="preserve"> </w:t>
      </w:r>
      <w:r>
        <w:rPr>
          <w:b/>
        </w:rPr>
        <w:t xml:space="preserve">E. Pelletier</w:t>
      </w:r>
      <w:r>
        <w:t xml:space="preserve">,</w:t>
      </w:r>
      <w:r>
        <w:t xml:space="preserve"> </w:t>
      </w:r>
      <w:r>
        <w:rPr>
          <w:b/>
        </w:rPr>
        <w:t xml:space="preserve">M. Gouyvenoux</w:t>
      </w:r>
      <w:r>
        <w:t xml:space="preserve">,</w:t>
      </w:r>
      <w:r>
        <w:t xml:space="preserve"> </w:t>
      </w:r>
      <w:r>
        <w:rPr>
          <w:b/>
        </w:rPr>
        <w:t xml:space="preserve">V. Barbe</w:t>
      </w:r>
      <w:r>
        <w:t xml:space="preserve">,</w:t>
      </w:r>
      <w:r>
        <w:t xml:space="preserve"> </w:t>
      </w:r>
      <w:r>
        <w:rPr>
          <w:b/>
        </w:rPr>
        <w:t xml:space="preserve">M. Salanoubat</w:t>
      </w:r>
      <w:r>
        <w:t xml:space="preserve">,</w:t>
      </w:r>
      <w:r>
        <w:t xml:space="preserve"> </w:t>
      </w:r>
      <w:r>
        <w:rPr>
          <w:b/>
        </w:rPr>
        <w:t xml:space="preserve">D. Le Paslier</w:t>
      </w:r>
      <w:r>
        <w:t xml:space="preserve">,</w:t>
      </w:r>
      <w:r>
        <w:t xml:space="preserve"> </w:t>
      </w:r>
      <w:r>
        <w:rPr>
          <w:b/>
        </w:rPr>
        <w:t xml:space="preserve">J. Weissenbach</w:t>
      </w:r>
      <w:r>
        <w:t xml:space="preserve">,</w:t>
      </w:r>
      <w:r>
        <w:t xml:space="preserve"> </w:t>
      </w:r>
      <w:r>
        <w:rPr>
          <w:b/>
        </w:rPr>
        <w:t xml:space="preserve">G. N. Cohen</w:t>
      </w:r>
      <w:r>
        <w:t xml:space="preserve">, and</w:t>
      </w:r>
      <w:r>
        <w:t xml:space="preserve"> </w:t>
      </w:r>
      <w:r>
        <w:rPr>
          <w:b/>
        </w:rPr>
        <w:t xml:space="preserve">A. Kreimeyer</w:t>
      </w:r>
      <w:r>
        <w:t xml:space="preserve">. 2010.</w:t>
      </w:r>
      <w:r>
        <w:t xml:space="preserve"> </w:t>
      </w:r>
      <w:r>
        <w:rPr>
          <w:i/>
        </w:rPr>
        <w:t xml:space="preserve">Clostridium sticklandii</w:t>
      </w:r>
      <w:r>
        <w:t xml:space="preserve">, a specialist in amino acid degradation:revisiting its metabolism through its genome sequence. BMC genomics</w:t>
      </w:r>
      <w:r>
        <w:t xml:space="preserve"> </w:t>
      </w:r>
      <w:r>
        <w:rPr>
          <w:b/>
        </w:rPr>
        <w:t xml:space="preserve">11</w:t>
      </w:r>
      <w:r>
        <w:t xml:space="preserve">:555.</w:t>
      </w:r>
    </w:p>
    <w:p>
      <w:pPr>
        <w:pStyle w:val="Bibliography"/>
      </w:pPr>
      <w:r>
        <w:t xml:space="preserve">35.</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36.</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37.</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38.</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39.</w:t>
      </w:r>
      <w:r>
        <w:t xml:space="preserve"> </w:t>
      </w:r>
      <w:r>
        <w:rPr>
          <w:b/>
        </w:rPr>
        <w:t xml:space="preserve">Karlsson, S.</w:t>
      </w:r>
      <w:r>
        <w:t xml:space="preserve">,</w:t>
      </w:r>
      <w:r>
        <w:t xml:space="preserve"> </w:t>
      </w:r>
      <w:r>
        <w:rPr>
          <w:b/>
        </w:rPr>
        <w:t xml:space="preserve">L. G. Burman</w:t>
      </w:r>
      <w:r>
        <w:t xml:space="preserve">, and</w:t>
      </w:r>
      <w:r>
        <w:t xml:space="preserve"> </w:t>
      </w:r>
      <w:r>
        <w:rPr>
          <w:b/>
        </w:rPr>
        <w:t xml:space="preserve">T. Åkerlund</w:t>
      </w:r>
      <w:r>
        <w:t xml:space="preserve">. 2008. Induction of toxins in</w:t>
      </w:r>
      <w:r>
        <w:t xml:space="preserve"> </w:t>
      </w:r>
      <w:r>
        <w:rPr>
          <w:i/>
        </w:rPr>
        <w:t xml:space="preserve">Clostridium difficile</w:t>
      </w:r>
      <w:r>
        <w:t xml:space="preserve"> </w:t>
      </w:r>
      <w:r>
        <w:t xml:space="preserve">is associated with dramatic changes of its metabolism. Microbiology</w:t>
      </w:r>
      <w:r>
        <w:t xml:space="preserve"> </w:t>
      </w:r>
      <w:r>
        <w:rPr>
          <w:b/>
        </w:rPr>
        <w:t xml:space="preserve">154</w:t>
      </w:r>
      <w:r>
        <w:t xml:space="preserve">:3430–3436.</w:t>
      </w:r>
    </w:p>
    <w:p>
      <w:pPr>
        <w:pStyle w:val="Bibliography"/>
      </w:pPr>
      <w:r>
        <w:t xml:space="preserve">40.</w:t>
      </w:r>
      <w:r>
        <w:t xml:space="preserve"> </w:t>
      </w:r>
      <w:r>
        <w:rPr>
          <w:b/>
        </w:rPr>
        <w:t xml:space="preserve">Hartwich, K.</w:t>
      </w:r>
      <w:r>
        <w:t xml:space="preserve">,</w:t>
      </w:r>
      <w:r>
        <w:t xml:space="preserve"> </w:t>
      </w:r>
      <w:r>
        <w:rPr>
          <w:b/>
        </w:rPr>
        <w:t xml:space="preserve">A. Poehlein</w:t>
      </w:r>
      <w:r>
        <w:t xml:space="preserve">, and</w:t>
      </w:r>
      <w:r>
        <w:t xml:space="preserve"> </w:t>
      </w:r>
      <w:r>
        <w:rPr>
          <w:b/>
        </w:rPr>
        <w:t xml:space="preserve">R. Daniel</w:t>
      </w:r>
      <w:r>
        <w:t xml:space="preserve">. 2012. The Purine-Utilizing Bacterium Clostridium acidurici 9a: A Genome-Guided Metabolic Reconsideration. PLoS ONE</w:t>
      </w:r>
      <w:r>
        <w:t xml:space="preserve"> </w:t>
      </w:r>
      <w:r>
        <w:rPr>
          <w:b/>
        </w:rPr>
        <w:t xml:space="preserve">7</w:t>
      </w:r>
      <w:r>
        <w:t xml:space="preserve">.</w:t>
      </w:r>
    </w:p>
    <w:p>
      <w:pPr>
        <w:pStyle w:val="Bibliography"/>
      </w:pPr>
      <w:r>
        <w:t xml:space="preserve">41.</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42.</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U.S. Patent 9.</w:t>
      </w:r>
    </w:p>
    <w:p>
      <w:pPr>
        <w:pStyle w:val="Bibliography"/>
      </w:pPr>
      <w:r>
        <w:t xml:space="preserve">43.</w:t>
      </w:r>
      <w:r>
        <w:t xml:space="preserve"> </w:t>
      </w:r>
      <w:r>
        <w:rPr>
          <w:b/>
        </w:rPr>
        <w:t xml:space="preserve">Bouillaut, L.</w:t>
      </w:r>
      <w:r>
        <w:t xml:space="preserve">,</w:t>
      </w:r>
      <w:r>
        <w:t xml:space="preserve"> </w:t>
      </w:r>
      <w:r>
        <w:rPr>
          <w:b/>
        </w:rPr>
        <w:t xml:space="preserve">W. T. Self</w:t>
      </w:r>
      <w:r>
        <w:t xml:space="preserve">, and</w:t>
      </w:r>
      <w:r>
        <w:t xml:space="preserve"> </w:t>
      </w:r>
      <w:r>
        <w:rPr>
          <w:b/>
        </w:rPr>
        <w:t xml:space="preserve">A. L. Sonenshein</w:t>
      </w:r>
      <w:r>
        <w:t xml:space="preserve">. 2013. Proline-dependent regulation of Clostridium difficile stickland metabolism. Journal of Bacteriology</w:t>
      </w:r>
      <w:r>
        <w:t xml:space="preserve"> </w:t>
      </w:r>
      <w:r>
        <w:rPr>
          <w:b/>
        </w:rPr>
        <w:t xml:space="preserve">195</w:t>
      </w:r>
      <w:r>
        <w:t xml:space="preserve">:844–854.</w:t>
      </w:r>
    </w:p>
    <w:p>
      <w:pPr>
        <w:pStyle w:val="Bibliography"/>
      </w:pPr>
      <w:r>
        <w:t xml:space="preserve">44.</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45.</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46.</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47.</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48.</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49.</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50.</w:t>
      </w:r>
      <w:r>
        <w:t xml:space="preserve"> </w:t>
      </w:r>
      <w:r>
        <w:rPr>
          <w:b/>
        </w:rPr>
        <w:t xml:space="preserve">Kozich, J. (. of M.</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51.</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52.</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53.</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54.</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55.</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56.</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57.</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31ed3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communities</dc:title>
  <dc:creator/>
  <dcterms:created xsi:type="dcterms:W3CDTF">2017-03-19T22:02:01Z</dcterms:created>
  <dcterms:modified xsi:type="dcterms:W3CDTF">2017-03-19T22:02:01Z</dcterms:modified>
</cp:coreProperties>
</file>