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the available nutrients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that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variation in the expression of numerous catabolic pathways for various carbon sources. To assess which resources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growth substrates that</w:t>
      </w:r>
      <w:r>
        <w:t xml:space="preserve"> </w:t>
      </w:r>
      <w:r>
        <w:rPr>
          <w:i/>
        </w:rPr>
        <w:t xml:space="preserve">C. difficile</w:t>
      </w:r>
      <w:r>
        <w:t xml:space="preserve"> </w:t>
      </w:r>
      <w:r>
        <w:t xml:space="preserve">used 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an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(23)</w:t>
      </w:r>
      <w:r>
        <w:t xml:space="preserve"> </w:t>
      </w:r>
      <w:r>
        <w:t xml:space="preserve">and well-annotated genome</w:t>
      </w:r>
      <w:r>
        <w:t xml:space="preserve"> </w:t>
      </w:r>
      <w:r>
        <w:t xml:space="preserve">(24)</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(26)</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(27)</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(28)</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(30)</w:t>
      </w:r>
      <w:r>
        <w:t xml:space="preserve">. The Stickland fermentation acceptor proline was also found to be important in all conditions tested</w:t>
      </w:r>
      <w:r>
        <w:t xml:space="preserve"> </w:t>
      </w:r>
      <w:r>
        <w:t xml:space="preserve">(31)</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(6, 12, 32)</w:t>
      </w:r>
      <w:r>
        <w:t xml:space="preserve"> </w:t>
      </w:r>
      <w:r>
        <w:t xml:space="preserve">(Fig.4B).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(33)</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(32)</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(34)</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(35)</w:t>
      </w:r>
      <w:r>
        <w:t xml:space="preserve">. Additionally, alanine was also found to be important in this condition and is a preferred electron donating amino acid in Stickland fermentation</w:t>
      </w:r>
      <w:r>
        <w:t xml:space="preserve"> </w:t>
      </w:r>
      <w:r>
        <w:t xml:space="preserve">(26)</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(19, 22)</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higher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gastrointestinal tract</w:t>
      </w:r>
      <w:r>
        <w:t xml:space="preserve"> </w:t>
      </w:r>
      <w:r>
        <w:t xml:space="preserve">(36)</w:t>
      </w:r>
      <w:r>
        <w:t xml:space="preserve">. This makes Stickland fermentation a valuable metabolic strategy, and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(37)</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(38)</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(39)</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(23)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sufficient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The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(47)</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24.</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30.</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31.</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32.</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33.</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34.</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35.</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39.</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679e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2017-04-07T18:03:00Z</dcterms:created>
  <dcterms:modified xsi:type="dcterms:W3CDTF">2017-04-07T18:03:00Z</dcterms:modified>
</cp:coreProperties>
</file>