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(24)</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(25)</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(26)</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(27)</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(28)</w:t>
      </w:r>
      <w:r>
        <w:t xml:space="preserve">. The Stickland fermentation acceptor proline was also found to be important in all conditions tested</w:t>
      </w:r>
      <w:r>
        <w:t xml:space="preserve"> </w:t>
      </w:r>
      <w:r>
        <w:t xml:space="preserve">(29)</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(6, 12, 30)</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(31)</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(30)</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(32)</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(33)</w:t>
      </w:r>
      <w:r>
        <w:t xml:space="preserve">. Additionally, alanine was also found to be important in this condition and is a preferred electron donating amino acid in Stickland fermentation</w:t>
      </w:r>
      <w:r>
        <w:t xml:space="preserve"> </w:t>
      </w:r>
      <w:r>
        <w:t xml:space="preserve">(24)</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(34)</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(35)</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(36)</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(37)</w:t>
      </w:r>
      <w:r>
        <w:t xml:space="preserve">. We were therefore confident in utilizing normalized transcript abundance as a proxy for enzyme levels. Possible limitations of our computational approach also exist despite much of our modeling results are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(38)</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 The authors would additionally like to thank members of the Schloss and Schmidt laboratories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25.</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26.</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27.</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29.</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31.</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32.</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33.</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36.</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37.</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38.</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93e7a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2017-03-31T20:00:08Z</dcterms:created>
  <dcterms:modified xsi:type="dcterms:W3CDTF">2017-03-31T20:00:08Z</dcterms:modified>
</cp:coreProperties>
</file>