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microbiomes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is the largest single cause of hospital-acquired infection in the United States. A major risk factor for</w:t>
      </w:r>
      <w:r>
        <w:t xml:space="preserve"> </w:t>
      </w:r>
      <w:r>
        <w:rPr>
          <w:i/>
        </w:rPr>
        <w:t xml:space="preserve">Clostridium difficile</w:t>
      </w:r>
      <w:r>
        <w:t xml:space="preserve"> </w:t>
      </w:r>
      <w:r>
        <w:t xml:space="preserve">infection (CDI) is prior exposure to antibiotics, as they disrupt the gut bacterial community which protects from</w:t>
      </w:r>
      <w:r>
        <w:t xml:space="preserve"> </w:t>
      </w:r>
      <w:r>
        <w:rPr>
          <w:i/>
        </w:rPr>
        <w:t xml:space="preserve">C. difficile</w:t>
      </w:r>
      <w:r>
        <w:t xml:space="preserve"> </w:t>
      </w:r>
      <w:r>
        <w:t xml:space="preserve">colonization. Multiple antibiotic classes have been associated with CDI susceptibility; many leading to distinct community structures stemming from variation in bacterial targets of action. These microbiomes present separate metabolic challenges to</w:t>
      </w:r>
      <w:r>
        <w:t xml:space="preserve"> </w:t>
      </w:r>
      <w:r>
        <w:rPr>
          <w:i/>
        </w:rPr>
        <w:t xml:space="preserve">C. difficile</w:t>
      </w:r>
      <w:r>
        <w:t xml:space="preserve">, therefore we hypothesized that the pathogen adapts its physiology to available nutrients within different gut environments. Utilizing an</w:t>
      </w:r>
      <w:r>
        <w:t xml:space="preserve"> </w:t>
      </w:r>
      <w:r>
        <w:rPr>
          <w:i/>
        </w:rPr>
        <w:t xml:space="preserve">in vivo</w:t>
      </w:r>
      <w:r>
        <w:t xml:space="preserve"> </w:t>
      </w:r>
      <w:r>
        <w:t xml:space="preserve">CDI model, we demonstrated</w:t>
      </w:r>
      <w:r>
        <w:t xml:space="preserve"> </w:t>
      </w:r>
      <w:r>
        <w:rPr>
          <w:i/>
        </w:rPr>
        <w:t xml:space="preserve">C. difficile</w:t>
      </w:r>
      <w:r>
        <w:t xml:space="preserve"> </w:t>
      </w:r>
      <w:r>
        <w:t xml:space="preserve">highly colonized ceca of mice pretreated with any of three antibiotics from distinct classes. Levels of</w:t>
      </w:r>
      <w:r>
        <w:t xml:space="preserve"> </w:t>
      </w:r>
      <w:r>
        <w:rPr>
          <w:i/>
        </w:rPr>
        <w:t xml:space="preserve">C. difficile</w:t>
      </w:r>
      <w:r>
        <w:t xml:space="preserve"> </w:t>
      </w:r>
      <w:r>
        <w:t xml:space="preserve">spore formation and toxin activity varied between animals based on the antibiotic administered. These physiologic processes in</w:t>
      </w:r>
      <w:r>
        <w:t xml:space="preserve"> </w:t>
      </w:r>
      <w:r>
        <w:rPr>
          <w:i/>
        </w:rPr>
        <w:t xml:space="preserve">C. difficile</w:t>
      </w:r>
      <w:r>
        <w:t xml:space="preserve"> </w:t>
      </w:r>
      <w:r>
        <w:t xml:space="preserve">are partially regulated by environmental nutrient concentrations. To investigate metabolic responses of the bacterium</w:t>
      </w:r>
      <w:r>
        <w:t xml:space="preserve"> </w:t>
      </w:r>
      <w:r>
        <w:rPr>
          <w:i/>
        </w:rPr>
        <w:t xml:space="preserve">in vivo</w:t>
      </w:r>
      <w:r>
        <w:t xml:space="preserve">, we performed transcriptomic analysis of</w:t>
      </w:r>
      <w:r>
        <w:t xml:space="preserve"> </w:t>
      </w:r>
      <w:r>
        <w:rPr>
          <w:i/>
        </w:rPr>
        <w:t xml:space="preserve">C. difficile</w:t>
      </w:r>
      <w:r>
        <w:t xml:space="preserve"> </w:t>
      </w:r>
      <w:r>
        <w:t xml:space="preserve">from ceca of infected mice across pretreatments. This revealed heterogeneous expression in numerous catabolic pathways for diverse growth substrates. To assess which resources</w:t>
      </w:r>
      <w:r>
        <w:t xml:space="preserve"> </w:t>
      </w:r>
      <w:r>
        <w:rPr>
          <w:i/>
        </w:rPr>
        <w:t xml:space="preserve">C. difficile</w:t>
      </w:r>
      <w:r>
        <w:t xml:space="preserve"> </w:t>
      </w:r>
      <w:r>
        <w:t xml:space="preserve">exploited, we developed a genome-scale metabolic model with a transcriptomic-enabled metabolite scoring algorithm integrating network architecture. This platform identified nutrients</w:t>
      </w:r>
      <w:r>
        <w:t xml:space="preserve"> </w:t>
      </w:r>
      <w:r>
        <w:rPr>
          <w:i/>
        </w:rPr>
        <w:t xml:space="preserve">C. difficile</w:t>
      </w:r>
      <w:r>
        <w:t xml:space="preserve"> </w:t>
      </w:r>
      <w:r>
        <w:t xml:space="preserve">used preferentially between infections, which were validated through untargeted mass spectrometry of each microbiome. Our results supported the hypothesis that</w:t>
      </w:r>
      <w:r>
        <w:t xml:space="preserve"> </w:t>
      </w:r>
      <w:r>
        <w:rPr>
          <w:i/>
        </w:rPr>
        <w:t xml:space="preserve">C. difficile</w:t>
      </w:r>
      <w:r>
        <w:t xml:space="preserve"> </w:t>
      </w:r>
      <w:r>
        <w:t xml:space="preserve">inhabits alternative nutrient niches across cecal microbiomes with increased preference for nitrogen-containing carbon sources, particularly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infection. Susceptibility to</w:t>
      </w:r>
      <w:r>
        <w:t xml:space="preserve"> </w:t>
      </w:r>
      <w:r>
        <w:rPr>
          <w:i/>
        </w:rPr>
        <w:t xml:space="preserve">C. difficile</w:t>
      </w:r>
      <w:r>
        <w:t xml:space="preserve"> </w:t>
      </w:r>
      <w:r>
        <w:t xml:space="preserve">infection is strongly associated with previous antibiotic treatment, which disrupts the gut microbiota and reduces its ability to prevent colonization. In this study we demonstrated that</w:t>
      </w:r>
      <w:r>
        <w:t xml:space="preserve"> </w:t>
      </w:r>
      <w:r>
        <w:rPr>
          <w:i/>
        </w:rPr>
        <w:t xml:space="preserve">C. difficile</w:t>
      </w:r>
      <w:r>
        <w:t xml:space="preserve"> </w:t>
      </w:r>
      <w:r>
        <w:t xml:space="preserve">altered pathogenesis between hosts pretreated with antibiotics from separate classes, as well as exploited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severe conditions pseudomembraneous colitis and toxin megacolon. Prior treatment with antibiotics is the most common risk factor associated with development of CDI</w:t>
      </w:r>
      <w:r>
        <w:t xml:space="preserve"> </w:t>
      </w:r>
      <w:r>
        <w:t xml:space="preserve">(3)</w:t>
      </w:r>
      <w:r>
        <w:t xml:space="preserve">. Antibiotics likely contribute to susceptibility to CDI by disrupting the gut microbiota</w:t>
      </w:r>
      <w:r>
        <w:t xml:space="preserve"> </w:t>
      </w:r>
      <w:r>
        <w:t xml:space="preserve">(4)</w:t>
      </w:r>
      <w:r>
        <w:t xml:space="preserve">. In mouse models, multiple antibiotics can induce susceptibility to</w:t>
      </w:r>
      <w:r>
        <w:t xml:space="preserve"> </w:t>
      </w:r>
      <w:r>
        <w:rPr>
          <w:i/>
        </w:rPr>
        <w:t xml:space="preserve">C. difficile</w:t>
      </w:r>
      <w:r>
        <w:t xml:space="preserve"> </w:t>
      </w:r>
      <w:r>
        <w:t xml:space="preserve">colonization</w:t>
      </w:r>
      <w:r>
        <w:t xml:space="preserve"> </w:t>
      </w:r>
      <w:r>
        <w:t xml:space="preserve">(5–7)</w:t>
      </w:r>
      <w:r>
        <w:t xml:space="preserve">. Notably, each antibiotic resulted in unique gut bacterial communities that were receptive to high levels of</w:t>
      </w:r>
      <w:r>
        <w:t xml:space="preserve"> </w:t>
      </w:r>
      <w:r>
        <w:rPr>
          <w:i/>
        </w:rPr>
        <w:t xml:space="preserve">C. difficile</w:t>
      </w:r>
      <w:r>
        <w:t xml:space="preserve"> </w:t>
      </w:r>
      <w:r>
        <w:t xml:space="preserve">colonization. Others have also shown that antibiotics from multiple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The ability of an unaltered murine gut community to exclude</w:t>
      </w:r>
      <w:r>
        <w:t xml:space="preserve"> </w:t>
      </w:r>
      <w:r>
        <w:rPr>
          <w:i/>
        </w:rPr>
        <w:t xml:space="preserve">C. difficile</w:t>
      </w:r>
      <w:r>
        <w:t xml:space="preserve"> </w:t>
      </w:r>
      <w:r>
        <w:t xml:space="preserve">colonization supports the nutrient-niche hypothesis, which states that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by limiting the availability of the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adapt to a variety nutrient niches</w:t>
      </w:r>
      <w:r>
        <w:t xml:space="preserve"> </w:t>
      </w:r>
      <w:r>
        <w:t xml:space="preserve">(13)</w:t>
      </w:r>
      <w:r>
        <w:t xml:space="preserve">.</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(6, 14–16)</w:t>
      </w:r>
      <w:r>
        <w:t xml:space="preserve">. These qualities are hallmarks of ecological generalists</w:t>
      </w:r>
      <w:r>
        <w:t xml:space="preserve"> </w:t>
      </w:r>
      <w:r>
        <w:t xml:space="preserve">(17)</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(18, 19)</w:t>
      </w:r>
      <w:r>
        <w:t xml:space="preserve">. Other studies have indicated that other aspects of</w:t>
      </w:r>
      <w:r>
        <w:t xml:space="preserve"> </w:t>
      </w:r>
      <w:r>
        <w:rPr>
          <w:i/>
        </w:rPr>
        <w:t xml:space="preserve">C. difficile</w:t>
      </w:r>
      <w:r>
        <w:t xml:space="preserve"> </w:t>
      </w:r>
      <w:r>
        <w:t xml:space="preserve">metabolism may be influenced through environmental nutrient concentration-sensitive global transcriptional regulators such as CodY and CcpA</w:t>
      </w:r>
      <w:r>
        <w:t xml:space="preserve"> </w:t>
      </w:r>
      <w:r>
        <w:t xml:space="preserve">(20, 21)</w:t>
      </w:r>
      <w:r>
        <w:t xml:space="preserve">. These previous analyses have mainly focused on</w:t>
      </w:r>
      <w:r>
        <w:t xml:space="preserve"> </w:t>
      </w:r>
      <w:r>
        <w:rPr>
          <w:i/>
        </w:rPr>
        <w:t xml:space="preserve">in vitro</w:t>
      </w:r>
      <w:r>
        <w:t xml:space="preserve"> </w:t>
      </w:r>
      <w:r>
        <w:t xml:space="preserve">growth</w:t>
      </w:r>
      <w:r>
        <w:t xml:space="preserve"> </w:t>
      </w:r>
      <w:r>
        <w:t xml:space="preserve">(22, 23)</w:t>
      </w:r>
      <w:r>
        <w:t xml:space="preserve"> </w:t>
      </w:r>
      <w:r>
        <w:t xml:space="preserve">or colonization of germfree mice</w:t>
      </w:r>
      <w:r>
        <w:t xml:space="preserve"> </w:t>
      </w:r>
      <w:r>
        <w:t xml:space="preserve">(14, 21)</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attribute a metabolite to specific organisms in the gut community.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implemented transcriptomic and untargeted metabolomic analyses of</w:t>
      </w:r>
      <w:r>
        <w:t xml:space="preserve"> </w:t>
      </w:r>
      <w:r>
        <w:rPr>
          <w:i/>
        </w:rPr>
        <w:t xml:space="preserve">C. difficile</w:t>
      </w:r>
      <w:r>
        <w:t xml:space="preserve"> </w:t>
      </w:r>
      <w:r>
        <w:t xml:space="preserve">and the surrounding environemnt to better understand the active metabolic pathways in a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environment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antibiotics from distinct classes. By characterizing the transcriptome of</w:t>
      </w:r>
      <w:r>
        <w:t xml:space="preserve"> </w:t>
      </w:r>
      <w:r>
        <w:rPr>
          <w:i/>
        </w:rPr>
        <w:t xml:space="preserve">C. difficile</w:t>
      </w:r>
      <w:r>
        <w:t xml:space="preserve"> </w:t>
      </w:r>
      <w:r>
        <w:t xml:space="preserve">in these different communities and the metabolome of the respective environments using paired samples from the same groups of mice,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microbiomes.</w:t>
      </w:r>
      <w:r>
        <w:t xml:space="preserve"> </w:t>
      </w:r>
      <w:r>
        <w:t xml:space="preserve">Conventionally-reared SPF mice were treated with either streptomycin, cefoperazone, or clindamycin (Table 1 and Fig. S1). These antibiotics were selected because they each have distinct and significant impacts on the structure of the cecal microbiome (Fig. S2A and S2B). We challenged the antibiotic treated mice and germfree (ex-GF) mice with</w:t>
      </w:r>
      <w:r>
        <w:t xml:space="preserve"> </w:t>
      </w:r>
      <w:r>
        <w:rPr>
          <w:i/>
        </w:rPr>
        <w:t xml:space="preserve">C. difficile</w:t>
      </w:r>
      <w:r>
        <w:t xml:space="preserve"> </w:t>
      </w:r>
      <w:r>
        <w:t xml:space="preserve">stain 630 to understand the pathogen's physiology with and without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w:t>
      </w:r>
      <w:r>
        <w:t xml:space="preserve"> </w:t>
      </w:r>
      <w:r>
        <w:rPr>
          <w:i/>
        </w:rPr>
        <w:t xml:space="preserve">C. difficile</w:t>
      </w:r>
      <w:r>
        <w:t xml:space="preserve"> </w:t>
      </w:r>
      <w:r>
        <w:t xml:space="preserve">cells in the ceca of mice pretreated with any of the three antibiotics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(Fig. 1A).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expression of</w:t>
      </w:r>
      <w:r>
        <w:t xml:space="preserve"> </w:t>
      </w:r>
      <w:r>
        <w:rPr>
          <w:i/>
        </w:rPr>
        <w:t xml:space="preserve">C. difficile</w:t>
      </w:r>
      <w:r>
        <w:t xml:space="preserve"> </w:t>
      </w:r>
      <w:r>
        <w:t xml:space="preserve">pathogenicity.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from the same cecal content of the same mice.</w:t>
      </w:r>
    </w:p>
    <w:p>
      <w:pPr>
        <w:pStyle w:val="BodyText"/>
      </w:pPr>
      <w:r>
        <w:rPr>
          <w:i/>
          <w:b/>
        </w:rPr>
        <w:t xml:space="preserve">C. difficile</w:t>
      </w:r>
      <w:r>
        <w:rPr>
          <w:b/>
        </w:rPr>
        <w:t xml:space="preserve"> </w:t>
      </w:r>
      <w:r>
        <w:rPr>
          <w:b/>
        </w:rPr>
        <w:t xml:space="preserve">alters its gene expression pathways when colonizing distinct antibiotic-pretreated environments.</w:t>
      </w:r>
      <w:r>
        <w:t xml:space="preserve"> </w:t>
      </w:r>
      <w:r>
        <w:t xml:space="preserve">Utilizing aliquots from the same mice in the previous assays, we attempted to measure differential expression of specific genes associated with</w:t>
      </w:r>
      <w:r>
        <w:t xml:space="preserve"> </w:t>
      </w:r>
      <w:r>
        <w:rPr>
          <w:i/>
        </w:rPr>
        <w:t xml:space="preserve">in vivo</w:t>
      </w:r>
      <w:r>
        <w:t xml:space="preserve"> </w:t>
      </w:r>
      <w:r>
        <w:t xml:space="preserve">phenotype changes reported in previous studies. Microarray-based gene expression measurement was not a viable alternative to sequencing as the amount of background orthologous transcription from other bacterial species would contribute greatly to non-specific binding and bias the true</w:t>
      </w:r>
      <w:r>
        <w:t xml:space="preserve"> </w:t>
      </w:r>
      <w:r>
        <w:rPr>
          <w:i/>
        </w:rPr>
        <w:t xml:space="preserve">C. difficile</w:t>
      </w:r>
      <w:r>
        <w:t xml:space="preserve"> </w:t>
      </w:r>
      <w:r>
        <w:t xml:space="preserve">signal, therefore we employed an RNA-Seq based approach to quantify transcription. As</w:t>
      </w:r>
      <w:r>
        <w:t xml:space="preserve"> </w:t>
      </w:r>
      <w:r>
        <w:rPr>
          <w:i/>
        </w:rPr>
        <w:t xml:space="preserve">C. difficile</w:t>
      </w:r>
      <w:r>
        <w:t xml:space="preserve"> </w:t>
      </w:r>
      <w:r>
        <w:t xml:space="preserve">represented a small percentage of the community in each colonized environment (Fig. S2C), making it impossible to sequence the transcriptome of individual mice due to the depth required to sufficiently sample the transcripts of</w:t>
      </w:r>
      <w:r>
        <w:t xml:space="preserve"> </w:t>
      </w:r>
      <w:r>
        <w:rPr>
          <w:i/>
        </w:rPr>
        <w:t xml:space="preserve">C. difficile</w:t>
      </w:r>
      <w:r>
        <w:t xml:space="preserve">. This required the generation of a single transcriptome per condition using pooled mRNA from all mice within each pretreatment group. Following sequencing, read curation, and stringent mapping to</w:t>
      </w:r>
      <w:r>
        <w:t xml:space="preserve"> </w:t>
      </w:r>
      <w:r>
        <w:rPr>
          <w:i/>
        </w:rPr>
        <w:t xml:space="preserve">C. difficile</w:t>
      </w:r>
      <w:r>
        <w:t xml:space="preserve"> </w:t>
      </w:r>
      <w:r>
        <w:t xml:space="preserve">str. 630 genes (Materials &amp; Methods) we implemented two steps of abundance normalization to compare expression between groups. Transcript abundances for each target gene were first corrected to both read length and target gene length, which resulted in an average per-base expression level for each. Adjusted values were then down-sampled to the same total read abundance for each mapping effort, allowing for even comparison between the conditions. Additionally, before proceeding with the analysis we did and assessed variation in expression of select bacterial housekeeping genes across treatment groups (Fig. S5A). Due to the heterogeneity of</w:t>
      </w:r>
      <w:r>
        <w:t xml:space="preserve"> </w:t>
      </w:r>
      <w:r>
        <w:rPr>
          <w:i/>
        </w:rPr>
        <w:t xml:space="preserve">C. difficile</w:t>
      </w:r>
      <w:r>
        <w:t xml:space="preserve"> </w:t>
      </w:r>
      <w:r>
        <w:t xml:space="preserve">reference genes across strains</w:t>
      </w:r>
      <w:r>
        <w:t xml:space="preserve"> </w:t>
      </w:r>
      <w:r>
        <w:t xml:space="preserve">(27)</w:t>
      </w:r>
      <w:r>
        <w:t xml:space="preserve">, DNA gyrase subunit A (GyrA), threonyl-tRNA synthetase (ThrS), and ATP-dependent Clp protease (ClpP) were chosen because of their conservation across bacterial phyla and have been commonly utilized as standards of comparison for numerous transcriptional studies</w:t>
      </w:r>
      <w:r>
        <w:t xml:space="preserve"> </w:t>
      </w:r>
      <w:r>
        <w:t xml:space="preserve">(14, 28, 29)</w:t>
      </w:r>
      <w:r>
        <w:t xml:space="preserve">. Consistent expression for each of the housekeeping genes was observed across treatments, which supported that our results were more likely to be a true reflection of</w:t>
      </w:r>
      <w:r>
        <w:t xml:space="preserve"> </w:t>
      </w:r>
      <w:r>
        <w:rPr>
          <w:i/>
        </w:rPr>
        <w:t xml:space="preserve">C. difficile</w:t>
      </w:r>
      <w:r>
        <w:t xml:space="preserve"> </w:t>
      </w:r>
      <w:r>
        <w:t xml:space="preserve">expression</w:t>
      </w:r>
      <w:r>
        <w:t xml:space="preserve"> </w:t>
      </w:r>
      <w:r>
        <w:rPr>
          <w:i/>
        </w:rPr>
        <w:t xml:space="preserve">in vivo</w:t>
      </w:r>
      <w:r>
        <w:t xml:space="preserve">.</w:t>
      </w:r>
    </w:p>
    <w:p>
      <w:pPr>
        <w:pStyle w:val="BodyText"/>
      </w:pPr>
      <w:r>
        <w:t xml:space="preserve">Our initial transcriptomic analysis focused on genes involved in sporulation, toxin production, quorum sensing, and metabolite-regulated sigma factors (Fig. S3). Despite large-scale differences between pretreatment groups, no clear trends were evident between gene expression and colonization, sporulation, or toxin production. This further indicated that</w:t>
      </w:r>
      <w:r>
        <w:t xml:space="preserve"> </w:t>
      </w:r>
      <w:r>
        <w:rPr>
          <w:i/>
        </w:rPr>
        <w:t xml:space="preserve">C. difficile</w:t>
      </w:r>
      <w:r>
        <w:t xml:space="preserve"> </w:t>
      </w:r>
      <w:r>
        <w:t xml:space="preserve">adapted its metabolism to the environment that it colonized. As such, we next focused on specific groups of genes known to contribute to</w:t>
      </w:r>
      <w:r>
        <w:t xml:space="preserve"> </w:t>
      </w:r>
      <w:r>
        <w:rPr>
          <w:i/>
        </w:rPr>
        <w:t xml:space="preserve">C. difficile</w:t>
      </w:r>
      <w:r>
        <w:t xml:space="preserve"> </w:t>
      </w:r>
      <w:r>
        <w:t xml:space="preserve">metabolism (Fig. 2A &amp; Table S1).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(30)</w:t>
      </w:r>
      <w:r>
        <w:t xml:space="preserve">. This suggested that</w:t>
      </w:r>
      <w:r>
        <w:t xml:space="preserve"> </w:t>
      </w:r>
      <w:r>
        <w:rPr>
          <w:i/>
        </w:rPr>
        <w:t xml:space="preserve">C. difficile</w:t>
      </w:r>
      <w:r>
        <w:t xml:space="preserve"> </w:t>
      </w:r>
      <w:r>
        <w:t xml:space="preserve">catabolized environmental amino acids during infection, regardless of the structure of the surrounding community. Although there were gene categories that were equally expressed across conditions in spite of the community differences, there were patterns of expression for certain gene families and specific genes that were distinct to each antibiotic pretreatment. In mice pretreated with cefoperazone,</w:t>
      </w:r>
      <w:r>
        <w:t xml:space="preserve"> </w:t>
      </w:r>
      <w:r>
        <w:rPr>
          <w:i/>
        </w:rPr>
        <w:t xml:space="preserve">C. difficile</w:t>
      </w:r>
      <w:r>
        <w:t xml:space="preserve"> </w:t>
      </w:r>
      <w:r>
        <w:t xml:space="preserve">tended to have more expression of genes in the ABC sugar transporter and sugar alcohol catabolism (e.g. mannitol) families and fewer genes in the PTS transporter family than the other pretreatment groups. In mice pretreated with clindamycin,</w:t>
      </w:r>
      <w:r>
        <w:t xml:space="preserve"> </w:t>
      </w:r>
      <w:r>
        <w:rPr>
          <w:i/>
        </w:rPr>
        <w:t xml:space="preserve">C. difficile</w:t>
      </w:r>
      <w:r>
        <w:t xml:space="preserve"> </w:t>
      </w:r>
      <w:r>
        <w:t xml:space="preserve">tended to have higher expression of genes from disaccharide catabolism (e.g. beta-galactosidases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the clindamycin-pretreated mice. Finally, in mice pretreated with streptomycin,</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created a generalizeable tool to</w:t>
      </w:r>
      <w:r>
        <w:t xml:space="preserve"> </w:t>
      </w:r>
      <w:r>
        <w:rPr>
          <w:i/>
        </w:rPr>
        <w:t xml:space="preserve">de novo</w:t>
      </w:r>
      <w:r>
        <w:t xml:space="preserve"> </w:t>
      </w:r>
      <w:r>
        <w:t xml:space="preserve">generate genome-enabled directed, bipartite metabolic models of bacterial species using KEGG gene and biochemical reaction annotations. We implemented this for</w:t>
      </w:r>
      <w:r>
        <w:t xml:space="preserve"> </w:t>
      </w:r>
      <w:r>
        <w:rPr>
          <w:i/>
        </w:rPr>
        <w:t xml:space="preserve">C. difficile</w:t>
      </w:r>
      <w:r>
        <w:t xml:space="preserve"> </w:t>
      </w:r>
      <w:r>
        <w:t xml:space="preserve">str. 630 shown in Fig. 3A, with enzymes and metabolites were represented by nodes, and their interactions by directed connecting edges. The</w:t>
      </w:r>
      <w:r>
        <w:t xml:space="preserve"> </w:t>
      </w:r>
      <w:r>
        <w:rPr>
          <w:i/>
        </w:rPr>
        <w:t xml:space="preserve">C. difficile</w:t>
      </w:r>
      <w:r>
        <w:t xml:space="preserve"> </w:t>
      </w:r>
      <w:r>
        <w:t xml:space="preserve">str. 630 network we created contained a total of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(31)</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(32)</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(33)</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(33)</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reflected the defined biological patterns of</w:t>
      </w:r>
      <w:r>
        <w:t xml:space="preserve"> </w:t>
      </w:r>
      <w:r>
        <w:rPr>
          <w:i/>
        </w:rPr>
        <w:t xml:space="preserve">C. difficile</w:t>
      </w:r>
      <w:r>
        <w:t xml:space="preserve"> </w:t>
      </w:r>
      <w:r>
        <w:t xml:space="preserve">and was therefore a viable platform to study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the transcriptomic results into the metabolic model to infer which metabolites</w:t>
      </w:r>
      <w:r>
        <w:t xml:space="preserve"> </w:t>
      </w:r>
      <w:r>
        <w:rPr>
          <w:i/>
        </w:rPr>
        <w:t xml:space="preserve">C. difficile</w:t>
      </w:r>
      <w:r>
        <w:t xml:space="preserve"> </w:t>
      </w:r>
      <w:r>
        <w:t xml:space="preserve">most likely utilized from a given environment. To accomplish this we mapped normalized transcript abundances to the enzyme nodes in the network. Similar approaches have been previously successful in demonstrating that transcript abundance data can be utilized through the lense of genome-scale metabolic networks to accurately predict microbial metabolic responses to environmental pertubation and identify reporter metabolites of changes</w:t>
      </w:r>
      <w:r>
        <w:t xml:space="preserve"> </w:t>
      </w:r>
      <w:r>
        <w:t xml:space="preserve">(34)</w:t>
      </w:r>
      <w:r>
        <w:t xml:space="preserve">. In our system, the importance of each metabolite was measured as the log</w:t>
      </w:r>
      <w:r>
        <w:rPr>
          <w:vertAlign w:val="subscript"/>
        </w:rPr>
        <w:t xml:space="preserve">2</w:t>
      </w:r>
      <w:r>
        <w:t xml:space="preserve">-transformed difference in average transcript levels of enzymes that use the metabolite as a substrate and those that generate the metabolite as a product (Fig. 3B). A metabolite with a high importance score was more likely obtained from the environment because the expression of genes for enzymes that produce the metabolite were low. It is important to note here that molecules that are more likely produced in our model are not necessarily likely to be released to the environment. Our models do not include the synthesis of large macromolecules (ie. long polypeptides or cytoskeleton) and should therefore only be utilized to consider input metabolites to a network. Due to the previously mentioned limited technical replication of sequencing efforts, we adopted a Monte Carlo-style simulation for iterative random transcriptome comparison to provide statistical validation of our network-based findings. This process generated random score distributions for each metabolite node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(Fig. 4A).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(21)</w:t>
      </w:r>
      <w:r>
        <w:t xml:space="preserve">. We went on to confirm that our strain of</w:t>
      </w:r>
      <w:r>
        <w:t xml:space="preserve"> </w:t>
      </w:r>
      <w:r>
        <w:rPr>
          <w:i/>
        </w:rPr>
        <w:t xml:space="preserve">C. difficile</w:t>
      </w:r>
      <w:r>
        <w:t xml:space="preserve"> </w:t>
      </w:r>
      <w:r>
        <w:t xml:space="preserve">could metabolize GlcNAc for growth (Fig. 4B) in</w:t>
      </w:r>
      <w:r>
        <w:t xml:space="preserve"> </w:t>
      </w:r>
      <w:r>
        <w:rPr>
          <w:i/>
        </w:rPr>
        <w:t xml:space="preserve">C. difficile</w:t>
      </w:r>
      <w:r>
        <w:t xml:space="preserve"> </w:t>
      </w:r>
      <w:r>
        <w:t xml:space="preserve">minimal media</w:t>
      </w:r>
      <w:r>
        <w:t xml:space="preserve"> </w:t>
      </w:r>
      <w:r>
        <w:t xml:space="preserve">(35)</w:t>
      </w:r>
      <w:r>
        <w:t xml:space="preserve">. The Stickland fermentation acceptor proline was also found to be important in all conditions tested</w:t>
      </w:r>
      <w:r>
        <w:t xml:space="preserve"> </w:t>
      </w:r>
      <w:r>
        <w:t xml:space="preserve">(36)</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indicated that</w:t>
      </w:r>
      <w:r>
        <w:t xml:space="preserve"> </w:t>
      </w:r>
      <w:r>
        <w:rPr>
          <w:i/>
        </w:rPr>
        <w:t xml:space="preserve">C. difficile</w:t>
      </w:r>
      <w:r>
        <w:t xml:space="preserve"> </w:t>
      </w:r>
      <w:r>
        <w:t xml:space="preserve">uses both sets of metabolites</w:t>
      </w:r>
      <w:r>
        <w:t xml:space="preserve"> </w:t>
      </w:r>
      <w:r>
        <w:t xml:space="preserve">(21)</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additional aliquots of cecal content from the antibiotic-treated and GF mice used in all previous analyses. We employed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GlcNAc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lower across all susceptible conditions (Fig. 5D; all</w:t>
      </w:r>
      <w:r>
        <w:t xml:space="preserve"> </w:t>
      </w:r>
      <w:r>
        <w:rPr>
          <w:i/>
        </w:rPr>
        <w:t xml:space="preserve">P</w:t>
      </w:r>
      <w:r>
        <w:t xml:space="preserve"> </w:t>
      </w:r>
      <w:r>
        <w:t xml:space="preserve">&lt; 0.05). Succinate was significantly higher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potential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in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cefoperazone-pretreated mice (Fig. S6D;</w:t>
      </w:r>
      <w:r>
        <w:t xml:space="preserve"> </w:t>
      </w:r>
      <w:r>
        <w:rPr>
          <w:i/>
        </w:rPr>
        <w:t xml:space="preserve">P</w:t>
      </w:r>
      <w:r>
        <w:t xml:space="preserve"> </w:t>
      </w:r>
      <w:r>
        <w:t xml:space="preserve">&lt; 0.05). The Stickland donors leucine and isoleucine were significantly lower in all infected conditions except streptomycin-pretreated mice (Fig. S6A and S6B; all</w:t>
      </w:r>
      <w:r>
        <w:t xml:space="preserve"> </w:t>
      </w:r>
      <w:r>
        <w:rPr>
          <w:i/>
        </w:rPr>
        <w:t xml:space="preserve">P</w:t>
      </w:r>
      <w:r>
        <w:t xml:space="preserve"> </w:t>
      </w:r>
      <w:r>
        <w:t xml:space="preserve">&lt; 0.05). Concentrations of alanine were also lower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cefoperazone-pretreated mice (Fig. 5C). Although a lower the concentration of succinate in both streptomycin and clindamycin pretreated mice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(14, 21)</w:t>
      </w:r>
      <w:r>
        <w:t xml:space="preserve">, but also to the context of the specific gut environment in which it finds itself. 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representatives from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This allowed us to observe that</w:t>
      </w:r>
      <w:r>
        <w:t xml:space="preserve"> </w:t>
      </w:r>
      <w:r>
        <w:rPr>
          <w:i/>
        </w:rPr>
        <w:t xml:space="preserve">C. difficile</w:t>
      </w:r>
      <w:r>
        <w:t xml:space="preserve"> </w:t>
      </w:r>
      <w:r>
        <w:t xml:space="preserve">likely genenrated energy by metabolizing specific alternative carbohydrates, carboxylic acids, and aminoglycans across colonized conditions.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greater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An explanation for the differences seen in metabolite importance and substrate availability could be the concomitant lower population density of one or more competitors for certain resources. Ex-GF mice, where no other microbial competitors are present, provided a partially controlled system of resource competition. In this condition, Neu5Ac was found to be the most important substrate and concentrations Neu5Ac were significantly higher in susceptible mice. The concentrations of Neu5Ac were concordantly lower in infected mice relative to mock-infected mice.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(14, 21)</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indeed dropped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(37)</w:t>
      </w:r>
      <w:r>
        <w:t xml:space="preserve">. This makes Stickland fermentation a valuable metabolic strategy, and it stands to reason that</w:t>
      </w:r>
      <w:r>
        <w:t xml:space="preserve"> </w:t>
      </w:r>
      <w:r>
        <w:rPr>
          <w:i/>
        </w:rPr>
        <w:t xml:space="preserve">C. difficile</w:t>
      </w:r>
      <w:r>
        <w:t xml:space="preserve"> </w:t>
      </w:r>
      <w:r>
        <w:t xml:space="preserve">would use this strategy across all environments it colonizes. This same principle may also extend to host mucus layer derived aminoglycans as they are another source of carbon and nitrogen which, despite augmented release by members of the microbiota</w:t>
      </w:r>
      <w:r>
        <w:t xml:space="preserve"> </w:t>
      </w:r>
      <w:r>
        <w:t xml:space="preserve">(38)</w:t>
      </w:r>
      <w:r>
        <w:t xml:space="preserve">, would be present at some basal concentration regardless of other species' intercession. Finally, we did find disagreement in some metabolite importance scores and the difference in</w:t>
      </w:r>
      <w:r>
        <w:t xml:space="preserve"> </w:t>
      </w:r>
      <w:r>
        <w:rPr>
          <w:i/>
        </w:rPr>
        <w:t xml:space="preserve">in vivo</w:t>
      </w:r>
      <w:r>
        <w:t xml:space="preserve"> </w:t>
      </w:r>
      <w:r>
        <w:t xml:space="preserve">concentration of previously suggested</w:t>
      </w:r>
      <w:r>
        <w:t xml:space="preserve"> </w:t>
      </w:r>
      <w:r>
        <w:rPr>
          <w:i/>
        </w:rPr>
        <w:t xml:space="preserve">C. difficile</w:t>
      </w:r>
      <w:r>
        <w:t xml:space="preserve"> </w:t>
      </w:r>
      <w:r>
        <w:t xml:space="preserve">growth substrates between mock infected and infected mice. This may indicate a nutrient preference hierarchy during infection. Based on our results, we propose that amino acids are prized above all other substrates, followed by aminoglycans, then carbohydrates, sugar alcohols, or carboxylic acids depending on their availability in the environment.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confirm.</w:t>
      </w:r>
    </w:p>
    <w:p>
      <w:pPr>
        <w:pStyle w:val="BodyText"/>
      </w:pPr>
      <w:r>
        <w:t xml:space="preserve">Our systems approach to studying</w:t>
      </w:r>
      <w:r>
        <w:t xml:space="preserve"> </w:t>
      </w:r>
      <w:r>
        <w:rPr>
          <w:i/>
        </w:rPr>
        <w:t xml:space="preserve">C. difficile</w:t>
      </w:r>
      <w:r>
        <w:t xml:space="preserve"> </w:t>
      </w:r>
      <w:r>
        <w:t xml:space="preserve">metabolism during the infection of susceptible communities is novel because it combines multiple levels of biological data to identify metabolic trends that would not be apparent by a single method.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the signal contributed by those metabolites on the periphery of the network, which are more likely to be imported from the environment, was amplified. This approach could be especially useful for identifying edges of competition for nutrients between colonizing pathogens and indigenous communties of bacteria, as is the case with</w:t>
      </w:r>
      <w:r>
        <w:t xml:space="preserve"> </w:t>
      </w:r>
      <w:r>
        <w:rPr>
          <w:i/>
        </w:rPr>
        <w:t xml:space="preserve">C. difficile</w:t>
      </w:r>
      <w:r>
        <w:t xml:space="preserve">. Our modeling platform may also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Although this may be a shortcoming of the genome annotation, one group has posited that</w:t>
      </w:r>
      <w:r>
        <w:t xml:space="preserve"> </w:t>
      </w:r>
      <w:r>
        <w:rPr>
          <w:i/>
        </w:rPr>
        <w:t xml:space="preserve">C. difficile</w:t>
      </w:r>
      <w:r>
        <w:t xml:space="preserve"> </w:t>
      </w:r>
      <w:r>
        <w:t xml:space="preserve">may actually be autotrophic under certain conditions</w:t>
      </w:r>
      <w:r>
        <w:t xml:space="preserve"> </w:t>
      </w:r>
      <w:r>
        <w:t xml:space="preserve">(39)</w:t>
      </w:r>
      <w:r>
        <w:t xml:space="preserve">. These findings highlight that our method not only identifies growth substrates, but reports all metabolites that are being utilized for other processes.</w:t>
      </w:r>
    </w:p>
    <w:p>
      <w:pPr>
        <w:pStyle w:val="BodyText"/>
      </w:pPr>
      <w:r>
        <w:t xml:space="preserve">Several factors limited our ability to generate and interpret transcriptomic and metabolomic data. Most prominently, we were forced to pool the cecal contents of multiple animals to generate a sufficient quantity of high quality RNA that would permit us to sample the transcriptome of a rare member of the microbiome. Due to possible biological variation between samples that could be masked by this approach, we quantified within-group sample variation for vegetative CFU, 16S rRNA gene abundance, and untargeted mass-spectrometry (Fig. S5B-D). This revealed extremely low variablity in each treatment group at multiple levels of biology, and since these data were collected using matched cecal samples, we were more confident that our transcriptomic results reflected reality. Metabolomic comparisons were also complicated by the fact that multiple organisms contribute to the metabolite pool. The metabolic patterns of the other species in each system (host and microbe) could instead be altered by pathogen colonization. As the concentrations of metabolites in our untargeted assay were reported in relative terms, it was difficult to discern whether the available biomass of</w:t>
      </w:r>
      <w:r>
        <w:t xml:space="preserve"> </w:t>
      </w:r>
      <w:r>
        <w:rPr>
          <w:i/>
        </w:rPr>
        <w:t xml:space="preserve">C. difficile</w:t>
      </w:r>
      <w:r>
        <w:t xml:space="preserve"> </w:t>
      </w:r>
      <w:r>
        <w:t xml:space="preserve">reaches a level to create these differences on its own. Possible limitations of our modeling approach also existed, despite much of our results being consistent with previously published work and our own untargeted metabolomic analysis. Ultimately, the metabolite importance calculation is dependent on correct and existing gene annotation. In this regard it has been shown that the pathway annotations in KEGG are robust to missing elements</w:t>
      </w:r>
      <w:r>
        <w:t xml:space="preserve"> </w:t>
      </w:r>
      <w:r>
        <w:t xml:space="preserve">(40)</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 Ultimately, the application of multiple methods to study the altered physiology of</w:t>
      </w:r>
      <w:r>
        <w:t xml:space="preserve"> </w:t>
      </w:r>
      <w:r>
        <w:rPr>
          <w:i/>
        </w:rPr>
        <w:t xml:space="preserve">C. difficile</w:t>
      </w:r>
      <w:r>
        <w:t xml:space="preserve"> </w:t>
      </w:r>
      <w:r>
        <w:t xml:space="preserve">in mock-infected and infected communities allowed us to validate our results based on known elements of</w:t>
      </w:r>
      <w:r>
        <w:t xml:space="preserve"> </w:t>
      </w:r>
      <w:r>
        <w:rPr>
          <w:i/>
        </w:rPr>
        <w:t xml:space="preserve">C. difficile</w:t>
      </w:r>
      <w:r>
        <w:t xml:space="preserve"> </w:t>
      </w:r>
      <w:r>
        <w:t xml:space="preserve">biology and to internally cross validate the novel results from our experiments. Ultimately, these results combine to underscore predictions of nutrient niche plasticity.</w:t>
      </w:r>
    </w:p>
    <w:p>
      <w:pPr>
        <w:pStyle w:val="BodyText"/>
      </w:pPr>
      <w:r>
        <w:t xml:space="preserve">Our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Focusing on previously established metabolic capabilities of the pathogen, we identify that these forms of metabolism are differentially important to</w:t>
      </w:r>
      <w:r>
        <w:t xml:space="preserve"> </w:t>
      </w:r>
      <w:r>
        <w:rPr>
          <w:i/>
        </w:rPr>
        <w:t xml:space="preserve">C. difficile</w:t>
      </w:r>
      <w:r>
        <w:t xml:space="preserve"> </w:t>
      </w:r>
      <w:r>
        <w:t xml:space="preserve">when colonizing distinct environments.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described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(41)</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(42)</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(43)</w:t>
      </w:r>
      <w:r>
        <w:t xml:space="preserve">. Briefly, filtered-sterilized cecal content was serially diluted in PBS and added to Vero cells in a 96-well plate. Plates were blinded and viewed after 24 hour incubation for cell rounding. A more detailed protocol with product information can be found at:</w:t>
      </w:r>
      <w:r>
        <w:t xml:space="preserve"> </w:t>
      </w:r>
      <w:hyperlink r:id="rId27">
        <w:r>
          <w:rPr>
            <w:rStyle w:val="Hyperlink"/>
          </w:rPr>
          <w:t xml:space="preserve">https://github.com/SchlossLab/Jenior_Modeling_mSystems_2017/blob/master/protocols/toxin_assay/Verocell_ToxinActivity_Assay.Rmd</w:t>
        </w:r>
      </w:hyperlink>
    </w:p>
    <w:p>
      <w:pPr>
        <w:pStyle w:val="BodyText"/>
      </w:pPr>
      <w:r>
        <w:rPr>
          <w:b/>
        </w:rPr>
        <w:t xml:space="preserve">16S rRNA gene sequencing and read curation.</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(44)</w:t>
      </w:r>
      <w:r>
        <w:t xml:space="preserve">. All 63 samples were sequenced on a single sequencing run. The 16S rRNA gene sequences were curated using the mothur software package (v1.36), as described previously</w:t>
      </w:r>
      <w:r>
        <w:t xml:space="preserve"> </w:t>
      </w:r>
      <w:r>
        <w:t xml:space="preserve">(44)</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(45)</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(46)</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DNase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cDNA read curation, mapping, and normalization.</w:t>
      </w:r>
      <w:r>
        <w:t xml:space="preserve"> </w:t>
      </w:r>
      <w:r>
        <w:t xml:space="preserve">Raw read curation was performed in a two step process. First, residual 5’ and 3’ Illumina adapter sequences were removed using CutAdapt</w:t>
      </w:r>
      <w:r>
        <w:t xml:space="preserve"> </w:t>
      </w:r>
      <w:r>
        <w:t xml:space="preserve">(47)</w:t>
      </w:r>
      <w:r>
        <w:t xml:space="preserve"> </w:t>
      </w:r>
      <w:r>
        <w:t xml:space="preserve">on a per library basis. Reads were then quality trimmed using Sickle (Joshi, 2011) on the default settings. An average of ~261,000,000 total reads (both paired and orphaned) remained after quality trimming. Mapping was accomplished using Bowtie2</w:t>
      </w:r>
      <w:r>
        <w:t xml:space="preserve"> </w:t>
      </w:r>
      <w:r>
        <w:t xml:space="preserve">(48)</w:t>
      </w:r>
      <w:r>
        <w:t xml:space="preserve"> </w:t>
      </w:r>
      <w:r>
        <w:t xml:space="preserve">and the default stringent settings allowing for 0 mismatches again target reference genes. An average of ~6,880,000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(49)</w:t>
      </w:r>
      <w:r>
        <w:t xml:space="preserve">. Optical and PCR duplicates were then removed using Picard MarkDuplicates (</w:t>
      </w:r>
      <w:hyperlink r:id="rId28">
        <w:r>
          <w:rPr>
            <w:rStyle w:val="Hyperlink"/>
          </w:rPr>
          <w:t xml:space="preserve">http://broadinstitute.github.io/picard/</w:t>
        </w:r>
      </w:hyperlink>
      <w:r>
        <w:t xml:space="preserve">), leaving an average of ~167,000 reads per sample for final analysis (Table S5). The remaining mappings were converted to idxstats format using Samtools</w:t>
      </w:r>
      <w:r>
        <w:t xml:space="preserve"> </w:t>
      </w:r>
      <w:r>
        <w:t xml:space="preserve">(50)</w:t>
      </w:r>
      <w:r>
        <w:t xml:space="preserve"> </w:t>
      </w:r>
      <w:r>
        <w:t xml:space="preserve">and the read counts per gene were tabulated. Discordant pair mappings were discarded and counts were then normalized to read length and gene length to give a per base report of gene coverage. Each collection of reads was then subsampled to 90% of the lowest sequence total across the libraries resulting in even quantities of normalized read abundances in each group to be utilized in downstream analysis. This method was chosen as normalization to housekeeping genes would artificially remove their contributions to metabolic flux and reduce the information provided by our metabolite importance calculations within our metabolic modeling approach.</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stain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strain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(51)</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http://www.github.com/SchlossLab/Jenior_Modeling_mSystems_2017</w:t>
        </w:r>
      </w:hyperlink>
      <w:r>
        <w:t xml:space="preserve">. The authors would additionally like to thank Geoffrey Hannigan Ph.D, Kaitlin Flynn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genome-enabled bipartite metabolic network architecture and transcriptomic-enabled metabolite importance calculation.</w:t>
      </w:r>
      <w:r>
        <w:t xml:space="preserve"> </w:t>
      </w:r>
      <w:r>
        <w:rPr>
          <w:b/>
        </w:rPr>
        <w:t xml:space="preserve">(A)</w:t>
      </w:r>
      <w:r>
        <w:t xml:space="preserve"> </w:t>
      </w:r>
      <w:r>
        <w:t xml:space="preserve">Largest component from the bipartite GEM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Analysis was performed using the 40 highest scoring metabolites from each condition.</w:t>
      </w:r>
      <w:r>
        <w:t xml:space="preserve"> </w:t>
      </w:r>
      <w:r>
        <w:rPr>
          <w:b/>
        </w:rPr>
        <w:t xml:space="preserve">(A)</w:t>
      </w:r>
      <w:r>
        <w:t xml:space="preserve"> </w:t>
      </w:r>
      <w:r>
        <w:t xml:space="preserve">Shared importance represents the median score of metabolites that were consistently important among all infected conditions. Below the conserved patterns, are shown the distinct important metabolites for each group.</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Levels of within-group variation across datasets generated for this study.</w:t>
      </w:r>
      <w:r>
        <w:t xml:space="preserve"> </w:t>
      </w:r>
      <w:r>
        <w:rPr>
          <w:b/>
        </w:rPr>
        <w:t xml:space="preserve">(A)</w:t>
      </w:r>
      <w:r>
        <w:t xml:space="preserve"> </w:t>
      </w:r>
      <w:r>
        <w:t xml:space="preserve">Normalized transcript abundance of select housekeeping and central metabolism genes. (I) Housekeeping genes; DNA gyrase subunit A (GyrA), threonyl-tRNA synthetase (ThrS), and ATP-dependent Clp protease (ClpP).(II) Genes in separate metabolic pathways that contribute to input substrate importance; enolase, glycine reductase (GrdA), and D-proline reductase (PrdA).</w:t>
      </w:r>
      <w:r>
        <w:t xml:space="preserve"> </w:t>
      </w:r>
      <w:r>
        <w:rPr>
          <w:b/>
        </w:rPr>
        <w:t xml:space="preserve">(B)</w:t>
      </w:r>
      <w:r>
        <w:t xml:space="preserve"> </w:t>
      </w:r>
      <w:r>
        <w:t xml:space="preserve">Median sample variance for vegetative</w:t>
      </w:r>
      <w:r>
        <w:t xml:space="preserve"> </w:t>
      </w:r>
      <w:r>
        <w:rPr>
          <w:i/>
        </w:rPr>
        <w:t xml:space="preserve">C. difficile</w:t>
      </w:r>
      <w:r>
        <w:t xml:space="preserve"> </w:t>
      </w:r>
      <w:r>
        <w:t xml:space="preserve">cfu from each colonized condition.</w:t>
      </w:r>
      <w:r>
        <w:t xml:space="preserve"> </w:t>
      </w:r>
      <w:r>
        <w:rPr>
          <w:b/>
        </w:rPr>
        <w:t xml:space="preserve">(C)</w:t>
      </w:r>
      <w:r>
        <w:t xml:space="preserve"> </w:t>
      </w:r>
      <w:r>
        <w:t xml:space="preserve">Median and interquartile range of the sample variance of OTU abundances from 16S rRNA gene sequencing, sample variances for each OTU were calculated individually prior to summary statistic calculations.</w:t>
      </w:r>
      <w:r>
        <w:t xml:space="preserve"> </w:t>
      </w:r>
      <w:r>
        <w:rPr>
          <w:b/>
        </w:rPr>
        <w:t xml:space="preserve">(D)</w:t>
      </w:r>
      <w:r>
        <w:t xml:space="preserve"> </w:t>
      </w:r>
      <w:r>
        <w:t xml:space="preserve">Median and interquartile range of the sample variance of Scaled intensities from untargeted metabolomic analysis, sample variances for each metabolite were in the same fashion as with OTU abundances. Data (other than transcriptomic results) was collected from the same nine animals per group were (n = 9).</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Specific genes and normalized cDNA read abundances included in analysis reported in Figure 2.</w:t>
      </w:r>
      <w:r>
        <w:t xml:space="preserve"> </w:t>
      </w:r>
      <w:r>
        <w:t xml:space="preserve">Transcript abundances reported in each of the antibiotic associated columns were first normalized to both sequencing read length and target gene length. Each of the three groups were then even subsampled to an equal total sequences abundance of 13,000 reads to allow for comparability between groups. Additional columns indicate specific gene annotation (gene, pathways, &amp; KEDD_ID) as well as which group each gene belongs for ternary plot (family).</w:t>
      </w:r>
    </w:p>
    <w:p>
      <w:pPr>
        <w:pStyle w:val="BodyText"/>
      </w:pPr>
      <w:r>
        <w:rPr>
          <w:b/>
        </w:rPr>
        <w:t xml:space="preserve">Supplementary Table 2 | Normalized cDNA read abundances, gene annotations, and enzymatic reaction information used for metabolic model building for</w:t>
      </w:r>
      <w:r>
        <w:rPr>
          <w:b/>
        </w:rPr>
        <w:t xml:space="preserve"> </w:t>
      </w:r>
      <w:r>
        <w:rPr>
          <w:i/>
          <w:b/>
        </w:rPr>
        <w:t xml:space="preserve">C. difficile</w:t>
      </w:r>
      <w:r>
        <w:rPr>
          <w:b/>
        </w:rPr>
        <w:t xml:space="preserve"> </w:t>
      </w:r>
      <w:r>
        <w:rPr>
          <w:b/>
        </w:rPr>
        <w:t xml:space="preserve">str. 630 KEGG orthologs across colonized conditions.</w:t>
      </w:r>
      <w:r>
        <w:t xml:space="preserve"> </w:t>
      </w:r>
      <w:r>
        <w:t xml:space="preserve">All KEGG orthologs included in the</w:t>
      </w:r>
      <w:r>
        <w:t xml:space="preserve"> </w:t>
      </w:r>
      <w:r>
        <w:rPr>
          <w:i/>
        </w:rPr>
        <w:t xml:space="preserve">C. difficile</w:t>
      </w:r>
      <w:r>
        <w:t xml:space="preserve"> </w:t>
      </w:r>
      <w:r>
        <w:t xml:space="preserve">str. 630 KEGG genome annotation (2015) were included in this analysis. Read abundances were normalized as previously outlined to sequencing read length, target gene length, and even total sampling between groups. Also included are individual enzyme annotation for each KEGG ortholog, as well as the associated biochemical reaction information extracted from reaction/reaction_mapformula.lst from KEGG. Together, KEGG ortholog and enzymatic reaction data were used to reconstruct the metabolic network of</w:t>
      </w:r>
      <w:r>
        <w:t xml:space="preserve"> </w:t>
      </w:r>
      <w:r>
        <w:rPr>
          <w:i/>
        </w:rPr>
        <w:t xml:space="preserve">C. difficile</w:t>
      </w:r>
      <w:r>
        <w:t xml:space="preserve"> </w:t>
      </w:r>
      <w:r>
        <w:t xml:space="preserve">str. 630 in presented analyses.</w:t>
      </w:r>
    </w:p>
    <w:p>
      <w:pPr>
        <w:pStyle w:val="BodyText"/>
      </w:pPr>
      <w:r>
        <w:rPr>
          <w:b/>
        </w:rPr>
        <w:t xml:space="preserve">Supplementary Table 3 | Topology metrics for enzyme and metabolite nodes in the</w:t>
      </w:r>
      <w:r>
        <w:rPr>
          <w:b/>
        </w:rPr>
        <w:t xml:space="preserve"> </w:t>
      </w:r>
      <w:r>
        <w:rPr>
          <w:i/>
          <w:b/>
        </w:rPr>
        <w:t xml:space="preserve">C. difficile</w:t>
      </w:r>
      <w:r>
        <w:rPr>
          <w:b/>
        </w:rPr>
        <w:t xml:space="preserve"> </w:t>
      </w:r>
      <w:r>
        <w:rPr>
          <w:b/>
        </w:rPr>
        <w:t xml:space="preserve">str. 630 metabolic network.</w:t>
      </w:r>
      <w:r>
        <w:t xml:space="preserve"> </w:t>
      </w:r>
      <w:r>
        <w:t xml:space="preserve">Topology analysis of the metabolic network assembled for this study was performed in the absence of transcriptomic data to assess quality of</w:t>
      </w:r>
      <w:r>
        <w:t xml:space="preserve"> </w:t>
      </w:r>
      <w:r>
        <w:rPr>
          <w:i/>
        </w:rPr>
        <w:t xml:space="preserve">de novo</w:t>
      </w:r>
      <w:r>
        <w:t xml:space="preserve"> </w:t>
      </w:r>
      <w:r>
        <w:t xml:space="preserve">assembled network in its reflection of known bacterial metabolism patterns. Enzyme and metabolite node analysis are presented on separate tabs. Centrality metrics and brief explanations are as follows: Degree is the total number of connections for a given node (both incoming and outgoing), Betweenness is the number of shortest paths connecting all other nodes pairs that pass through the node of interest, and Closeness is the inverse sum of shortest path length that pass through the node of interest. Combined these calculation inform how strongly connected a node is and how vital it is too overall network structure.</w:t>
      </w:r>
    </w:p>
    <w:p>
      <w:pPr>
        <w:pStyle w:val="BodyText"/>
      </w:pPr>
      <w:r>
        <w:rPr>
          <w:b/>
        </w:rPr>
        <w:t xml:space="preserve">Supplementary Table 4 | Metabolites with significant importance scores for</w:t>
      </w:r>
      <w:r>
        <w:rPr>
          <w:b/>
        </w:rPr>
        <w:t xml:space="preserve"> </w:t>
      </w:r>
      <w:r>
        <w:rPr>
          <w:i/>
          <w:b/>
        </w:rPr>
        <w:t xml:space="preserve">C. difficile</w:t>
      </w:r>
      <w:r>
        <w:rPr>
          <w:b/>
        </w:rPr>
        <w:t xml:space="preserve"> </w:t>
      </w:r>
      <w:r>
        <w:rPr>
          <w:b/>
        </w:rPr>
        <w:t xml:space="preserve">in each colonized condition.</w:t>
      </w:r>
      <w:r>
        <w:t xml:space="preserve"> </w:t>
      </w:r>
      <w:r>
        <w:t xml:space="preserve">Each tab represents those metabolites found to exceed the significance cutoffs for</w:t>
      </w:r>
      <w:r>
        <w:t xml:space="preserve"> </w:t>
      </w:r>
      <w:r>
        <w:rPr>
          <w:i/>
        </w:rPr>
        <w:t xml:space="preserve">C. difficile</w:t>
      </w:r>
      <w:r>
        <w:t xml:space="preserve"> </w:t>
      </w:r>
      <w:r>
        <w:t xml:space="preserve">str. 630 after colonization of each of the respective susceptible states. These threshold were set for each metabolite independently through Monte Carlo simulation as outlined by Figure 3C. A</w:t>
      </w:r>
      <w:r>
        <w:t xml:space="preserve"> </w:t>
      </w:r>
      <w:r>
        <w:rPr>
          <w:i/>
        </w:rPr>
        <w:t xml:space="preserve">p</w:t>
      </w:r>
      <w:r>
        <w:t xml:space="preserve">-value of &lt; 0.05 corresponded to a metabolite scoring outside of the 95% confidence interval in the random distribution, and</w:t>
      </w:r>
      <w:r>
        <w:t xml:space="preserve"> </w:t>
      </w:r>
      <w:r>
        <w:rPr>
          <w:i/>
        </w:rPr>
        <w:t xml:space="preserve">p</w:t>
      </w:r>
      <w:r>
        <w:t xml:space="preserve"> </w:t>
      </w:r>
      <w:r>
        <w:t xml:space="preserve">&lt; 0.01 corresponds to those outside the 99% confidence interval. Confidence interval calculations for non-normal distributions were performed as defined by</w:t>
      </w:r>
      <w:r>
        <w:t xml:space="preserve"> </w:t>
      </w:r>
      <w:r>
        <w:t xml:space="preserve">(52)</w:t>
      </w:r>
      <w:r>
        <w:t xml:space="preserve">.</w:t>
      </w:r>
    </w:p>
    <w:p>
      <w:pPr>
        <w:pStyle w:val="BodyText"/>
      </w:pPr>
      <w:r>
        <w:rPr>
          <w:b/>
        </w:rPr>
        <w:t xml:space="preserve">Supplementary Table 5 |</w:t>
      </w:r>
      <w:r>
        <w:rPr>
          <w:b/>
        </w:rPr>
        <w:t xml:space="preserve"> </w:t>
      </w:r>
      <w:r>
        <w:rPr>
          <w:i/>
          <w:b/>
        </w:rPr>
        <w:t xml:space="preserve">In vitro</w:t>
      </w:r>
      <w:r>
        <w:rPr>
          <w:b/>
        </w:rPr>
        <w:t xml:space="preserve"> </w:t>
      </w:r>
      <w:r>
        <w:rPr>
          <w:b/>
        </w:rPr>
        <w:t xml:space="preserve">growth analysis for</w:t>
      </w:r>
      <w:r>
        <w:rPr>
          <w:b/>
        </w:rPr>
        <w:t xml:space="preserve"> </w:t>
      </w:r>
      <w:r>
        <w:rPr>
          <w:i/>
          <w:b/>
        </w:rPr>
        <w:t xml:space="preserve">C. difficile</w:t>
      </w:r>
      <w:r>
        <w:rPr>
          <w:b/>
        </w:rPr>
        <w:t xml:space="preserve"> </w:t>
      </w:r>
      <w:r>
        <w:rPr>
          <w:b/>
        </w:rPr>
        <w:t xml:space="preserve">630 with carbon sources identified by metabolic network algorithm.</w:t>
      </w:r>
      <w:r>
        <w:t xml:space="preserve"> </w:t>
      </w:r>
      <w:r>
        <w:t xml:space="preserve">Analysis of growth on important carbon sources to identify possible differences in utilization efficiency.</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w:t>
      </w:r>
      <w:r>
        <w:t xml:space="preserve"> </w:t>
      </w:r>
      <w:r>
        <w:rPr>
          <w:i/>
        </w:rPr>
        <w:t xml:space="preserve">Clostridium difficile</w:t>
      </w:r>
      <w:r>
        <w:t xml:space="preserv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Janvilisri, T.</w:t>
      </w:r>
      <w:r>
        <w:t xml:space="preserve">,</w:t>
      </w:r>
      <w:r>
        <w:t xml:space="preserve"> </w:t>
      </w:r>
      <w:r>
        <w:rPr>
          <w:b/>
        </w:rPr>
        <w:t xml:space="preserve">J. Scaria</w:t>
      </w:r>
      <w:r>
        <w:t xml:space="preserve">,</w:t>
      </w:r>
      <w:r>
        <w:t xml:space="preserve"> </w:t>
      </w:r>
      <w:r>
        <w:rPr>
          <w:b/>
        </w:rPr>
        <w:t xml:space="preserve">A. D. Thompson</w:t>
      </w:r>
      <w:r>
        <w:t xml:space="preserve">,</w:t>
      </w:r>
      <w:r>
        <w:t xml:space="preserve"> </w:t>
      </w:r>
      <w:r>
        <w:rPr>
          <w:b/>
        </w:rPr>
        <w:t xml:space="preserve">A. Nicholson</w:t>
      </w:r>
      <w:r>
        <w:t xml:space="preserve">,</w:t>
      </w:r>
      <w:r>
        <w:t xml:space="preserve"> </w:t>
      </w:r>
      <w:r>
        <w:rPr>
          <w:b/>
        </w:rPr>
        <w:t xml:space="preserve">B. M. Limbago</w:t>
      </w:r>
      <w:r>
        <w:t xml:space="preserve">,</w:t>
      </w:r>
      <w:r>
        <w:t xml:space="preserve"> </w:t>
      </w:r>
      <w:r>
        <w:rPr>
          <w:b/>
        </w:rPr>
        <w:t xml:space="preserve">L. G. Arroyo</w:t>
      </w:r>
      <w:r>
        <w:t xml:space="preserve">,</w:t>
      </w:r>
      <w:r>
        <w:t xml:space="preserve"> </w:t>
      </w:r>
      <w:r>
        <w:rPr>
          <w:b/>
        </w:rPr>
        <w:t xml:space="preserve">J. G. Songer</w:t>
      </w:r>
      <w:r>
        <w:t xml:space="preserve">,</w:t>
      </w:r>
      <w:r>
        <w:t xml:space="preserve"> </w:t>
      </w:r>
      <w:r>
        <w:rPr>
          <w:b/>
        </w:rPr>
        <w:t xml:space="preserve">Y. T. Gröhn</w:t>
      </w:r>
      <w:r>
        <w:t xml:space="preserve">, and</w:t>
      </w:r>
      <w:r>
        <w:t xml:space="preserve"> </w:t>
      </w:r>
      <w:r>
        <w:rPr>
          <w:b/>
        </w:rPr>
        <w:t xml:space="preserve">Y. F. Chang</w:t>
      </w:r>
      <w:r>
        <w:t xml:space="preserve">. 2009. Microarray identification of</w:t>
      </w:r>
      <w:r>
        <w:t xml:space="preserve"> </w:t>
      </w:r>
      <w:r>
        <w:rPr>
          <w:i/>
        </w:rPr>
        <w:t xml:space="preserve">Clostridium difficile</w:t>
      </w:r>
      <w:r>
        <w:t xml:space="preserve"> </w:t>
      </w:r>
      <w:r>
        <w:t xml:space="preserve">core components and divergent regions associated with host origin. Journal of Bacteriology</w:t>
      </w:r>
      <w:r>
        <w:t xml:space="preserve"> </w:t>
      </w:r>
      <w:r>
        <w:rPr>
          <w:b/>
        </w:rPr>
        <w:t xml:space="preserve">191</w:t>
      </w:r>
      <w:r>
        <w:t xml:space="preserve">:3881–3891.</w:t>
      </w:r>
    </w:p>
    <w:p>
      <w:pPr>
        <w:pStyle w:val="Bibliography"/>
      </w:pPr>
      <w:r>
        <w:t xml:space="preserve">17.</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w:t>
      </w:r>
      <w:r>
        <w:t xml:space="preserve"> </w:t>
      </w:r>
      <w:r>
        <w:rPr>
          <w:i/>
        </w:rPr>
        <w:t xml:space="preserve">Campylobacter jejuni</w:t>
      </w:r>
      <w:r>
        <w:t xml:space="preserve"> </w:t>
      </w:r>
      <w:r>
        <w:t xml:space="preserve">strains from different sources reveal a generalist rather than a specialist lifestyle. BMC Genomics</w:t>
      </w:r>
      <w:r>
        <w:t xml:space="preserve"> </w:t>
      </w:r>
      <w:r>
        <w:rPr>
          <w:b/>
        </w:rPr>
        <w:t xml:space="preserve">12</w:t>
      </w:r>
      <w:r>
        <w:t xml:space="preserve">:584.</w:t>
      </w:r>
    </w:p>
    <w:p>
      <w:pPr>
        <w:pStyle w:val="Bibliography"/>
      </w:pPr>
      <w:r>
        <w:t xml:space="preserve">18.</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19.</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20.</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21.</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22.</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23.</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Metcalf, D.</w:t>
      </w:r>
      <w:r>
        <w:t xml:space="preserve">,</w:t>
      </w:r>
      <w:r>
        <w:t xml:space="preserve"> </w:t>
      </w:r>
      <w:r>
        <w:rPr>
          <w:b/>
        </w:rPr>
        <w:t xml:space="preserve">S. Sharif</w:t>
      </w:r>
      <w:r>
        <w:t xml:space="preserve">, and</w:t>
      </w:r>
      <w:r>
        <w:t xml:space="preserve"> </w:t>
      </w:r>
      <w:r>
        <w:rPr>
          <w:b/>
        </w:rPr>
        <w:t xml:space="preserve">J. Weese</w:t>
      </w:r>
      <w:r>
        <w:t xml:space="preserve">. 2010. Evaluation of candidate reference genes in Clostridium difficile for gene expression normalization. Anaerobe</w:t>
      </w:r>
      <w:r>
        <w:t xml:space="preserve"> </w:t>
      </w:r>
      <w:r>
        <w:rPr>
          <w:b/>
        </w:rPr>
        <w:t xml:space="preserve">16</w:t>
      </w:r>
      <w:r>
        <w:t xml:space="preserve">:439–443.</w:t>
      </w:r>
    </w:p>
    <w:p>
      <w:pPr>
        <w:pStyle w:val="Bibliography"/>
      </w:pPr>
      <w:r>
        <w:t xml:space="preserve">28.</w:t>
      </w:r>
      <w:r>
        <w:t xml:space="preserve"> </w:t>
      </w:r>
      <w:r>
        <w:rPr>
          <w:b/>
        </w:rPr>
        <w:t xml:space="preserve">Gendron, N.</w:t>
      </w:r>
      <w:r>
        <w:t xml:space="preserve">,</w:t>
      </w:r>
      <w:r>
        <w:t xml:space="preserve"> </w:t>
      </w:r>
      <w:r>
        <w:rPr>
          <w:b/>
        </w:rPr>
        <w:t xml:space="preserve">H. Putzer</w:t>
      </w:r>
      <w:r>
        <w:t xml:space="preserve">, and</w:t>
      </w:r>
      <w:r>
        <w:t xml:space="preserve"> </w:t>
      </w:r>
      <w:r>
        <w:rPr>
          <w:b/>
        </w:rPr>
        <w:t xml:space="preserve">M. Grunberg-Manago</w:t>
      </w:r>
      <w:r>
        <w:t xml:space="preserve">. 1994. Expression of both Bacillus subtilis threonyl-tRNA synthetase genes is autogenously regulated. Journal of Bacteriology</w:t>
      </w:r>
      <w:r>
        <w:t xml:space="preserve"> </w:t>
      </w:r>
      <w:r>
        <w:rPr>
          <w:b/>
        </w:rPr>
        <w:t xml:space="preserve">176</w:t>
      </w:r>
      <w:r>
        <w:t xml:space="preserve">:486–494.</w:t>
      </w:r>
    </w:p>
    <w:p>
      <w:pPr>
        <w:pStyle w:val="Bibliography"/>
      </w:pPr>
      <w:r>
        <w:t xml:space="preserve">29.</w:t>
      </w:r>
      <w:r>
        <w:t xml:space="preserve"> </w:t>
      </w:r>
      <w:r>
        <w:rPr>
          <w:b/>
        </w:rPr>
        <w:t xml:space="preserve">Sjögren, L.</w:t>
      </w:r>
      <w:r>
        <w:t xml:space="preserve">, and</w:t>
      </w:r>
      <w:r>
        <w:t xml:space="preserve"> </w:t>
      </w:r>
      <w:r>
        <w:rPr>
          <w:b/>
        </w:rPr>
        <w:t xml:space="preserve">A. Clarke</w:t>
      </w:r>
      <w:r>
        <w:t xml:space="preserve">. 2011. Assembly of the Chloroplast ATP-Dependent Clp Protease in Arabidopsis Is Regulated by the ClpT Accessory Proteins. The Plant Cell</w:t>
      </w:r>
      <w:r>
        <w:t xml:space="preserve"> </w:t>
      </w:r>
      <w:r>
        <w:rPr>
          <w:b/>
        </w:rPr>
        <w:t xml:space="preserve">23</w:t>
      </w:r>
      <w:r>
        <w:t xml:space="preserve">:322–332.</w:t>
      </w:r>
    </w:p>
    <w:p>
      <w:pPr>
        <w:pStyle w:val="Bibliography"/>
      </w:pPr>
      <w:r>
        <w:t xml:space="preserve">30.</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31.</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32.</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33.</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34.</w:t>
      </w:r>
      <w:r>
        <w:t xml:space="preserve"> </w:t>
      </w:r>
      <w:r>
        <w:rPr>
          <w:b/>
        </w:rPr>
        <w:t xml:space="preserve">Patil, K. R.</w:t>
      </w:r>
      <w:r>
        <w:t xml:space="preserve">, and</w:t>
      </w:r>
      <w:r>
        <w:t xml:space="preserve"> </w:t>
      </w:r>
      <w:r>
        <w:rPr>
          <w:b/>
        </w:rPr>
        <w:t xml:space="preserve">J. Nielsen</w:t>
      </w:r>
      <w:r>
        <w:t xml:space="preserve">. 2005. Uncovering transcriptional regulation of metabolism by using metabolic network topology. Proceedings of the National Academy of Sciences of the United States of America</w:t>
      </w:r>
      <w:r>
        <w:t xml:space="preserve"> </w:t>
      </w:r>
      <w:r>
        <w:rPr>
          <w:b/>
        </w:rPr>
        <w:t xml:space="preserve">102</w:t>
      </w:r>
      <w:r>
        <w:t xml:space="preserve">:2685–9.</w:t>
      </w:r>
    </w:p>
    <w:p>
      <w:pPr>
        <w:pStyle w:val="Bibliography"/>
      </w:pPr>
      <w:r>
        <w:t xml:space="preserve">35.</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36.</w:t>
      </w:r>
      <w:r>
        <w:t xml:space="preserve"> </w:t>
      </w:r>
      <w:r>
        <w:rPr>
          <w:b/>
        </w:rPr>
        <w:t xml:space="preserve">Aboulnaga,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38.</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41.</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42.</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43.</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44.</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45.</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46.</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47.</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48.</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49.</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50.</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51.</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p>
      <w:pPr>
        <w:pStyle w:val="Bibliography"/>
      </w:pPr>
      <w:r>
        <w:t xml:space="preserve">52.</w:t>
      </w:r>
      <w:r>
        <w:t xml:space="preserve"> </w:t>
      </w:r>
      <w:r>
        <w:rPr>
          <w:b/>
        </w:rPr>
        <w:t xml:space="preserve">Bonett, D. G.</w:t>
      </w:r>
      <w:r>
        <w:t xml:space="preserve">, and</w:t>
      </w:r>
      <w:r>
        <w:t xml:space="preserve"> </w:t>
      </w:r>
      <w:r>
        <w:rPr>
          <w:b/>
        </w:rPr>
        <w:t xml:space="preserve">R. M. Price</w:t>
      </w:r>
      <w:r>
        <w:t xml:space="preserve">. 2002. Statistical inference for a linear function of medians: confidence intervals, hypothesis testing, and sample size requirements. Psychological methods</w:t>
      </w:r>
      <w:r>
        <w:t xml:space="preserve"> </w:t>
      </w:r>
      <w:r>
        <w:rPr>
          <w:b/>
        </w:rPr>
        <w:t xml:space="preserve">7</w:t>
      </w:r>
      <w:r>
        <w:t xml:space="preserve">:370–383.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61e39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Systems_2017" TargetMode="External" /><Relationship Type="http://schemas.openxmlformats.org/officeDocument/2006/relationships/hyperlink" Id="rId27" Target="https://github.com/SchlossLab/Jenior_Modeling_mSystems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Systems_2017" TargetMode="External" /><Relationship Type="http://schemas.openxmlformats.org/officeDocument/2006/relationships/hyperlink" Id="rId27" Target="https://github.com/SchlossLab/Jenior_Modeling_mSystems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microbiomes</dc:title>
  <dc:creator/>
  <dcterms:created xsi:type="dcterms:W3CDTF">2017-06-01T20:40:03Z</dcterms:created>
  <dcterms:modified xsi:type="dcterms:W3CDTF">2017-06-01T20:40:03Z</dcterms:modified>
</cp:coreProperties>
</file>