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using paired samples from the same groups of mice,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same cecal content of the same mice.</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from the same mice in the previous assays, we attempted to measure differential expression of specific genes associated with</w:t>
      </w:r>
      <w:r>
        <w:t xml:space="preserve"> </w:t>
      </w:r>
      <w:r>
        <w:rPr>
          <w:i/>
        </w:rPr>
        <w:t xml:space="preserve">in vivo</w:t>
      </w:r>
      <w:r>
        <w:t xml:space="preserve"> </w:t>
      </w:r>
      <w:r>
        <w:t xml:space="preserve">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an RNA-Seq based approach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 Due to the heterogeneity of</w:t>
      </w:r>
      <w:r>
        <w:t xml:space="preserve"> </w:t>
      </w:r>
      <w:r>
        <w:rPr>
          <w:i/>
        </w:rPr>
        <w:t xml:space="preserve">C. difficile</w:t>
      </w:r>
      <w:r>
        <w:t xml:space="preserve"> </w:t>
      </w:r>
      <w:r>
        <w:t xml:space="preserve">reference genes across strains</w:t>
      </w:r>
      <w:r>
        <w:t xml:space="preserve"> </w:t>
      </w:r>
      <w:r>
        <w:t xml:space="preserve">(27)</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(14, 28, 29)</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w:t>
      </w:r>
    </w:p>
    <w:p>
      <w:pPr>
        <w:pStyle w:val="BodyText"/>
      </w:pPr>
      <w: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(30)</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created a generalizeable tool to</w:t>
      </w:r>
      <w:r>
        <w:t xml:space="preserve"> </w:t>
      </w:r>
      <w:r>
        <w:rPr>
          <w:i/>
        </w:rPr>
        <w:t xml:space="preserve">de novo</w:t>
      </w:r>
      <w:r>
        <w:t xml:space="preserve"> </w:t>
      </w:r>
      <w:r>
        <w:t xml:space="preserve">generate genome-enabled directed, bipartite metabolic models of bacterial species using KEGG gene and biochemical reaction annotations. We implemented this for</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(31)</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(32)</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(33)</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(33)</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in</w:t>
      </w:r>
      <w:r>
        <w:t xml:space="preserve"> </w:t>
      </w:r>
      <w:r>
        <w:rPr>
          <w:i/>
        </w:rPr>
        <w:t xml:space="preserve">C. difficile</w:t>
      </w:r>
      <w:r>
        <w:t xml:space="preserve"> </w:t>
      </w:r>
      <w:r>
        <w:t xml:space="preserve">minimal media</w:t>
      </w:r>
      <w:r>
        <w:t xml:space="preserve"> </w:t>
      </w:r>
      <w:r>
        <w:t xml:space="preserve">(34)</w:t>
      </w:r>
      <w:r>
        <w:t xml:space="preserve">. The Stickland fermentation acceptor proline was also found to be important in all conditions tested</w:t>
      </w:r>
      <w:r>
        <w:t xml:space="preserve"> </w:t>
      </w:r>
      <w:r>
        <w:t xml:space="preserve">(35)</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aliquots of cecal content from the antibiotic-treated and GF mice used in all previous analyses. We employed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Succinate was significantly higher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S6D;</w:t>
      </w:r>
      <w:r>
        <w:t xml:space="preserve"> </w:t>
      </w:r>
      <w:r>
        <w:rPr>
          <w:i/>
        </w:rPr>
        <w:t xml:space="preserve">P</w:t>
      </w:r>
      <w:r>
        <w:t xml:space="preserve"> </w:t>
      </w:r>
      <w:r>
        <w:t xml:space="preserve">&lt; 0.05). The Stickland donors leucine and isoleucine were significantly lower in all infected conditions except streptomycin-pretreated mice (Fig. S6A and S6B;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(14, 21)</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(36)</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(37)</w:t>
      </w:r>
      <w:r>
        <w:t xml:space="preserve">, would be present at some basal concentration regardless of other species' intercession. Finally, we did find disagreement in some metabolite importance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is novel because it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w:t>
      </w:r>
      <w:r>
        <w:t xml:space="preserve"> </w:t>
      </w:r>
      <w:r>
        <w:rPr>
          <w:i/>
        </w:rPr>
        <w:t xml:space="preserve">C. difficile</w:t>
      </w:r>
      <w:r>
        <w:t xml:space="preserve">. Our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Although this may be a shortcoming of the genome annotation, one group has posited that</w:t>
      </w:r>
      <w:r>
        <w:t xml:space="preserve"> </w:t>
      </w:r>
      <w:r>
        <w:rPr>
          <w:i/>
        </w:rPr>
        <w:t xml:space="preserve">C. difficile</w:t>
      </w:r>
      <w:r>
        <w:t xml:space="preserve"> </w:t>
      </w:r>
      <w:r>
        <w:t xml:space="preserve">may actually be autotrophic under certain conditions</w:t>
      </w:r>
      <w:r>
        <w:t xml:space="preserve"> </w:t>
      </w:r>
      <w:r>
        <w:t xml:space="preserve">(38)</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S5B-D).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w:t>
      </w:r>
      <w:r>
        <w:t xml:space="preserve"> </w:t>
      </w:r>
      <w:r>
        <w:t xml:space="preserve">(39)</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 Ultimately,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https://github.com/SchlossLab/Jenior_Modeling_mSystems_2017/blob/master/protocols/toxin_assay/Verocell_ToxinActivity_Assay.Rmd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 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(46)</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(47)</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S5).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http://www.github.com/SchlossLab/Jenior_Modeling_mSystems_2017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importance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importance represents the median score of metabolites that were consistently important among all infected conditions. Below the conserved patterns, are shown the distinct important metabolites for each group.</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importance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(51)</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important carbon sources to identify possible differences in utilization efficiency.</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28.</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29.</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&lt;i&gt;Arabidopsis&lt;/i&gt; Is Regulated by the ClpT Accessory Proteins. The Plant Cell</w:t>
      </w:r>
      <w:r>
        <w:t xml:space="preserve"> </w:t>
      </w:r>
      <w:r>
        <w:rPr>
          <w:b/>
        </w:rPr>
        <w:t xml:space="preserve">23</w:t>
      </w:r>
      <w:r>
        <w:t xml:space="preserve">:322–332.</w:t>
      </w:r>
    </w:p>
    <w:p>
      <w:pPr>
        <w:pStyle w:val="Bibliography"/>
      </w:pPr>
      <w:r>
        <w:t xml:space="preserve">30.</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34.</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35.</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39.</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51.</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9ca5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2017-06-01T10:58:22Z</dcterms:created>
  <dcterms:modified xsi:type="dcterms:W3CDTF">2017-06-01T10:58:22Z</dcterms:modified>
</cp:coreProperties>
</file>