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b/>
          <w:b/>
          <w:bCs/>
          <w:i w:val="false"/>
          <w:i w:val="false"/>
          <w:iCs w:val="false"/>
          <w:position w:val="0"/>
          <w:sz w:val="24"/>
          <w:sz w:val="24"/>
          <w:vertAlign w:val="baseline"/>
        </w:rPr>
      </w:pPr>
      <w:r>
        <w:rPr>
          <w:b/>
          <w:bCs/>
          <w:i w:val="false"/>
          <w:iCs w:val="false"/>
          <w:position w:val="0"/>
          <w:sz w:val="24"/>
          <w:sz w:val="24"/>
          <w:vertAlign w:val="baseline"/>
        </w:rPr>
      </w:r>
    </w:p>
    <w:p>
      <w:pPr>
        <w:pStyle w:val="Normal"/>
        <w:rPr/>
      </w:pPr>
      <w:r>
        <w:rPr>
          <w:b/>
          <w:bCs/>
          <w:i w:val="false"/>
          <w:iCs w:val="false"/>
          <w:position w:val="0"/>
          <w:sz w:val="24"/>
          <w:sz w:val="24"/>
          <w:vertAlign w:val="baseline"/>
        </w:rPr>
        <w:t xml:space="preserve">Affiliations: </w:t>
      </w:r>
    </w:p>
    <w:p>
      <w:pPr>
        <w:pStyle w:val="Normal"/>
        <w:rPr/>
      </w:pPr>
      <w:r>
        <w:rPr>
          <w:b w:val="false"/>
          <w:bCs w:val="false"/>
          <w:i w:val="false"/>
          <w:iCs w:val="false"/>
          <w:position w:val="0"/>
          <w:sz w:val="24"/>
          <w:sz w:val="24"/>
          <w:vertAlign w:val="baseline"/>
        </w:rPr>
        <w:t>1.) Department of Microbiology &amp; Immunology; University of Michigan, Ann Arbor MI,</w:t>
      </w:r>
    </w:p>
    <w:p>
      <w:pPr>
        <w:pStyle w:val="Normal"/>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bookmarkStart w:id="0" w:name="__DdeLink__2844_965882799"/>
      <w:bookmarkEnd w:id="0"/>
      <w:r>
        <w:rPr>
          <w:i w:val="false"/>
          <w:iCs w:val="false"/>
        </w:rPr>
        <w:t>Patrick D. Schloss – pschloss@umich.edu</w:t>
      </w:r>
    </w:p>
    <w:p>
      <w:pPr>
        <w:pStyle w:val="Normal"/>
        <w:rPr>
          <w:b w:val="false"/>
          <w:b w:val="false"/>
          <w:bCs w:val="false"/>
          <w:i w:val="false"/>
          <w:i w:val="false"/>
          <w:iCs w:val="false"/>
        </w:rPr>
      </w:pPr>
      <w:r>
        <w:rPr>
          <w:b w:val="false"/>
          <w:bCs w:val="false"/>
          <w:i w:val="false"/>
          <w:iCs w:val="false"/>
        </w:rPr>
      </w:r>
    </w:p>
    <w:p>
      <w:pPr>
        <w:pStyle w:val="Normal"/>
        <w:rPr>
          <w:vertAlign w:val="superscript"/>
        </w:rPr>
      </w:pPr>
      <w:r>
        <w:rPr>
          <w:vertAlign w:val="superscript"/>
        </w:rPr>
      </w:r>
    </w:p>
    <w:p>
      <w:pPr>
        <w:pStyle w:val="Heading3"/>
        <w:rPr/>
      </w:pPr>
      <w:bookmarkStart w:id="1" w:name="abstract"/>
      <w:bookmarkEnd w:id="1"/>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w:t>
      </w:r>
      <w:bookmarkStart w:id="2" w:name="__DdeLink__1694_1800336488"/>
      <w:r>
        <w:rPr/>
        <w:t>community structures</w:t>
      </w:r>
      <w:bookmarkEnd w:id="2"/>
      <w:r>
        <w:rPr/>
        <w:t xml:space="preserve"> stemming from variation in bacterial targets of action. These community structures present separate metabolic challenges to </w:t>
      </w:r>
      <w:r>
        <w:rPr>
          <w:i/>
        </w:rPr>
        <w:t>C. difficile.</w:t>
      </w:r>
      <w:r>
        <w:rPr/>
        <w:t xml:space="preserve"> Therefore we hypothesized that the pathogen adapts its physiology to the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pretreatment.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transcriptome-enabled metabolite scoring algorithm integrating network architecture. This platform identified nutrients </w:t>
      </w:r>
      <w:r>
        <w:rPr>
          <w:i/>
        </w:rPr>
        <w:t>C. difficile</w:t>
      </w:r>
      <w:r>
        <w:rPr/>
        <w:t xml:space="preserve"> used preferentially between pretreatments,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glycans.</w:t>
      </w:r>
    </w:p>
    <w:p>
      <w:pPr>
        <w:pStyle w:val="Heading3"/>
        <w:rPr/>
      </w:pPr>
      <w:bookmarkStart w:id="3" w:name="importance"/>
      <w:bookmarkEnd w:id="3"/>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and exploited different nutrient sources across these environments. Our metabolite score calculation also provides a platform to study nutrient requirements of pathogens during an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currently is the most effective treatment for recurrent CDI. This work could ultimately contribute to the identification of targeted, context-dependent measures that prevent or reduce </w:t>
      </w:r>
      <w:r>
        <w:rPr>
          <w:i/>
        </w:rPr>
        <w:t>C. difficile</w:t>
      </w:r>
      <w:r>
        <w:rPr/>
        <w:t xml:space="preserve"> colonization including pre- and probiotic therapies.</w:t>
      </w:r>
    </w:p>
    <w:p>
      <w:pPr>
        <w:pStyle w:val="Heading3"/>
        <w:rPr/>
      </w:pPr>
      <w:bookmarkStart w:id="4" w:name="introduction"/>
      <w:bookmarkEnd w:id="4"/>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toxic megacolon. Prior treatment with antibiotics is the most common risk factor associated with development of CDI (3). Antibiotics contribute to an individual’s susceptibility to CDI by disrupting their gut microbiota (4). In mouse models, multiple antibiotics can induce susceptibility to </w:t>
      </w:r>
      <w:r>
        <w:rPr>
          <w:i/>
        </w:rPr>
        <w:t>C. difficile</w:t>
      </w:r>
      <w:r>
        <w:rPr/>
        <w:t xml:space="preserve"> colonization (5–7). Notably, each antibiotic resulted in unique gut bacterial communities that permitted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analyses focused on </w:t>
      </w:r>
      <w:r>
        <w:rPr>
          <w:i/>
        </w:rPr>
        <w:t>in vitro</w:t>
      </w:r>
      <w:r>
        <w:rPr/>
        <w:t xml:space="preserve"> growth (22, 23) or colonization of germ-free mice (14, 21). Although these analyses are informative, they are either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substrates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 xml:space="preserve">. To overcome these limitations, we implemented transcriptomic and untargeted metabolomic analyses of </w:t>
      </w:r>
      <w:r>
        <w:rPr>
          <w:i/>
        </w:rPr>
        <w:t>C. difficile</w:t>
      </w:r>
      <w:r>
        <w:rPr/>
        <w:t xml:space="preserve"> and the surrounding environment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metabolic response of </w:t>
      </w:r>
      <w:r>
        <w:rPr>
          <w:i/>
        </w:rPr>
        <w:t>C. difficile</w:t>
      </w:r>
      <w:r>
        <w:rPr/>
        <w:t xml:space="preserve"> to the gut environment caused by three antibiotics from distinct classes. By characterizing a transcriptome-enabled metabolic model of </w:t>
      </w:r>
      <w:r>
        <w:rPr>
          <w:i/>
        </w:rPr>
        <w:t>C. difficile</w:t>
      </w:r>
      <w:r>
        <w:rPr/>
        <w:t xml:space="preserve"> and changes in the metabolome of each respective environment, we were able to generate a systems model to directly test the nutrient-niche hypothesis.</w:t>
      </w:r>
    </w:p>
    <w:p>
      <w:pPr>
        <w:pStyle w:val="Heading3"/>
        <w:rPr/>
      </w:pPr>
      <w:bookmarkStart w:id="5" w:name="results"/>
      <w:bookmarkEnd w:id="5"/>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Toxin activity was relatively low across each group tested compared to previous studies (24, 27). The low activity was likely the result of the early sampling time point during infection. In spite of this, the toxin activity in exGF animals was significantly higher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but had subtle variation in sporulation and toxin activity between distinct antibiotic-pretreated environments. As activation of both traits has been linked to recognition of distinct nutrient source concentrations in the environment (28, 29), we hypothesized that </w:t>
      </w:r>
      <w:r>
        <w:rPr>
          <w:i/>
        </w:rPr>
        <w:t>C. difficile</w:t>
      </w:r>
      <w:r>
        <w:rPr/>
        <w:t xml:space="preserve"> was utilizing different growth substrates across the conditions tested.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cecal content of the same mice used to measure </w:t>
      </w:r>
      <w:r>
        <w:rPr>
          <w:i/>
          <w:iCs/>
        </w:rPr>
        <w:t>C. difficile</w:t>
      </w:r>
      <w:r>
        <w:rPr/>
        <w:t xml:space="preserve"> density and toxin activity.</w:t>
      </w:r>
    </w:p>
    <w:p>
      <w:pPr>
        <w:pStyle w:val="TextBody"/>
        <w:rPr/>
      </w:pPr>
      <w:r>
        <w:rPr>
          <w:b/>
          <w:i/>
        </w:rPr>
        <w:t>C. difficile</w:t>
      </w:r>
      <w:r>
        <w:rPr>
          <w:b/>
        </w:rPr>
        <w:t xml:space="preserve"> alters its gene expression pathways when colonizing distinct antibiotic-pretreated environments.</w:t>
      </w:r>
      <w:r>
        <w:rPr/>
        <w:t xml:space="preserve"> Utilizing aliquots of cecal content from the same mice that were in the previous assays, we measured differential expression of specific genes associated with </w:t>
      </w:r>
      <w:r>
        <w:rPr>
          <w:i/>
        </w:rPr>
        <w:t>in vivo</w:t>
      </w:r>
      <w:r>
        <w:rPr/>
        <w:t xml:space="preserve"> phenotype changes reported in previous studies with an RNA-Seq-based approach. Microarray-based gene expression measurement was not a viable alternative to sequencing as the amount of background orthologous transcription from other bacterial species would contribute to non-specific binding and bias the true </w:t>
      </w:r>
      <w:r>
        <w:rPr>
          <w:i/>
        </w:rPr>
        <w:t>C. difficile</w:t>
      </w:r>
      <w:r>
        <w:rPr/>
        <w:t xml:space="preserve"> signal. Therefore we employed RNA-Seq to quantify </w:t>
      </w:r>
      <w:r>
        <w:rPr>
          <w:i/>
          <w:iCs/>
        </w:rPr>
        <w:t>C. difficile</w:t>
      </w:r>
      <w:r>
        <w:rPr/>
        <w:t xml:space="preserve">-specific transcription. </w:t>
      </w:r>
      <w:r>
        <w:rPr>
          <w:i/>
        </w:rPr>
        <w:t>C. difficile</w:t>
      </w:r>
      <w:r>
        <w:rPr/>
        <w:t xml:space="preserve"> represented a small percentage of the community in each colonized environment (Fig. S2C), which made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S3A). Due to the heterogeneity of </w:t>
      </w:r>
      <w:r>
        <w:rPr>
          <w:i/>
        </w:rPr>
        <w:t>C. difficile</w:t>
      </w:r>
      <w:r>
        <w:rPr/>
        <w:t xml:space="preserve"> reference genes across strains (30), we chose DNA gyrase subunit A (GyrA), threonyl-tRNA synthetase (ThrS), and ATP-dependent Clp protease (ClpP) because they are conserved across bacterial phyla and have been commonly utilized as standards for numerous transcriptional studies (14, 31, 32). We observed consistent expression for each of the housekeeping genes was observed across treatments, which indicated that our results were more likely to be a true reflection of </w:t>
      </w:r>
      <w:r>
        <w:rPr>
          <w:i/>
        </w:rPr>
        <w:t>C. difficile</w:t>
      </w:r>
      <w:r>
        <w:rPr/>
        <w:t xml:space="preserve"> expression </w:t>
      </w:r>
      <w:r>
        <w:rPr>
          <w:i/>
        </w:rPr>
        <w:t>in vivo</w:t>
      </w:r>
      <w:r>
        <w:rPr/>
        <w:t>. We then focused on select genes previously demonstrated to have altered transcription based on environmental cues including several key sigma factors (29) and downstream genes involved in sporulation (33), toxin production (34), and quorum sensing (35) (Fig. S4). Comparing these data to results from the previous section, toxin gene expression seemed to vary between conditions more than the activity data would suggest (Fig. S4B). However, the relative abundance of cDNA transcript abundance recruited within this mapping effort to the toxin genes was very low, which would agree with the generally low levels of toxin activity detectable across treatment groups (Fig. 1C). For the other gene categories, consistent trends across pretreatments were not apparent through this analysis so we decided to shift our focus toward differences in metabolic pathways that were more explicitly involved in the breakdown of environmentally acquired nutrients.</w:t>
      </w:r>
    </w:p>
    <w:p>
      <w:pPr>
        <w:pStyle w:val="TextBody"/>
        <w:rPr/>
      </w:pPr>
      <w:r>
        <w:rPr/>
        <w:t xml:space="preserve">We chose to assess transcriptional differences in several specific families of genes known to contribute to different aspects of </w:t>
      </w:r>
      <w:r>
        <w:rPr>
          <w:i/>
        </w:rPr>
        <w:t>C. difficile</w:t>
      </w:r>
      <w:r>
        <w:rPr/>
        <w:t xml:space="preserve"> metabolism (Fig. 2A &amp; Table S1). Genes involved in amino acid catabolism, including those that encoded enzymes involved in Stickland fermentation and general peptidases, had the highest level of expression across all pretreatments. Stickland fermentation refers to the coupled fermentation of amino acid pairs in which one is deaminated and the other is reduced to ultimately generate ATP (36).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Because multiple enzymes can utilize the same input substrates within a single organism, we decided to implement a metabolic network-based approach to further investigate which metabolites were differentially utilized between conditions by </w:t>
      </w:r>
      <w:r>
        <w:rPr>
          <w:i/>
        </w:rPr>
        <w:t>C. difficile</w:t>
      </w:r>
      <w:r>
        <w:rPr/>
        <w:t xml:space="preserve">. This approach is more robust at identifying reporter metabolites than assessing individual gene transcription because if the amount of a single enzyme that acts on a substrate decreases, yet others that also act on that substrate increase, those changes are more readily apparent in the context of a network. To perform this analysis, we created a generalizeable tool to generate </w:t>
      </w:r>
      <w:r>
        <w:rPr>
          <w:i/>
        </w:rPr>
        <w:t>de novo</w:t>
      </w:r>
      <w:r>
        <w:rPr/>
        <w:t xml:space="preserve"> genome-enabled bipartite metabolic models with directed enzymatic reactions of bacterial species using KEGG gene and biochemical reaction annotations. We implemented this platform using the genome of </w:t>
      </w:r>
      <w:r>
        <w:rPr>
          <w:i/>
        </w:rPr>
        <w:t>C. difficile</w:t>
      </w:r>
      <w:r>
        <w:rPr/>
        <w:t xml:space="preserve"> str. 630 (Fig. 3A), with enzymes and metabolites represented by nodes and their interactions by directed connecting edges. The </w:t>
      </w:r>
      <w:r>
        <w:rPr>
          <w:i/>
        </w:rPr>
        <w:t>C. difficile</w:t>
      </w:r>
      <w:r>
        <w:rPr/>
        <w:t xml:space="preserve"> str. 630 network contained a total of 447 enzymes and 758 metabolites, with 2135 directed edges (Fig. 3A).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(37). Similarly, CC is the reciprocal sum of the lengths of shortest paths included in each node's BC. This value demonstrates how essential a given node is to the overall structure of the metabolic network (38).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(39).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indicated that 6 metabolites were central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(39).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score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 of genome-scale metabolic networks to accurately predict microbial metabolic responses to environmental perturbation and identify reporter metabolites of changes (40). In our system, the score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score was likely obtained from the environment because the expression of genes for enzymes that produce the metabolite were low. It is important to note that molecules that were more likely produced in our model were not necessarily likely to be released to the environment. Our models do not include the synthesis of large macromolecules (ie. long polypeptides or cytoskeleton) and should therefore only be utilized to consider metabolites that were inputs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metabolites that were most essential for </w:t>
      </w:r>
      <w:r>
        <w:rPr>
          <w:i/>
        </w:rPr>
        <w:t>C. difficile</w:t>
      </w:r>
      <w:r>
        <w:rPr/>
        <w:t xml:space="preserve"> growth, regardless of the environment, we cross-referenced the 40 highest scoring metabolites from each treatment group (Fig. 4A). N-acetylglucosamine (GlcNAc) was found to the have the highest median score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(41). The Stickland fermentation acceptor proline scored highly across all conditions (42).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cecal contents from each antibiotic-pretreated and exGF mouse used in the previous analyses. This afforded us the ability to compare replicates within each treatment group. To measure metabolite concentrations, we utilized non-targeted ultra-performance liquid chromatography and mass spectrometry (UPLC-MS) to measure the relative </w:t>
      </w:r>
      <w:r>
        <w:rPr>
          <w:i/>
        </w:rPr>
        <w:t>in vivo</w:t>
      </w:r>
      <w:r>
        <w:rPr/>
        <w:t xml:space="preserve"> concentrations of metabolites for each mouse in the conditions investigated, with special attention to those highlighted by large metabolite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highly scored metabolites in untreated SPF mice and antibiotic pretreated mice in the absence of </w:t>
      </w:r>
      <w:r>
        <w:rPr>
          <w:i/>
          <w:iCs/>
        </w:rPr>
        <w:t>C. difficile</w:t>
      </w:r>
      <w:r>
        <w:rPr/>
        <w:t xml:space="preserve">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S5D). Succinyl-CoA scored most highly in the clindamycin pretreatment, which is the direct precursor to succinate by succinyl-CoA transferases (43). Succinate has been shown to support </w:t>
      </w:r>
      <w:r>
        <w:rPr>
          <w:i/>
        </w:rPr>
        <w:t>C. difficile</w:t>
      </w:r>
      <w:r>
        <w:rPr/>
        <w:t xml:space="preserve"> growth </w:t>
      </w:r>
      <w:r>
        <w:rPr>
          <w:i/>
        </w:rPr>
        <w:t>in vivo</w:t>
      </w:r>
      <w:r>
        <w:rPr/>
        <w:t xml:space="preserve"> through a synergistic relationship that requires at least one other bacterial species (9). As succinyl-CoA was not measured in our metabolimic assay, we instead found that succinate was indeed significantly higher in clindamycin pretreated mice (Fig. 5D; all </w:t>
      </w:r>
      <w:r>
        <w:rPr>
          <w:i/>
        </w:rPr>
        <w:t>P</w:t>
      </w:r>
      <w:r>
        <w:rPr/>
        <w:t xml:space="preserve"> &lt; 0.05). Among the cefoperazone-pretreated SPF and GF mice, we also found that the concentration of mannitol/sorbitol (Fig. 5C), N-acetylneuraminate (Fig. 5E), and glycine (Fig. S5E) were significantly higher in cefoperazone-treated SPF and GF mice (all </w:t>
      </w:r>
      <w:r>
        <w:rPr>
          <w:i/>
        </w:rPr>
        <w:t>P</w:t>
      </w:r>
      <w:r>
        <w:rPr/>
        <w:t xml:space="preserve"> &lt; 0.05). These results supported the assertion that susceptible mice had multiple nutrient niches that </w:t>
      </w:r>
      <w:r>
        <w:rPr>
          <w:i/>
        </w:rPr>
        <w:t>C. difficile</w:t>
      </w:r>
      <w:r>
        <w:rPr/>
        <w:t xml:space="preserve"> was able to exploit.</w:t>
      </w:r>
    </w:p>
    <w:p>
      <w:pPr>
        <w:pStyle w:val="TextBody"/>
        <w:rPr/>
      </w:pPr>
      <w:r>
        <w:rPr/>
        <w:t xml:space="preserve">Second, we compared relative concentrations of high scoring metabolites during CDI and mock-infection within each pretreatment group (Fig. 5). Both groups of host-derived glycans, GlcNAc/GalNAc (Fig. 5A) and Neu5Ac (Fig. 5E),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S5D)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 all </w:t>
      </w:r>
      <w:r>
        <w:rPr>
          <w:i/>
        </w:rPr>
        <w:t>P</w:t>
      </w:r>
      <w:r>
        <w:rPr/>
        <w:t xml:space="preserve"> &lt; 0.05). These results supported the hypothesis that amino acids are an important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concentration of succinate in both streptomycin and clindamycin pretreated mice was observed, neither was found to be significant. Overall, this metabolomic analysis supported our transcriptome-based metabolite score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6" w:name="discussion"/>
      <w:bookmarkEnd w:id="6"/>
      <w:r>
        <w:rPr/>
        <w:t>Discussion</w:t>
      </w:r>
    </w:p>
    <w:p>
      <w:pPr>
        <w:pStyle w:val="Normal"/>
        <w:rPr/>
      </w:pPr>
      <w:r>
        <w:rPr/>
        <w:t xml:space="preserve">The results presented here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characterized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allowed us to observe that </w:t>
      </w:r>
      <w:r>
        <w:rPr>
          <w:i/>
        </w:rPr>
        <w:t>C. difficile</w:t>
      </w:r>
      <w:r>
        <w:rPr/>
        <w:t xml:space="preserve"> likely generated energy by metabolizing specific alternative carbon and nitrogen sources across colonized conditions. We also found that Stickland fermentation substrates and products, as well as the host-derived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environments. Metabolomic analysis further revealed differential reduction of highly scored metabolites during CDI, which suggested a hierarchy for the utilization of certain growth nutrients.</w:t>
      </w:r>
    </w:p>
    <w:p>
      <w:pPr>
        <w:pStyle w:val="TextBody"/>
        <w:rPr/>
      </w:pPr>
      <w:r>
        <w:rPr/>
        <w:t xml:space="preserve">Our interpretation of the positive trends we observed between metabolite score and substrate availability across conditions was that the distinct antibiotic treatments eliminate alternative patterns of competitors for those nutrients in the gut of susceptible animals. These groups of bacteria are likely to be more specialized than </w:t>
      </w:r>
      <w:r>
        <w:rPr>
          <w:i/>
        </w:rPr>
        <w:t>C. difficile</w:t>
      </w:r>
      <w:r>
        <w:rPr/>
        <w:t xml:space="preserve"> at acquiring those resources, supporting the nutrient-niche hypothesis as a mechanism to explain the exclusion of </w:t>
      </w:r>
      <w:r>
        <w:rPr>
          <w:i/>
        </w:rPr>
        <w:t>C. difficile</w:t>
      </w:r>
      <w:r>
        <w:rPr/>
        <w:t xml:space="preserve"> by the intact microbiota. By pursuing a more generalist behavior in terms of growth nutrient preferences, </w:t>
      </w:r>
      <w:r>
        <w:rPr>
          <w:i/>
        </w:rPr>
        <w:t>C. difficile</w:t>
      </w:r>
      <w:r>
        <w:rPr/>
        <w:t xml:space="preserve"> has increased fitness for exploiting differentially perturbed gut communities. ExGF mice provided a partially controlled system of resource competition. In this condition, Neu5Ac was found to be the highest scored substrate and its concentrations were significantly higher during mock infection than following </w:t>
      </w:r>
      <w:r>
        <w:rPr>
          <w:i/>
        </w:rPr>
        <w:t>C. difficile</w:t>
      </w:r>
      <w:r>
        <w:rPr/>
        <w:t xml:space="preserve"> colonization. A similar trend was also seen in cefoperazone-pretreated mice, implying that this antibiotic may have reduced the population density of the particular competitors for this niche. These data suggest that </w:t>
      </w:r>
      <w:r>
        <w:rPr>
          <w:i/>
        </w:rPr>
        <w:t>C. difficile</w:t>
      </w:r>
      <w:r>
        <w:rPr/>
        <w:t xml:space="preserve"> may be less competitive for this host-derived glycan and only has access when certain competitors have had their densities reduced. In agreement with earlier research we found that </w:t>
      </w:r>
      <w:r>
        <w:rPr>
          <w:i/>
        </w:rPr>
        <w:t>C. difficile</w:t>
      </w:r>
      <w:r>
        <w:rPr/>
        <w:t xml:space="preserve"> likely fermented amino acids for energy during infection of GF mice in addition to host-derived glycan catabolism. Our results go on to support that this metabolic strategy was conserved across all infection conditions tested. Several Stickland substrates had consistently high metabolite scores including alanine, leucine, and proline indeed dropped concentration during infection (Table S4, Fig. 5B, S5A, and S5B). Fermentation of amino acids provides not only carbon and energy, but are also a source of nitrogen which is a limited resource in the mammalian lower gastrointestinal tract (44). This makes Stickland fermentation a valuable metabolic strategy, and it stands to reason that </w:t>
      </w:r>
      <w:r>
        <w:rPr>
          <w:i/>
        </w:rPr>
        <w:t>C. difficile</w:t>
      </w:r>
      <w:r>
        <w:rPr/>
        <w:t xml:space="preserve"> would use this strategy across all environments it colonizes. This same principle may also extend to glycans harvested from the host mucus layer (GlcNAc and Neu5Ac) as they are another source of carbon and nitrogen which, despite augmented release by members of the microbiota, would be present at some basal concentration regardless of other species' metabolism (45, 46). Moreover, decreases in relative concentration of certain metabolites following antibiotic treatment does not preclude their availability to </w:t>
      </w:r>
      <w:r>
        <w:rPr>
          <w:i/>
        </w:rPr>
        <w:t>C. difficile</w:t>
      </w:r>
      <w:r>
        <w:rPr/>
        <w:t xml:space="preserve">. As long as competition for the remaining pool of the given substrate is reduced, </w:t>
      </w:r>
      <w:r>
        <w:rPr>
          <w:i/>
        </w:rPr>
        <w:t>C. difficile</w:t>
      </w:r>
      <w:r>
        <w:rPr/>
        <w:t xml:space="preserve"> may be able to exploit it as a component of its nutrient niche space. Based on our results, we propose that amino acid catabolism is a primary strategy of </w:t>
      </w:r>
      <w:r>
        <w:rPr>
          <w:i/>
        </w:rPr>
        <w:t>C. difficile</w:t>
      </w:r>
      <w:r>
        <w:rPr/>
        <w:t xml:space="preserve"> </w:t>
      </w:r>
      <w:r>
        <w:rPr>
          <w:i/>
        </w:rPr>
        <w:t>in vivo</w:t>
      </w:r>
      <w:r>
        <w:rPr/>
        <w:t xml:space="preserve"> followed closely by host-derived glycans catabolism. To fulfill its remaining needs, </w:t>
      </w:r>
      <w:r>
        <w:rPr>
          <w:i/>
        </w:rPr>
        <w:t xml:space="preserve">C. difficile </w:t>
      </w:r>
      <w:r>
        <w:rPr/>
        <w:t xml:space="preserve">adapts its metabolism to utilize a combination of carbohydrates, sugar alcohols, or carboxylic acids depending on their availability in the environment. Since the latter provide carbon and energy but not nitrogen, it appears that </w:t>
      </w:r>
      <w:r>
        <w:rPr>
          <w:i/>
        </w:rPr>
        <w:t>C. difficile</w:t>
      </w:r>
      <w:r>
        <w:rPr/>
        <w:t xml:space="preserve"> metabolism strongly prefers nitrogen-containing carbon sources that fulfill a larger proportion of its biological requirements.</w:t>
      </w:r>
    </w:p>
    <w:p>
      <w:pPr>
        <w:pStyle w:val="TextBody"/>
        <w:rPr/>
      </w:pPr>
      <w:r>
        <w:rPr/>
        <w:t xml:space="preserve">Several factors limited our ability to generate transcriptomic replicates for individual mice in each treatment group. Most prominently, we were forced to pool the cecal contents of multiple animals to generate a sufficient quantity of high quality RNA and sequence extremely deeply that would permit sampling the transcriptome of a rare member of the microbiota (Fig. S2C). Due to possible variation between individual samples that could be masked by this approach, we quantified within-group sample variation for all sample types for which we were able to collect biological replicates. This included </w:t>
      </w:r>
      <w:r>
        <w:rPr>
          <w:i/>
        </w:rPr>
        <w:t>C. difficile</w:t>
      </w:r>
      <w:r>
        <w:rPr/>
        <w:t xml:space="preserve"> density, 16S rRNA gene abundance, and untargeted mass-spectrometry. In order to increase our confidence that transcriptomes were more likely to be consistent between pretreatment groups, we calculated within-group sample variance for </w:t>
      </w:r>
      <w:r>
        <w:rPr>
          <w:i/>
          <w:iCs/>
        </w:rPr>
        <w:t>C. difficile</w:t>
      </w:r>
      <w:r>
        <w:rPr/>
        <w:t xml:space="preserve"> density, 16S rRNA gene abundances, and untargeted metabolomics datasets (Fig. S3B-D). This revealed extremely low variability in each treatment group tested for sample types with increasing levels of complexity. Since these data were collected using matched cecal samples, we were confident that our transcriptomic results reflected reality. Unlike our transcriptomic data, we were able to characterize the metabolome of individual animals; however, these comparisons had there own complications related to the fact that multiple organisms contribute to the overall metabolite pool. The changes observed could be the result of metabolic patterns from other species in each system (host or microbe) in response to pathogen colonization, and it is difficult to discern whether </w:t>
      </w:r>
      <w:r>
        <w:rPr>
          <w:i/>
        </w:rPr>
        <w:t>C. difficile</w:t>
      </w:r>
      <w:r>
        <w:rPr/>
        <w:t xml:space="preserve"> reaches a density large enough to impact these differences on its own. Possible limitations of our modeling approach also existed, despite much of our results being consistent with previously published work and our own untargeted metabolomic analysis. The metabolite score calculation is dependent on correct and existing gene annotation. In this regard it has been shown that the pathway annotations in KEGG are robust to missing elements (47),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metabolite score calculations. Since our metabolite scoring algorithm selectively amplifies signal for those metabolites with the highest probability to be imported from the environment, this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and formate, apparent metabolic end products, in the list of shared metabolites which scored highly across conditions. Although this may be a shortcoming of the genome or database annotation, one group has posited that </w:t>
      </w:r>
      <w:r>
        <w:rPr>
          <w:i/>
        </w:rPr>
        <w:t>C. difficile</w:t>
      </w:r>
      <w:r>
        <w:rPr/>
        <w:t xml:space="preserve"> may actually consume CO</w:t>
      </w:r>
      <w:r>
        <w:rPr>
          <w:vertAlign w:val="subscript"/>
        </w:rPr>
        <w:t>2</w:t>
      </w:r>
      <w:r>
        <w:rPr/>
        <w:t xml:space="preserve"> under certain conditions and require both of these substrates to undergo this process (48). These findings highlight that our method not only identified growth substrates, but also identified additional metabolites that were being utilized for other processes. With further manual curation of the </w:t>
      </w:r>
      <w:r>
        <w:rPr>
          <w:i/>
        </w:rPr>
        <w:t>C. difficile</w:t>
      </w:r>
      <w:r>
        <w:rPr/>
        <w:t xml:space="preserve"> metabolic network, more species-specific discoveries are possible. Even with this possibility,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Focusing on previously established metabolic capabilities of the pathogen, we identify that these forms of metabolism are differentially important to </w:t>
      </w:r>
      <w:r>
        <w:rPr>
          <w:i/>
        </w:rPr>
        <w:t>C. difficile</w:t>
      </w:r>
      <w:r>
        <w:rPr/>
        <w:t xml:space="preserve"> when colonizing distinct environments. Our data suggest that </w:t>
      </w:r>
      <w:r>
        <w:rPr>
          <w:i/>
        </w:rPr>
        <w:t>C. difficile</w:t>
      </w:r>
      <w:r>
        <w:rPr/>
        <w:t xml:space="preserve"> is true bacterial generalist, making it less competitive for specific nutrients against specialists, but more fit overall for colonizing a variety of recently vacated nutrient niche spaces. These results have implications for the development of targeted measures to prevent </w:t>
      </w:r>
      <w:r>
        <w:rPr>
          <w:i/>
        </w:rPr>
        <w:t>C. difficile</w:t>
      </w:r>
      <w:r>
        <w:rPr/>
        <w:t xml:space="preserve"> colonization through pre- or probiotic therapy that will need to be tailored to specific antibiotic-induced perturbations. In the future, this systems-level approach could be expanded to study the niche landscape of entire communities of bacteria and subsequent changes to competition for nutrients in response to antibiotic treatment or pathogen colonization.</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(49). It is important to note that the germination agent taurocholate was omitted from these plates to quantify only vegetative cells. In parallel, undiluted samples were heated at 60° C for 30 minutes to eliminate vegetative cells and leave only spores (50).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(27).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(51). All 63 samples were sequenced on a single sequencing run. The 16S rRNA gene sequences were curated using the mothur software package (v1.36), as described previously (51).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(52).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(53).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(54) on a per library basis. Reads were then quality trimmed using Sickle (Joshi, 2011) on the default settings. An average of ~261,000,000 total reads (both paired and orphaned) remained after quality trimming. Mapping was accomplished using Bowtie2 (55)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(56).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(57)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Score Calculation.</w:t>
      </w:r>
      <w:r>
        <w:rPr/>
        <w:t xml:space="preserve"> 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 (58).</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ements"/>
      <w:bookmarkEnd w:id="9"/>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10" w:name="figure-legends"/>
      <w:bookmarkEnd w:id="10"/>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score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score calculation. Values in the red nodes represent normalized transcript reads mapping to enzymes. </w:t>
      </w:r>
      <w:r>
        <w:rPr>
          <w:b/>
        </w:rPr>
        <w:t>(C)</w:t>
      </w:r>
      <w:r>
        <w:rPr/>
        <w:t xml:space="preserve"> Example 10000-fold Mont-Carlo simulation results corresponding to a significant metabolite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 scores were calculated to have &lt;2.5% probability to be included in the associated random score distribution. Analysis was performed using the 40 highest scoring metabolites from each condition. </w:t>
      </w:r>
      <w:r>
        <w:rPr>
          <w:b/>
        </w:rPr>
        <w:t>(A)</w:t>
      </w:r>
      <w:r>
        <w:rPr/>
        <w:t xml:space="preserve"> Shared metabolite score represents the median score of metabolites that were consistently scored highly among all infected conditions. Below the conserved patterns, are shown the distinct metabolites for each group's subset.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w:t>
      </w:r>
      <w:r>
        <w:rPr>
          <w:b/>
          <w:i/>
        </w:rPr>
        <w:t>In vivo</w:t>
      </w:r>
      <w:r>
        <w:rPr>
          <w:b/>
        </w:rPr>
        <w:t xml:space="preserve"> untargeted metabolomics support network-based metabolite scores and suggest nutrient preference hierarchy.</w:t>
      </w:r>
      <w:r>
        <w:rPr/>
        <w:t xml:space="preserve"> Paired metabolites were quantified simultaneously as the only differ by chirality making differentiation impossible. CDI status and </w:t>
      </w:r>
      <w:r>
        <w:rPr>
          <w:i/>
        </w:rPr>
        <w:t>C. difficile</w:t>
      </w:r>
      <w:r>
        <w:rPr/>
        <w:t xml:space="preserve"> metabolite scores during infection are indicated below each panel. NAs denote metabolites that were not included in our metabolic model of </w:t>
      </w:r>
      <w:r>
        <w:rPr>
          <w:i/>
        </w:rPr>
        <w:t>C. difficile</w:t>
      </w:r>
      <w:r>
        <w:rPr/>
        <w:t xml:space="preserve"> str. 630.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Supplementary Figure 3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4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 xml:space="preserve">Supplementary Figure 5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metabolite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(59).</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highly scored carbon sources to identify possible differences in utilization efficiency.</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33"/>
        <w:gridCol w:w="1700"/>
        <w:gridCol w:w="1634"/>
        <w:gridCol w:w="1800"/>
        <w:gridCol w:w="1700"/>
        <w:gridCol w:w="1000"/>
      </w:tblGrid>
      <w:tr>
        <w:trPr>
          <w:cnfStyle w:firstRow="1"/>
        </w:trPr>
        <w:tc>
          <w:tcPr>
            <w:tcW w:w="1533"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Antibiotic</w:t>
            </w:r>
          </w:p>
        </w:tc>
        <w:tc>
          <w:tcPr>
            <w:tcW w:w="17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Class</w:t>
            </w:r>
          </w:p>
        </w:tc>
        <w:tc>
          <w:tcPr>
            <w:tcW w:w="1634"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Target</w:t>
            </w:r>
          </w:p>
        </w:tc>
        <w:tc>
          <w:tcPr>
            <w:tcW w:w="18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Activity</w:t>
            </w:r>
          </w:p>
        </w:tc>
        <w:tc>
          <w:tcPr>
            <w:tcW w:w="17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Administration</w:t>
            </w:r>
          </w:p>
        </w:tc>
        <w:tc>
          <w:tcPr>
            <w:tcW w:w="100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Dosage</w:t>
            </w:r>
          </w:p>
        </w:tc>
      </w:tr>
      <w:tr>
        <w:trPr/>
        <w:tc>
          <w:tcPr>
            <w:tcW w:w="15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Cefoperazone</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Cephalosporin (3rd generation)</w:t>
            </w:r>
          </w:p>
        </w:tc>
        <w:tc>
          <w:tcPr>
            <w:tcW w:w="1634"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Primarily Gram-positive bacteria, with increased activity against Gram-negative bacteria</w:t>
            </w:r>
          </w:p>
        </w:tc>
        <w:tc>
          <w:tcPr>
            <w:tcW w:w="18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Irreversibly crosslink bacterial transpeptidases to peptidoglycan and prevents cell wall synthesis</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Drinking water Ad libitum for 5 days, 2 days untreated drinking water prior to infection</w:t>
            </w:r>
          </w:p>
        </w:tc>
        <w:tc>
          <w:tcPr>
            <w:tcW w:w="10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0.5 mg/ml drinking water</w:t>
            </w:r>
          </w:p>
        </w:tc>
      </w:tr>
      <w:tr>
        <w:trPr/>
        <w:tc>
          <w:tcPr>
            <w:tcW w:w="15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Streptomycin</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Aminoglycoside</w:t>
            </w:r>
          </w:p>
        </w:tc>
        <w:tc>
          <w:tcPr>
            <w:tcW w:w="1634"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Active against most Gram-negative aerobic and facultative anaerobic bacilli</w:t>
            </w:r>
          </w:p>
        </w:tc>
        <w:tc>
          <w:tcPr>
            <w:tcW w:w="18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Protein synthesis inhibitor through binding the 30S portion of the 70S ribosomal subunit</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Drinking water Ad libitum for 5 days, 2 days untreated drinking water prior to infection</w:t>
            </w:r>
          </w:p>
        </w:tc>
        <w:tc>
          <w:tcPr>
            <w:tcW w:w="10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5.0 mg/ml drinking water</w:t>
            </w:r>
          </w:p>
        </w:tc>
      </w:tr>
      <w:tr>
        <w:trPr/>
        <w:tc>
          <w:tcPr>
            <w:tcW w:w="15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Clindamycin</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Lincosamide</w:t>
            </w:r>
          </w:p>
        </w:tc>
        <w:tc>
          <w:tcPr>
            <w:tcW w:w="1634"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Primarily active against Gram-positive bacteria, most anaerobic bacteria, and some mycoplasma</w:t>
            </w:r>
          </w:p>
        </w:tc>
        <w:tc>
          <w:tcPr>
            <w:tcW w:w="18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Protein synthesis inhibition through binding to the 23s portion of the 50S ribosomal subunit</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Intraperitoneal injection 24 hours prior to infection</w:t>
            </w:r>
          </w:p>
        </w:tc>
        <w:tc>
          <w:tcPr>
            <w:tcW w:w="1000" w:type="dxa"/>
            <w:tcBorders>
              <w:top w:val="single" w:sz="6" w:space="0" w:color="000001"/>
              <w:bottom w:val="single" w:sz="6" w:space="0" w:color="000001"/>
              <w:insideH w:val="single" w:sz="6" w:space="0" w:color="000001"/>
            </w:tcBorders>
            <w:shd w:fill="auto" w:val="clear"/>
          </w:tcPr>
          <w:p>
            <w:pPr>
              <w:pStyle w:val="Compact"/>
              <w:spacing w:before="36" w:after="36"/>
              <w:jc w:val="left"/>
              <w:rPr>
                <w:sz w:val="20"/>
                <w:szCs w:val="20"/>
              </w:rPr>
            </w:pPr>
            <w:r>
              <w:rPr>
                <w:sz w:val="20"/>
                <w:szCs w:val="20"/>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Heading3"/>
        <w:rPr/>
      </w:pPr>
      <w:bookmarkStart w:id="11" w:name="references"/>
      <w:bookmarkEnd w:id="11"/>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&lt;i&gt;Clostridium difficile&lt;/i&gt;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28. </w:t>
      </w:r>
      <w:r>
        <w:rPr>
          <w:b/>
        </w:rPr>
        <w:t>Antunes, A.</w:t>
      </w:r>
      <w:r>
        <w:rPr/>
        <w:t xml:space="preserve">, </w:t>
      </w:r>
      <w:r>
        <w:rPr>
          <w:b/>
        </w:rPr>
        <w:t>E. Camiade</w:t>
      </w:r>
      <w:r>
        <w:rPr/>
        <w:t xml:space="preserve">, </w:t>
      </w:r>
      <w:r>
        <w:rPr>
          <w:b/>
        </w:rPr>
        <w:t>M. Monot</w:t>
      </w:r>
      <w:r>
        <w:rPr/>
        <w:t xml:space="preserve">, </w:t>
      </w:r>
      <w:r>
        <w:rPr>
          <w:b/>
        </w:rPr>
        <w:t>E. Courtois</w:t>
      </w:r>
      <w:r>
        <w:rPr/>
        <w:t xml:space="preserve">, </w:t>
      </w:r>
      <w:r>
        <w:rPr>
          <w:b/>
        </w:rPr>
        <w:t>F. Barbut</w:t>
      </w:r>
      <w:r>
        <w:rPr/>
        <w:t xml:space="preserve">, </w:t>
      </w:r>
      <w:r>
        <w:rPr>
          <w:b/>
        </w:rPr>
        <w:t>N. V. Sernova</w:t>
      </w:r>
      <w:r>
        <w:rPr/>
        <w:t xml:space="preserve">, </w:t>
      </w:r>
      <w:r>
        <w:rPr>
          <w:b/>
        </w:rPr>
        <w:t>D. A. Rodionov</w:t>
      </w:r>
      <w:r>
        <w:rPr/>
        <w:t xml:space="preserve">, </w:t>
      </w:r>
      <w:r>
        <w:rPr>
          <w:b/>
        </w:rPr>
        <w:t>I. Martin-Verstraete</w:t>
      </w:r>
      <w:r>
        <w:rPr/>
        <w:t xml:space="preserve">, and </w:t>
      </w:r>
      <w:r>
        <w:rPr>
          <w:b/>
        </w:rPr>
        <w:t>B. Dupuy</w:t>
      </w:r>
      <w:r>
        <w:rPr/>
        <w:t xml:space="preserve">. 2012. Global transcriptional control by glucose and carbon regulator CcpA in </w:t>
      </w:r>
      <w:r>
        <w:rPr>
          <w:i/>
        </w:rPr>
        <w:t>Clostridium difficile</w:t>
      </w:r>
      <w:r>
        <w:rPr/>
        <w:t xml:space="preserve">. Nucleic Acids Research </w:t>
      </w:r>
      <w:r>
        <w:rPr>
          <w:b/>
        </w:rPr>
        <w:t>40</w:t>
      </w:r>
      <w:r>
        <w:rPr/>
        <w:t>:10701–10718.</w:t>
      </w:r>
    </w:p>
    <w:p>
      <w:pPr>
        <w:pStyle w:val="Bibliography"/>
        <w:rPr/>
      </w:pPr>
      <w:r>
        <w:rPr/>
        <w:t xml:space="preserve">29.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w:t>
      </w:r>
      <w:r>
        <w:rPr>
          <w:i/>
        </w:rPr>
        <w:t>Clostridium difficile</w:t>
      </w:r>
      <w:r>
        <w:rPr/>
        <w:t xml:space="preserve">. Research in Microbiology </w:t>
      </w:r>
      <w:r>
        <w:rPr>
          <w:b/>
        </w:rPr>
        <w:t>166</w:t>
      </w:r>
      <w:r>
        <w:rPr/>
        <w:t>:375–383.</w:t>
      </w:r>
    </w:p>
    <w:p>
      <w:pPr>
        <w:pStyle w:val="Bibliography"/>
        <w:rPr/>
      </w:pPr>
      <w:r>
        <w:rPr/>
        <w:t xml:space="preserve">30.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31.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32.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33. </w:t>
      </w:r>
      <w:r>
        <w:rPr>
          <w:b/>
        </w:rPr>
        <w:t>Fimlaid, K. A.</w:t>
      </w:r>
      <w:r>
        <w:rPr/>
        <w:t xml:space="preserve">, </w:t>
      </w:r>
      <w:r>
        <w:rPr>
          <w:b/>
        </w:rPr>
        <w:t>J. P. Bond</w:t>
      </w:r>
      <w:r>
        <w:rPr/>
        <w:t xml:space="preserve">, </w:t>
      </w:r>
      <w:r>
        <w:rPr>
          <w:b/>
        </w:rPr>
        <w:t>K. C. Schutz</w:t>
      </w:r>
      <w:r>
        <w:rPr/>
        <w:t xml:space="preserve">, </w:t>
      </w:r>
      <w:r>
        <w:rPr>
          <w:b/>
        </w:rPr>
        <w:t>E. E. Putnam</w:t>
      </w:r>
      <w:r>
        <w:rPr/>
        <w:t xml:space="preserve">, </w:t>
      </w:r>
      <w:r>
        <w:rPr>
          <w:b/>
        </w:rPr>
        <w:t>J. M. Leung</w:t>
      </w:r>
      <w:r>
        <w:rPr/>
        <w:t xml:space="preserve">, </w:t>
      </w:r>
      <w:r>
        <w:rPr>
          <w:b/>
        </w:rPr>
        <w:t>T. D. Lawley</w:t>
      </w:r>
      <w:r>
        <w:rPr/>
        <w:t xml:space="preserve">, and </w:t>
      </w:r>
      <w:r>
        <w:rPr>
          <w:b/>
        </w:rPr>
        <w:t>A. Shen</w:t>
      </w:r>
      <w:r>
        <w:rPr/>
        <w:t xml:space="preserve">. 2013. Global Analysis of the Sporulation Pathway of </w:t>
      </w:r>
      <w:r>
        <w:rPr>
          <w:i/>
        </w:rPr>
        <w:t>Clostridium difficile</w:t>
      </w:r>
      <w:r>
        <w:rPr/>
        <w:t xml:space="preserve">. PLoS Genetics </w:t>
      </w:r>
      <w:r>
        <w:rPr>
          <w:b/>
        </w:rPr>
        <w:t>9</w:t>
      </w:r>
      <w:r>
        <w:rPr/>
        <w:t>.</w:t>
      </w:r>
    </w:p>
    <w:p>
      <w:pPr>
        <w:pStyle w:val="Bibliography"/>
        <w:rPr/>
      </w:pPr>
      <w:r>
        <w:rPr/>
        <w:t xml:space="preserve">34. </w:t>
      </w:r>
      <w:r>
        <w:rPr>
          <w:b/>
        </w:rPr>
        <w:t>Martin-Verstraete, I.</w:t>
      </w:r>
      <w:r>
        <w:rPr/>
        <w:t xml:space="preserve">, </w:t>
      </w:r>
      <w:r>
        <w:rPr>
          <w:b/>
        </w:rPr>
        <w:t>J. Peltier</w:t>
      </w:r>
      <w:r>
        <w:rPr/>
        <w:t xml:space="preserve">, and </w:t>
      </w:r>
      <w:r>
        <w:rPr>
          <w:b/>
        </w:rPr>
        <w:t>B. Dupuy</w:t>
      </w:r>
      <w:r>
        <w:rPr/>
        <w:t xml:space="preserve">. 2016. The regulatory networks that control </w:t>
      </w:r>
      <w:r>
        <w:rPr>
          <w:i/>
        </w:rPr>
        <w:t>Clostridium difficile</w:t>
      </w:r>
      <w:r>
        <w:rPr/>
        <w:t xml:space="preserve"> toxin synthesisToxins.</w:t>
      </w:r>
    </w:p>
    <w:p>
      <w:pPr>
        <w:pStyle w:val="Bibliography"/>
        <w:rPr/>
      </w:pPr>
      <w:r>
        <w:rPr/>
        <w:t xml:space="preserve">35. </w:t>
      </w:r>
      <w:r>
        <w:rPr>
          <w:b/>
        </w:rPr>
        <w:t>Lee, A. S. Y.</w:t>
      </w:r>
      <w:r>
        <w:rPr/>
        <w:t xml:space="preserve">, and </w:t>
      </w:r>
      <w:r>
        <w:rPr>
          <w:b/>
        </w:rPr>
        <w:t>K. P. Song</w:t>
      </w:r>
      <w:r>
        <w:rPr/>
        <w:t xml:space="preserve">. 2005. LuxS/autoinducer-2 quorum sensing molecule regulates transcriptional virulence gene expression in </w:t>
      </w:r>
      <w:r>
        <w:rPr>
          <w:i/>
        </w:rPr>
        <w:t>Clostridium difficile</w:t>
      </w:r>
      <w:r>
        <w:rPr/>
        <w:t xml:space="preserve">. Biochemical and Biophysical Research Communications </w:t>
      </w:r>
      <w:r>
        <w:rPr>
          <w:b/>
        </w:rPr>
        <w:t>335</w:t>
      </w:r>
      <w:r>
        <w:rPr/>
        <w:t>:659–666.</w:t>
      </w:r>
    </w:p>
    <w:p>
      <w:pPr>
        <w:pStyle w:val="Bibliography"/>
        <w:rPr/>
      </w:pPr>
      <w:r>
        <w:rPr/>
        <w:t xml:space="preserve">36.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37.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38.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39.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40.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41.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42.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43. </w:t>
      </w:r>
      <w:r>
        <w:rPr>
          <w:b/>
        </w:rPr>
        <w:t>Van Grinsven, K.</w:t>
      </w:r>
      <w:r>
        <w:rPr/>
        <w:t xml:space="preserve">, </w:t>
      </w:r>
      <w:r>
        <w:rPr>
          <w:b/>
        </w:rPr>
        <w:t>S. Rosnowsky</w:t>
      </w:r>
      <w:r>
        <w:rPr/>
        <w:t xml:space="preserve">, </w:t>
      </w:r>
      <w:r>
        <w:rPr>
          <w:b/>
        </w:rPr>
        <w:t>S. Van Weelden</w:t>
      </w:r>
      <w:r>
        <w:rPr/>
        <w:t xml:space="preserve">, </w:t>
      </w:r>
      <w:r>
        <w:rPr>
          <w:b/>
        </w:rPr>
        <w:t>S. Pütz</w:t>
      </w:r>
      <w:r>
        <w:rPr/>
        <w:t xml:space="preserve">, </w:t>
      </w:r>
      <w:r>
        <w:rPr>
          <w:b/>
        </w:rPr>
        <w:t>M. Van Der Giezen</w:t>
      </w:r>
      <w:r>
        <w:rPr/>
        <w:t xml:space="preserve">, </w:t>
      </w:r>
      <w:r>
        <w:rPr>
          <w:b/>
        </w:rPr>
        <w:t>W. Martin</w:t>
      </w:r>
      <w:r>
        <w:rPr/>
        <w:t xml:space="preserve">, </w:t>
      </w:r>
      <w:r>
        <w:rPr>
          <w:b/>
        </w:rPr>
        <w:t>J. Van Hellemond</w:t>
      </w:r>
      <w:r>
        <w:rPr/>
        <w:t xml:space="preserve">, </w:t>
      </w:r>
      <w:r>
        <w:rPr>
          <w:b/>
        </w:rPr>
        <w:t>A. Tielens</w:t>
      </w:r>
      <w:r>
        <w:rPr/>
        <w:t xml:space="preserve">, and </w:t>
      </w:r>
      <w:r>
        <w:rPr>
          <w:b/>
        </w:rPr>
        <w:t>K. Henze</w:t>
      </w:r>
      <w:r>
        <w:rPr/>
        <w:t xml:space="preserve">. 2008. Acetate:succinate CoA-transferase in the hydrogenosomes of Trichomonas vaginalis: Identification and characterization. Journal of Biological Chemistry </w:t>
      </w:r>
      <w:r>
        <w:rPr>
          <w:b/>
        </w:rPr>
        <w:t>283</w:t>
      </w:r>
      <w:r>
        <w:rPr/>
        <w:t>:1411–1418.</w:t>
      </w:r>
    </w:p>
    <w:p>
      <w:pPr>
        <w:pStyle w:val="Bibliography"/>
        <w:rPr/>
      </w:pPr>
      <w:r>
        <w:rPr/>
        <w:t xml:space="preserve">44.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45.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46. </w:t>
      </w:r>
      <w:r>
        <w:rPr>
          <w:b/>
        </w:rPr>
        <w:t>Rakoff-Nahoum, S.</w:t>
      </w:r>
      <w:r>
        <w:rPr/>
        <w:t xml:space="preserve">, </w:t>
      </w:r>
      <w:r>
        <w:rPr>
          <w:b/>
        </w:rPr>
        <w:t>M. J. Coyne</w:t>
      </w:r>
      <w:r>
        <w:rPr/>
        <w:t xml:space="preserve">, and </w:t>
      </w:r>
      <w:r>
        <w:rPr>
          <w:b/>
        </w:rPr>
        <w:t>L. E. Comstock</w:t>
      </w:r>
      <w:r>
        <w:rPr/>
        <w:t xml:space="preserve">. 2014. An ecological network of polysaccharide utilization among human intestinal symbionts. Current Biology </w:t>
      </w:r>
      <w:r>
        <w:rPr>
          <w:b/>
        </w:rPr>
        <w:t>24</w:t>
      </w:r>
      <w:r>
        <w:rPr/>
        <w:t>:40–49.</w:t>
      </w:r>
    </w:p>
    <w:p>
      <w:pPr>
        <w:pStyle w:val="Bibliography"/>
        <w:rPr/>
      </w:pPr>
      <w:r>
        <w:rPr/>
        <w:t xml:space="preserve">47.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48.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50.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51.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52.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53.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54.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55.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56.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58.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spacing w:before="180" w:after="180"/>
        <w:rPr/>
      </w:pPr>
      <w:r>
        <w:rPr/>
        <w:t xml:space="preserve">59.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9">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48</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48</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48</Pages>
  <Words>12172</Words>
  <Characters>71088</Characters>
  <CharactersWithSpaces>83053</CharactersWithSpaces>
  <Paragraphs>157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2017-06-28T12:43:34Z</dcterms:created>
  <dc:creator/>
  <dc:description/>
  <dc:language>en-US</dc:language>
  <cp:lastModifiedBy/>
  <dcterms:modified xsi:type="dcterms:W3CDTF">2017-06-29T08:10:36Z</dcterms:modified>
  <cp:revision>7</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