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1433"/>
        <w:gridCol w:w="1883"/>
        <w:gridCol w:w="2084"/>
        <w:gridCol w:w="1700"/>
        <w:gridCol w:w="1000"/>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Antibiotic</w:t>
            </w:r>
          </w:p>
        </w:tc>
        <w:tc>
          <w:tcPr>
            <w:tcW w:w="143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Class</w:t>
            </w:r>
          </w:p>
        </w:tc>
        <w:tc>
          <w:tcPr>
            <w:tcW w:w="188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Target</w:t>
            </w:r>
          </w:p>
        </w:tc>
        <w:tc>
          <w:tcPr>
            <w:tcW w:w="2084"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Activity</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Administration</w:t>
            </w:r>
          </w:p>
        </w:tc>
        <w:tc>
          <w:tcPr>
            <w:tcW w:w="10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Dosage</w:t>
            </w:r>
          </w:p>
        </w:tc>
      </w:tr>
      <w:tr>
        <w:trPr/>
        <w:tc>
          <w:tcPr>
            <w:tcW w:w="1267" w:type="dxa"/>
            <w:tcBorders/>
            <w:shd w:fill="auto" w:val="clear"/>
          </w:tcPr>
          <w:p>
            <w:pPr>
              <w:pStyle w:val="Compact"/>
              <w:spacing w:before="36" w:after="36"/>
              <w:jc w:val="left"/>
              <w:rPr>
                <w:sz w:val="16"/>
                <w:szCs w:val="16"/>
              </w:rPr>
            </w:pPr>
            <w:r>
              <w:rPr>
                <w:sz w:val="16"/>
                <w:szCs w:val="16"/>
              </w:rPr>
              <w:t>Cefoperazone</w:t>
            </w:r>
          </w:p>
        </w:tc>
        <w:tc>
          <w:tcPr>
            <w:tcW w:w="1433" w:type="dxa"/>
            <w:tcBorders/>
            <w:shd w:fill="auto" w:val="clear"/>
          </w:tcPr>
          <w:p>
            <w:pPr>
              <w:pStyle w:val="Compact"/>
              <w:spacing w:before="36" w:after="36"/>
              <w:jc w:val="left"/>
              <w:rPr>
                <w:sz w:val="16"/>
                <w:szCs w:val="16"/>
              </w:rPr>
            </w:pPr>
            <w:r>
              <w:rPr>
                <w:sz w:val="16"/>
                <w:szCs w:val="16"/>
              </w:rPr>
              <w:t>Cephalosporin (3rd generation)</w:t>
            </w:r>
          </w:p>
        </w:tc>
        <w:tc>
          <w:tcPr>
            <w:tcW w:w="1883" w:type="dxa"/>
            <w:tcBorders/>
            <w:shd w:fill="auto" w:val="clear"/>
          </w:tcPr>
          <w:p>
            <w:pPr>
              <w:pStyle w:val="Compact"/>
              <w:spacing w:before="36" w:after="36"/>
              <w:jc w:val="left"/>
              <w:rPr>
                <w:sz w:val="16"/>
                <w:szCs w:val="16"/>
              </w:rPr>
            </w:pPr>
            <w:r>
              <w:rPr>
                <w:sz w:val="16"/>
                <w:szCs w:val="16"/>
              </w:rPr>
              <w:t>Primarily Gram-positive bacteria, with increased activity against Gram-negative bacteria</w:t>
            </w:r>
          </w:p>
        </w:tc>
        <w:tc>
          <w:tcPr>
            <w:tcW w:w="2084" w:type="dxa"/>
            <w:tcBorders/>
            <w:shd w:fill="auto" w:val="clear"/>
          </w:tcPr>
          <w:p>
            <w:pPr>
              <w:pStyle w:val="Compact"/>
              <w:spacing w:before="36" w:after="36"/>
              <w:jc w:val="left"/>
              <w:rPr>
                <w:sz w:val="16"/>
                <w:szCs w:val="16"/>
              </w:rPr>
            </w:pPr>
            <w:r>
              <w:rPr>
                <w:sz w:val="16"/>
                <w:szCs w:val="16"/>
              </w:rPr>
              <w:t>Irreversibly crosslink bacterial transpeptidases to peptidoglycan and prevents cell wall synthesis</w:t>
            </w:r>
          </w:p>
        </w:tc>
        <w:tc>
          <w:tcPr>
            <w:tcW w:w="170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000" w:type="dxa"/>
            <w:tcBorders/>
            <w:shd w:fill="auto" w:val="clear"/>
          </w:tcPr>
          <w:p>
            <w:pPr>
              <w:pStyle w:val="Compact"/>
              <w:spacing w:before="36" w:after="36"/>
              <w:jc w:val="left"/>
              <w:rPr>
                <w:sz w:val="16"/>
                <w:szCs w:val="16"/>
              </w:rPr>
            </w:pPr>
            <w:r>
              <w:rPr>
                <w:sz w:val="16"/>
                <w:szCs w:val="16"/>
              </w:rPr>
              <w:t>0.5 mg/ml drinking water</w:t>
            </w:r>
          </w:p>
        </w:tc>
      </w:tr>
      <w:tr>
        <w:trPr/>
        <w:tc>
          <w:tcPr>
            <w:tcW w:w="1267" w:type="dxa"/>
            <w:tcBorders/>
            <w:shd w:fill="auto" w:val="clear"/>
          </w:tcPr>
          <w:p>
            <w:pPr>
              <w:pStyle w:val="Compact"/>
              <w:spacing w:before="36" w:after="36"/>
              <w:jc w:val="left"/>
              <w:rPr>
                <w:sz w:val="16"/>
                <w:szCs w:val="16"/>
              </w:rPr>
            </w:pPr>
            <w:r>
              <w:rPr>
                <w:sz w:val="16"/>
                <w:szCs w:val="16"/>
              </w:rPr>
              <w:t>Streptomycin</w:t>
            </w:r>
          </w:p>
        </w:tc>
        <w:tc>
          <w:tcPr>
            <w:tcW w:w="1433" w:type="dxa"/>
            <w:tcBorders/>
            <w:shd w:fill="auto" w:val="clear"/>
          </w:tcPr>
          <w:p>
            <w:pPr>
              <w:pStyle w:val="Compact"/>
              <w:spacing w:before="36" w:after="36"/>
              <w:jc w:val="left"/>
              <w:rPr>
                <w:sz w:val="16"/>
                <w:szCs w:val="16"/>
              </w:rPr>
            </w:pPr>
            <w:r>
              <w:rPr>
                <w:sz w:val="16"/>
                <w:szCs w:val="16"/>
              </w:rPr>
              <w:t>Aminoglycoside</w:t>
            </w:r>
          </w:p>
        </w:tc>
        <w:tc>
          <w:tcPr>
            <w:tcW w:w="1883" w:type="dxa"/>
            <w:tcBorders/>
            <w:shd w:fill="auto" w:val="clear"/>
          </w:tcPr>
          <w:p>
            <w:pPr>
              <w:pStyle w:val="Compact"/>
              <w:spacing w:before="36" w:after="36"/>
              <w:jc w:val="left"/>
              <w:rPr>
                <w:sz w:val="16"/>
                <w:szCs w:val="16"/>
              </w:rPr>
            </w:pPr>
            <w:r>
              <w:rPr>
                <w:sz w:val="16"/>
                <w:szCs w:val="16"/>
              </w:rPr>
              <w:t>Active against most Gram-negative aerobic and facultative anaerobic bacilli</w:t>
            </w:r>
          </w:p>
        </w:tc>
        <w:tc>
          <w:tcPr>
            <w:tcW w:w="2084" w:type="dxa"/>
            <w:tcBorders/>
            <w:shd w:fill="auto" w:val="clear"/>
          </w:tcPr>
          <w:p>
            <w:pPr>
              <w:pStyle w:val="Compact"/>
              <w:spacing w:before="36" w:after="36"/>
              <w:jc w:val="left"/>
              <w:rPr>
                <w:sz w:val="16"/>
                <w:szCs w:val="16"/>
              </w:rPr>
            </w:pPr>
            <w:r>
              <w:rPr>
                <w:sz w:val="16"/>
                <w:szCs w:val="16"/>
              </w:rPr>
              <w:t>Protein synthesis inhibitor through binding the 30S portion of the 70S ribosomal subunit</w:t>
            </w:r>
          </w:p>
        </w:tc>
        <w:tc>
          <w:tcPr>
            <w:tcW w:w="170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1000" w:type="dxa"/>
            <w:tcBorders/>
            <w:shd w:fill="auto" w:val="clear"/>
          </w:tcPr>
          <w:p>
            <w:pPr>
              <w:pStyle w:val="Compact"/>
              <w:spacing w:before="36" w:after="36"/>
              <w:jc w:val="left"/>
              <w:rPr>
                <w:sz w:val="16"/>
                <w:szCs w:val="16"/>
              </w:rPr>
            </w:pPr>
            <w:r>
              <w:rPr>
                <w:sz w:val="16"/>
                <w:szCs w:val="16"/>
              </w:rPr>
              <w:t>5.0 mg/ml drinking water</w:t>
            </w:r>
          </w:p>
        </w:tc>
      </w:tr>
      <w:tr>
        <w:trPr/>
        <w:tc>
          <w:tcPr>
            <w:tcW w:w="1267" w:type="dxa"/>
            <w:tcBorders/>
            <w:shd w:fill="auto" w:val="clear"/>
          </w:tcPr>
          <w:p>
            <w:pPr>
              <w:pStyle w:val="Compact"/>
              <w:spacing w:before="36" w:after="36"/>
              <w:jc w:val="left"/>
              <w:rPr>
                <w:sz w:val="16"/>
                <w:szCs w:val="16"/>
              </w:rPr>
            </w:pPr>
            <w:r>
              <w:rPr>
                <w:sz w:val="16"/>
                <w:szCs w:val="16"/>
              </w:rPr>
              <w:t>Clindamycin</w:t>
            </w:r>
          </w:p>
        </w:tc>
        <w:tc>
          <w:tcPr>
            <w:tcW w:w="1433" w:type="dxa"/>
            <w:tcBorders/>
            <w:shd w:fill="auto" w:val="clear"/>
          </w:tcPr>
          <w:p>
            <w:pPr>
              <w:pStyle w:val="Compact"/>
              <w:spacing w:before="36" w:after="36"/>
              <w:jc w:val="left"/>
              <w:rPr>
                <w:sz w:val="16"/>
                <w:szCs w:val="16"/>
              </w:rPr>
            </w:pPr>
            <w:r>
              <w:rPr>
                <w:sz w:val="16"/>
                <w:szCs w:val="16"/>
              </w:rPr>
              <w:t>Lincosamide</w:t>
            </w:r>
          </w:p>
        </w:tc>
        <w:tc>
          <w:tcPr>
            <w:tcW w:w="1883" w:type="dxa"/>
            <w:tcBorders/>
            <w:shd w:fill="auto" w:val="clear"/>
          </w:tcPr>
          <w:p>
            <w:pPr>
              <w:pStyle w:val="Compact"/>
              <w:spacing w:before="36" w:after="36"/>
              <w:jc w:val="left"/>
              <w:rPr>
                <w:sz w:val="16"/>
                <w:szCs w:val="16"/>
              </w:rPr>
            </w:pPr>
            <w:r>
              <w:rPr>
                <w:sz w:val="16"/>
                <w:szCs w:val="16"/>
              </w:rPr>
              <w:t>Primarily active against Gram-positive bacteria, most anaerobic bacteria, and some mycoplasma</w:t>
            </w:r>
          </w:p>
        </w:tc>
        <w:tc>
          <w:tcPr>
            <w:tcW w:w="2084" w:type="dxa"/>
            <w:tcBorders/>
            <w:shd w:fill="auto" w:val="clear"/>
          </w:tcPr>
          <w:p>
            <w:pPr>
              <w:pStyle w:val="Compact"/>
              <w:spacing w:before="36" w:after="36"/>
              <w:jc w:val="left"/>
              <w:rPr>
                <w:sz w:val="16"/>
                <w:szCs w:val="16"/>
              </w:rPr>
            </w:pPr>
            <w:r>
              <w:rPr>
                <w:sz w:val="16"/>
                <w:szCs w:val="16"/>
              </w:rPr>
              <w:t>Protein synthesis inhibition through binding to the 23s portion of the 50S ribosomal subunit</w:t>
            </w:r>
          </w:p>
        </w:tc>
        <w:tc>
          <w:tcPr>
            <w:tcW w:w="1700" w:type="dxa"/>
            <w:tcBorders/>
            <w:shd w:fill="auto" w:val="clear"/>
          </w:tcPr>
          <w:p>
            <w:pPr>
              <w:pStyle w:val="Compact"/>
              <w:spacing w:before="36" w:after="36"/>
              <w:jc w:val="left"/>
              <w:rPr>
                <w:sz w:val="16"/>
                <w:szCs w:val="16"/>
              </w:rPr>
            </w:pPr>
            <w:r>
              <w:rPr>
                <w:sz w:val="16"/>
                <w:szCs w:val="16"/>
              </w:rPr>
              <w:t>Intraperitoneal injection 24 hours prior to infection</w:t>
            </w:r>
          </w:p>
        </w:tc>
        <w:tc>
          <w:tcPr>
            <w:tcW w:w="1000" w:type="dxa"/>
            <w:tcBorders/>
            <w:shd w:fill="auto" w:val="clear"/>
          </w:tcPr>
          <w:p>
            <w:pPr>
              <w:pStyle w:val="Compact"/>
              <w:spacing w:before="36" w:after="36"/>
              <w:jc w:val="left"/>
              <w:rPr>
                <w:sz w:val="16"/>
                <w:szCs w:val="16"/>
              </w:rPr>
            </w:pPr>
            <w:r>
              <w:rPr>
                <w:sz w:val="16"/>
                <w:szCs w:val="16"/>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TextBody"/>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S6A)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S6C)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S6D; </w:t>
      </w:r>
      <w:r>
        <w:rPr>
          <w:i/>
        </w:rPr>
        <w:t>P</w:t>
      </w:r>
      <w:r>
        <w:rPr/>
        <w:t xml:space="preserve"> &lt; 0.05). The Stickland donors leucine and isoleucine were significantly lower in all infected conditions except streptomycin-pretreated mice (Fig. S6A and S6B;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is novel because it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3">
        <w:r>
          <w:rPr>
            <w:rStyle w:val="InternetLink"/>
          </w:rPr>
          <w:t>http://broadinstitute.github.io/picard/</w:t>
        </w:r>
      </w:hyperlink>
      <w:r>
        <w:rPr/>
        <w:t>), leaving an average of ~167,000 reads per sample for final analysis (Table S5).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 Refer to Fig. S4 for additional figure interpretation.</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46</Pages>
  <Words>11671</Words>
  <Characters>68247</Characters>
  <CharactersWithSpaces>79722</CharactersWithSpaces>
  <Paragraphs>145</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2017-06-02T14:35:45Z</dcterms:created>
  <dc:creator/>
  <dc:description/>
  <dc:language>en-US</dc:language>
  <cp:lastModifiedBy/>
  <dcterms:modified xsi:type="dcterms:W3CDTF">2017-06-02T10:38:57Z</dcterms:modified>
  <cp:revision>1</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