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for identifying microbial metabolic responses to environmental pertubation</w:t>
      </w:r>
      <w:r>
        <w:t xml:space="preserve"> </w:t>
      </w:r>
      <w:r>
        <w:t xml:space="preserve">(34)</w:t>
      </w:r>
      <w:r>
        <w:t xml:space="preserve">. In our system,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(35)</w:t>
      </w:r>
      <w:r>
        <w:t xml:space="preserve">. The Stickland fermentation acceptor proline was also found to be important in all conditions tested</w:t>
      </w:r>
      <w:r>
        <w:t xml:space="preserve"> </w:t>
      </w:r>
      <w:r>
        <w:t xml:space="preserve">(36)</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(38)</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(39)</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 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(47)</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(48)</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importance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importance represents the median score of metabolites that were consistently important among all infected conditions. Below the conserved patterns, are shown the distinct important metabolites for each group.</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importance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(52)</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important carbon sources to identify possible differences in utilization efficiency.</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35.</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36.</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4367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2017-06-01T20:31:54Z</dcterms:created>
  <dcterms:modified xsi:type="dcterms:W3CDTF">2017-06-01T20:31:54Z</dcterms:modified>
</cp:coreProperties>
</file>