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which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antibiotics from separate classes, as well as exploited different nutrient sources across these environments. Our metabolite score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antibiotic resulted in unique gut bacterial communities that were receptive to high levels of</w:t>
      </w:r>
      <w:r>
        <w:t xml:space="preserve"> </w:t>
      </w:r>
      <w:r>
        <w:rPr>
          <w:i/>
        </w:rPr>
        <w:t xml:space="preserve">C. difficile</w:t>
      </w:r>
      <w:r>
        <w:t xml:space="preserve"> </w:t>
      </w:r>
      <w:r>
        <w:t xml:space="preserve">colonization. Others have also shown that antibiotics from multiple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The ability of an unaltered murine gut community to exclude</w:t>
      </w:r>
      <w:r>
        <w:t xml:space="preserve"> </w:t>
      </w:r>
      <w:r>
        <w:rPr>
          <w:i/>
        </w:rPr>
        <w:t xml:space="preserve">C. difficile</w:t>
      </w:r>
      <w:r>
        <w:t xml:space="preserve"> </w:t>
      </w:r>
      <w:r>
        <w:t xml:space="preserve">colonization supports the nutrient-niche hypothesis, which states that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by limiting the availability of the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adapt to a variety nutrient niches</w:t>
      </w:r>
      <w:r>
        <w:t xml:space="preserve"> </w:t>
      </w:r>
      <w:r>
        <w:t xml:space="preserve">(13)</w:t>
      </w:r>
      <w:r>
        <w:t xml:space="preserve">.</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(6, 14–16)</w:t>
      </w:r>
      <w:r>
        <w:t xml:space="preserve">. These qualities are hallmarks of ecological generalists</w:t>
      </w:r>
      <w:r>
        <w:t xml:space="preserve"> </w:t>
      </w:r>
      <w:r>
        <w:t xml:space="preserve">(17)</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(18, 19)</w:t>
      </w:r>
      <w:r>
        <w:t xml:space="preserve">. Other studies have indicated that other aspects of</w:t>
      </w:r>
      <w:r>
        <w:t xml:space="preserve"> </w:t>
      </w:r>
      <w:r>
        <w:rPr>
          <w:i/>
        </w:rPr>
        <w:t xml:space="preserve">C. difficile</w:t>
      </w:r>
      <w:r>
        <w:t xml:space="preserve"> </w:t>
      </w:r>
      <w:r>
        <w:t xml:space="preserve">metabolism may be influenced through environmental nutrient concentration-sensitive global transcriptional regulators such as CodY and CcpA</w:t>
      </w:r>
      <w:r>
        <w:t xml:space="preserve"> </w:t>
      </w:r>
      <w:r>
        <w:t xml:space="preserve">(20, 21)</w:t>
      </w:r>
      <w:r>
        <w:t xml:space="preserve">. These previous analyses have mainly focused on</w:t>
      </w:r>
      <w:r>
        <w:t xml:space="preserve"> </w:t>
      </w:r>
      <w:r>
        <w:rPr>
          <w:i/>
        </w:rPr>
        <w:t xml:space="preserve">in vitro</w:t>
      </w:r>
      <w:r>
        <w:t xml:space="preserve"> </w:t>
      </w:r>
      <w:r>
        <w:t xml:space="preserve">growth</w:t>
      </w:r>
      <w:r>
        <w:t xml:space="preserve"> </w:t>
      </w:r>
      <w:r>
        <w:t xml:space="preserve">(22, 23)</w:t>
      </w:r>
      <w:r>
        <w:t xml:space="preserve"> </w:t>
      </w:r>
      <w:r>
        <w:t xml:space="preserve">or colonization of germfree mice</w:t>
      </w:r>
      <w:r>
        <w:t xml:space="preserve"> </w:t>
      </w:r>
      <w:r>
        <w:t xml:space="preserve">(14, 21)</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 transcriptomic and untargeted metabolomic analyses of</w:t>
      </w:r>
      <w:r>
        <w:t xml:space="preserve"> </w:t>
      </w:r>
      <w:r>
        <w:rPr>
          <w:i/>
        </w:rPr>
        <w:t xml:space="preserve">C. difficile</w:t>
      </w:r>
      <w:r>
        <w:t xml:space="preserve"> </w:t>
      </w:r>
      <w:r>
        <w:t xml:space="preserve">and the surrounding environemnt to better understand the active metabolic pathways in a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antibiotics from distinct classes. By characterizing the transcriptome of</w:t>
      </w:r>
      <w:r>
        <w:t xml:space="preserve"> </w:t>
      </w:r>
      <w:r>
        <w:rPr>
          <w:i/>
        </w:rPr>
        <w:t xml:space="preserve">C. difficile</w:t>
      </w:r>
      <w:r>
        <w:t xml:space="preserve"> </w:t>
      </w:r>
      <w:r>
        <w:t xml:space="preserve">in these different communities and the metabolome of the respective environments using paired samples from the same groups of mice,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w:t>
      </w:r>
      <w:r>
        <w:t xml:space="preserve"> </w:t>
      </w:r>
      <w:r>
        <w:rPr>
          <w:i/>
        </w:rPr>
        <w:t xml:space="preserve">C. difficile</w:t>
      </w:r>
      <w:r>
        <w:t xml:space="preserve"> </w:t>
      </w:r>
      <w:r>
        <w:t xml:space="preserve">stain 630 to understand the pathogen's physiology with and without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(Fig. 1A).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from the same cecal content of the same mice.</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Utilizing aliquots from the same mice in the previous assays, we attempted to measure differential expression of specific genes associated with</w:t>
      </w:r>
      <w:r>
        <w:t xml:space="preserve"> </w:t>
      </w:r>
      <w:r>
        <w:rPr>
          <w:i/>
        </w:rPr>
        <w:t xml:space="preserve">in vivo</w:t>
      </w:r>
      <w:r>
        <w:t xml:space="preserve"> </w:t>
      </w:r>
      <w:r>
        <w:t xml:space="preserve">phenotype changes reported in previous studies. Microarray-based gene expression measurement was not a viable alternative to sequencing as the amount of background orthologous transcription from other bacterial species would contribute greatly to non-specific binding and bias the true</w:t>
      </w:r>
      <w:r>
        <w:t xml:space="preserve"> </w:t>
      </w:r>
      <w:r>
        <w:rPr>
          <w:i/>
        </w:rPr>
        <w:t xml:space="preserve">C. difficile</w:t>
      </w:r>
      <w:r>
        <w:t xml:space="preserve"> </w:t>
      </w:r>
      <w:r>
        <w:t xml:space="preserve">signal, therefore we employed an RNA-Seq based approach to quantify transcription. As</w:t>
      </w:r>
      <w:r>
        <w:t xml:space="preserve"> </w:t>
      </w:r>
      <w:r>
        <w:rPr>
          <w:i/>
        </w:rPr>
        <w:t xml:space="preserve">C. difficile</w:t>
      </w:r>
      <w:r>
        <w:t xml:space="preserve"> </w:t>
      </w:r>
      <w:r>
        <w:t xml:space="preserve">represented a small percentage of the community in each colonized environment (Fig. S2C), making it impossible to sequence the transcriptome of individual mice due to the depth required to sufficiently sample the transcripts of</w:t>
      </w:r>
      <w:r>
        <w:t xml:space="preserve"> </w:t>
      </w:r>
      <w:r>
        <w:rPr>
          <w:i/>
        </w:rPr>
        <w:t xml:space="preserve">C. difficile</w:t>
      </w:r>
      <w:r>
        <w:t xml:space="preserve">. This required the generation of a single transcriptome per condition using pooled mRNA from all mice within each pretreatment group. Following sequencing, read curation, and stringent mapping to</w:t>
      </w:r>
      <w:r>
        <w:t xml:space="preserve"> </w:t>
      </w:r>
      <w:r>
        <w:rPr>
          <w:i/>
        </w:rPr>
        <w:t xml:space="preserve">C. difficile</w:t>
      </w:r>
      <w:r>
        <w:t xml:space="preserve"> </w:t>
      </w:r>
      <w:r>
        <w:t xml:space="preserve">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S4A). Due to the heterogeneity of</w:t>
      </w:r>
      <w:r>
        <w:t xml:space="preserve"> </w:t>
      </w:r>
      <w:r>
        <w:rPr>
          <w:i/>
        </w:rPr>
        <w:t xml:space="preserve">C. difficile</w:t>
      </w:r>
      <w:r>
        <w:t xml:space="preserve"> </w:t>
      </w:r>
      <w:r>
        <w:t xml:space="preserve">reference genes across strains</w:t>
      </w:r>
      <w:r>
        <w:t xml:space="preserve"> </w:t>
      </w:r>
      <w:r>
        <w:t xml:space="preserve">(27)</w:t>
      </w:r>
      <w:r>
        <w:t xml:space="preserve">, DNA gyrase subunit A (GyrA), threonyl-tRNA synthetase (ThrS), and ATP-dependent Clp protease (ClpP) were chosen because of their conservation across bacterial phyla and have been commonly utilized as standards of comparison for numerous transcriptional studies</w:t>
      </w:r>
      <w:r>
        <w:t xml:space="preserve"> </w:t>
      </w:r>
      <w:r>
        <w:t xml:space="preserve">(14, 28, 29)</w:t>
      </w:r>
      <w:r>
        <w:t xml:space="preserve">. Consistent expression for each of the housekeeping genes was observed across treatments, which supported that our results were more likely to be a true reflection of</w:t>
      </w:r>
      <w:r>
        <w:t xml:space="preserve"> </w:t>
      </w:r>
      <w:r>
        <w:rPr>
          <w:i/>
        </w:rPr>
        <w:t xml:space="preserve">C. difficile</w:t>
      </w:r>
      <w:r>
        <w:t xml:space="preserve"> </w:t>
      </w:r>
      <w:r>
        <w:t xml:space="preserve">expression</w:t>
      </w:r>
      <w:r>
        <w:t xml:space="preserve"> </w:t>
      </w:r>
      <w:r>
        <w:rPr>
          <w:i/>
        </w:rPr>
        <w:t xml:space="preserve">in vivo</w:t>
      </w:r>
      <w:r>
        <w:t xml:space="preserve">.</w:t>
      </w:r>
    </w:p>
    <w:p>
      <w:pPr>
        <w:pStyle w:val="BodyText"/>
      </w:pPr>
      <w: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w:t>
      </w:r>
      <w:r>
        <w:t xml:space="preserve"> </w:t>
      </w:r>
      <w:r>
        <w:rPr>
          <w:i/>
        </w:rPr>
        <w:t xml:space="preserve">C. difficile</w:t>
      </w:r>
      <w:r>
        <w:t xml:space="preserve"> </w:t>
      </w:r>
      <w:r>
        <w:t xml:space="preserve">adapted its metabolism to the environment that it colonized. As such, we next focused on specific groups of genes known to contribute to</w:t>
      </w:r>
      <w:r>
        <w:t xml:space="preserve"> </w:t>
      </w:r>
      <w:r>
        <w:rPr>
          <w:i/>
        </w:rPr>
        <w:t xml:space="preserve">C. difficile</w:t>
      </w:r>
      <w:r>
        <w:t xml:space="preserve"> </w:t>
      </w:r>
      <w:r>
        <w:t xml:space="preserve">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(30)</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w:t>
      </w:r>
      <w:r>
        <w:t xml:space="preserve"> </w:t>
      </w:r>
      <w:r>
        <w:rPr>
          <w:i/>
        </w:rPr>
        <w:t xml:space="preserve">C. difficile</w:t>
      </w:r>
      <w:r>
        <w:t xml:space="preserve"> </w:t>
      </w:r>
      <w:r>
        <w:t xml:space="preserve">tended to have more expression of genes in the ABC sugar transporter and sugar alcohol catabolism (e.g. mannitol) families and fewer genes in the PTS transporter family than the other pretreatment groups. In mice pretreated with clindamycin,</w:t>
      </w:r>
      <w:r>
        <w:t xml:space="preserve"> </w:t>
      </w:r>
      <w:r>
        <w:rPr>
          <w:i/>
        </w:rPr>
        <w:t xml:space="preserve">C. difficile</w:t>
      </w:r>
      <w:r>
        <w:t xml:space="preserve"> </w:t>
      </w:r>
      <w:r>
        <w:t xml:space="preserve">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created a generalizeable tool to</w:t>
      </w:r>
      <w:r>
        <w:t xml:space="preserve"> </w:t>
      </w:r>
      <w:r>
        <w:rPr>
          <w:i/>
        </w:rPr>
        <w:t xml:space="preserve">de novo</w:t>
      </w:r>
      <w:r>
        <w:t xml:space="preserve"> </w:t>
      </w:r>
      <w:r>
        <w:t xml:space="preserve">generate genome-enabled directed, bipartite metabolic models of bacterial species using KEGG gene and biochemical reaction annotations. We implemented this for</w:t>
      </w:r>
      <w:r>
        <w:t xml:space="preserve"> </w:t>
      </w:r>
      <w:r>
        <w:rPr>
          <w:i/>
        </w:rPr>
        <w:t xml:space="preserve">C. difficile</w:t>
      </w:r>
      <w:r>
        <w:t xml:space="preserve"> </w:t>
      </w:r>
      <w:r>
        <w:t xml:space="preserve">str. 630 shown in Fig. 3A, with enzymes and metabolites were represented by nodes, and their interactions by directed connecting edges. The</w:t>
      </w:r>
      <w:r>
        <w:t xml:space="preserve"> </w:t>
      </w:r>
      <w:r>
        <w:rPr>
          <w:i/>
        </w:rPr>
        <w:t xml:space="preserve">C. difficile</w:t>
      </w:r>
      <w:r>
        <w:t xml:space="preserve"> </w:t>
      </w:r>
      <w:r>
        <w:t xml:space="preserve">str. 630 network we created contained a total of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S3).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(31)</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(32)</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(33)</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S3).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(33)</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w:t>
      </w:r>
      <w:r>
        <w:t xml:space="preserve"> </w:t>
      </w:r>
      <w:r>
        <w:rPr>
          <w:i/>
        </w:rPr>
        <w:t xml:space="preserve">C. difficile</w:t>
      </w:r>
      <w:r>
        <w:t xml:space="preserve"> </w:t>
      </w:r>
      <w:r>
        <w:t xml:space="preserve">and was therefore a viable platform to study metabolism of the pathogen.</w:t>
      </w:r>
    </w:p>
    <w:p>
      <w:pPr>
        <w:pStyle w:val="BodyText"/>
      </w:pPr>
      <w:r>
        <w:rPr>
          <w:b/>
        </w:rPr>
        <w:t xml:space="preserve">Metabolite score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the transcriptomic results into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Similar approaches have been previously successful in demonstrating that transcript abundance data can be utilized through the lense of genome-scale metabolic networks to accurately predict microbial metabolic responses to environmental pertubation and identify reporter metabolites of changes</w:t>
      </w:r>
      <w:r>
        <w:t xml:space="preserve"> </w:t>
      </w:r>
      <w:r>
        <w:t xml:space="preserve">(34)</w:t>
      </w:r>
      <w:r>
        <w:t xml:space="preserve">. In our system, the score of each metabolite was measured as the log</w:t>
      </w:r>
      <w:r>
        <w:rPr>
          <w:vertAlign w:val="subscript"/>
        </w:rPr>
        <w:t xml:space="preserve">2</w:t>
      </w:r>
      <w:r>
        <w:t xml:space="preserve">-transformed difference in average transcript levels of enzymes that use the metabolite as a substrate and those that generate the metabolite as a product (Fig. 3B). A metabolite with a high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cytoskeleton)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(Fig. 4A). Aminoglycan N-acetylglucosamine (GlcNAc) was found to the have the highest median score of all shared metabolites, which has been shown to be a readily available source of carbon and nitrogen which can be limiting in the gut</w:t>
      </w:r>
      <w:r>
        <w:t xml:space="preserve"> </w:t>
      </w:r>
      <w:r>
        <w:t xml:space="preserve">(21)</w:t>
      </w:r>
      <w:r>
        <w:t xml:space="preserve">. We went on to confirm that our strain of</w:t>
      </w:r>
      <w:r>
        <w:t xml:space="preserve"> </w:t>
      </w:r>
      <w:r>
        <w:rPr>
          <w:i/>
        </w:rPr>
        <w:t xml:space="preserve">C. difficile</w:t>
      </w:r>
      <w:r>
        <w:t xml:space="preserve"> </w:t>
      </w:r>
      <w:r>
        <w:t xml:space="preserve">could metabolize GlcNAc for growth (Fig. 4B; Table S5) in</w:t>
      </w:r>
      <w:r>
        <w:t xml:space="preserve"> </w:t>
      </w:r>
      <w:r>
        <w:rPr>
          <w:i/>
        </w:rPr>
        <w:t xml:space="preserve">C. difficile</w:t>
      </w:r>
      <w:r>
        <w:t xml:space="preserve"> </w:t>
      </w:r>
      <w:r>
        <w:t xml:space="preserve">minimal media</w:t>
      </w:r>
      <w:r>
        <w:t xml:space="preserve"> </w:t>
      </w:r>
      <w:r>
        <w:t xml:space="preserve">(35)</w:t>
      </w:r>
      <w:r>
        <w:t xml:space="preserve">. The Stickland fermentation acceptor proline was also found to be scored highly in all conditions tested</w:t>
      </w:r>
      <w:r>
        <w:t xml:space="preserve"> </w:t>
      </w:r>
      <w:r>
        <w:t xml:space="preserve">(36)</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indicated that</w:t>
      </w:r>
      <w:r>
        <w:t xml:space="preserve"> </w:t>
      </w:r>
      <w:r>
        <w:rPr>
          <w:i/>
        </w:rPr>
        <w:t xml:space="preserve">C. difficile</w:t>
      </w:r>
      <w:r>
        <w:t xml:space="preserve"> </w:t>
      </w:r>
      <w:r>
        <w:t xml:space="preserve">uses both sets of metabolites</w:t>
      </w:r>
      <w:r>
        <w:t xml:space="preserve"> </w:t>
      </w:r>
      <w:r>
        <w:t xml:space="preserve">(21)</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additional aliquots of cecal content from the antibiotic-treated and GF mice used in all previous analyses. We employed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metabolite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highly scored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lower across all susceptible conditions (Fig. 5D; all</w:t>
      </w:r>
      <w:r>
        <w:t xml:space="preserve"> </w:t>
      </w:r>
      <w:r>
        <w:rPr>
          <w:i/>
        </w:rPr>
        <w:t xml:space="preserve">P</w:t>
      </w:r>
      <w:r>
        <w:t xml:space="preserve"> </w:t>
      </w:r>
      <w:r>
        <w:t xml:space="preserve">&lt; 0.05). Succinyl-CoA was score most highly in clindamycin pretreatment, which is the direct precursor to succinate by succinyl-CoA transferases</w:t>
      </w:r>
      <w:r>
        <w:t xml:space="preserve"> </w:t>
      </w:r>
      <w:r>
        <w:t xml:space="preserve">(37)</w:t>
      </w:r>
      <w:r>
        <w:t xml:space="preserve">. Succinate has been shown to support</w:t>
      </w:r>
      <w:r>
        <w:t xml:space="preserve"> </w:t>
      </w:r>
      <w:r>
        <w:rPr>
          <w:i/>
        </w:rPr>
        <w:t xml:space="preserve">C. difficile</w:t>
      </w:r>
      <w:r>
        <w:t xml:space="preserve"> </w:t>
      </w:r>
      <w:r>
        <w:t xml:space="preserve">growth</w:t>
      </w:r>
      <w:r>
        <w:t xml:space="preserve"> </w:t>
      </w:r>
      <w:r>
        <w:rPr>
          <w:i/>
        </w:rPr>
        <w:t xml:space="preserve">in vivo</w:t>
      </w:r>
      <w:r>
        <w:t xml:space="preserve"> </w:t>
      </w:r>
      <w:r>
        <w:t xml:space="preserve">through a synergistic relationship with at least one other bacterial species</w:t>
      </w:r>
      <w:r>
        <w:t xml:space="preserve"> </w:t>
      </w:r>
      <w:r>
        <w:t xml:space="preserve">(9)</w:t>
      </w:r>
      <w:r>
        <w:t xml:space="preserve">. As succinyl-CoA was not measured in our metabolimic assay, we instead found that succinate was indeed significantly higher in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S5A)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high scoring metabolites during CDI and mock-infection within each pretreatment group (Fig. 5). Both groups of host-derived aminoglycans, GlcNAc/GalNAc (Fig. 5A) and Neu5Ac (Fig. 5F), were significantly lower when in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S5C)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cefoperazone-pretreated mice (Fig. S5D;</w:t>
      </w:r>
      <w:r>
        <w:t xml:space="preserve"> </w:t>
      </w:r>
      <w:r>
        <w:rPr>
          <w:i/>
        </w:rPr>
        <w:t xml:space="preserve">P</w:t>
      </w:r>
      <w:r>
        <w:t xml:space="preserve"> </w:t>
      </w:r>
      <w:r>
        <w:t xml:space="preserve">&lt; 0.05). The Stickland donors leucine and isoleucine were significantly lower in all infected conditions except streptomycin-pretreated mice (Fig. S5A and S5B; all</w:t>
      </w:r>
      <w:r>
        <w:t xml:space="preserve"> </w:t>
      </w:r>
      <w:r>
        <w:rPr>
          <w:i/>
        </w:rPr>
        <w:t xml:space="preserve">P</w:t>
      </w:r>
      <w:r>
        <w:t xml:space="preserve"> </w:t>
      </w:r>
      <w:r>
        <w:t xml:space="preserve">&lt; 0.05). Concentrations of alanine were also lower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cefoperazone-pretreated mice (Fig. 5C). Although a lower the concentration of succinate in both streptomycin and clindamycin pretreated mice was observed, neither was found to be significant. Overall, metabolomic analysis supported our metabolite score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(14, 21)</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w:t>
      </w:r>
      <w:r>
        <w:t xml:space="preserve"> </w:t>
      </w:r>
      <w:r>
        <w:rPr>
          <w:i/>
        </w:rPr>
        <w:t xml:space="preserve">C. difficile</w:t>
      </w:r>
      <w:r>
        <w:t xml:space="preserve"> </w:t>
      </w:r>
      <w:r>
        <w:t xml:space="preserve">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greater availability of many metabolites highlighted by our algorithm in susceptible gut environs. Metabolomic analysis further revealed differential reduction of highly scored metabolites during CDI, which suggested a hierarchy for the utilization of certain growth nutrients.</w:t>
      </w:r>
    </w:p>
    <w:p>
      <w:pPr>
        <w:pStyle w:val="BodyText"/>
      </w:pPr>
      <w:r>
        <w:t xml:space="preserve">An explanation for the differences seen in metabolite score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highest scored substrate and concentrations Neu5Ac were significantly higher in susceptible mice. The concentrations of Neu5Ac were concordantly lower in infected mice relative to mock-infected mice.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(14, 21)</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metabolite scores including alanine, leucine, and proline indeed dropped concentration during infection (Table S4, Fig. 5A, and S5). Fermentation of amino acids provides not only carbon and energy, but are also a source of nitrogen which is a limited resource in the mammalian lower gastrointestinal tract</w:t>
      </w:r>
      <w:r>
        <w:t xml:space="preserve"> </w:t>
      </w:r>
      <w:r>
        <w:t xml:space="preserve">(38)</w:t>
      </w:r>
      <w:r>
        <w:t xml:space="preserve">. This makes Stickland fermentation a valuable metabolic strategy, and it stands to reason that</w:t>
      </w:r>
      <w:r>
        <w:t xml:space="preserve"> </w:t>
      </w:r>
      <w:r>
        <w:rPr>
          <w:i/>
        </w:rPr>
        <w:t xml:space="preserve">C. difficile</w:t>
      </w:r>
      <w:r>
        <w:t xml:space="preserve"> </w:t>
      </w:r>
      <w:r>
        <w:t xml:space="preserve">would use this strategy across all environments it colonizes. This same principle may also extend to host mucus layer derived aminoglycans as they are another source of carbon and nitrogen which, despite augmented release by members of the microbiota</w:t>
      </w:r>
      <w:r>
        <w:t xml:space="preserve"> </w:t>
      </w:r>
      <w:r>
        <w:t xml:space="preserve">(39)</w:t>
      </w:r>
      <w:r>
        <w:t xml:space="preserve">, would be present at some basal concentration regardless of other species' intercession. Finally, we did find disagreement in some metabolite scores and the difference in</w:t>
      </w:r>
      <w:r>
        <w:t xml:space="preserve"> </w:t>
      </w:r>
      <w:r>
        <w:rPr>
          <w:i/>
        </w:rPr>
        <w:t xml:space="preserve">in vivo</w:t>
      </w:r>
      <w:r>
        <w:t xml:space="preserve"> </w:t>
      </w:r>
      <w:r>
        <w:t xml:space="preserve">concentration of previously suggested</w:t>
      </w:r>
      <w:r>
        <w:t xml:space="preserve"> </w:t>
      </w:r>
      <w:r>
        <w:rPr>
          <w:i/>
        </w:rPr>
        <w:t xml:space="preserve">C. difficile</w:t>
      </w:r>
      <w:r>
        <w:t xml:space="preserve"> </w:t>
      </w:r>
      <w:r>
        <w:t xml:space="preserve">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systems approach to studying</w:t>
      </w:r>
      <w:r>
        <w:t xml:space="preserve"> </w:t>
      </w:r>
      <w:r>
        <w:rPr>
          <w:i/>
        </w:rPr>
        <w:t xml:space="preserve">C. difficile</w:t>
      </w:r>
      <w:r>
        <w:t xml:space="preserve"> </w:t>
      </w:r>
      <w:r>
        <w:t xml:space="preserve">metabolism during the infection of susceptible communities combines multiple levels of biological data to identify metabolic trends that would not be apparent by a single method.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the nature of our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w:t>
      </w:r>
      <w:r>
        <w:t xml:space="preserve"> </w:t>
      </w:r>
      <w:r>
        <w:rPr>
          <w:i/>
        </w:rPr>
        <w:t xml:space="preserve">C. difficile</w:t>
      </w:r>
      <w:r>
        <w:t xml:space="preserve">. Our modeling platform may also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w:t>
      </w:r>
      <w:r>
        <w:t xml:space="preserve">and formate, apparent metabolic end products, in the list of shared metabolites which scored highly across conditions. Although this may be a shortcoming of the genome or database annotation, one group has posited that</w:t>
      </w:r>
      <w:r>
        <w:t xml:space="preserve"> </w:t>
      </w:r>
      <w:r>
        <w:rPr>
          <w:i/>
        </w:rPr>
        <w:t xml:space="preserve">C. difficile</w:t>
      </w:r>
      <w:r>
        <w:t xml:space="preserve"> </w:t>
      </w:r>
      <w:r>
        <w:t xml:space="preserve">may actually be autotrophic under certain conditions and require both of these substrates to undergo this process</w:t>
      </w:r>
      <w:r>
        <w:t xml:space="preserve"> </w:t>
      </w:r>
      <w:r>
        <w:t xml:space="preserve">(40)</w:t>
      </w:r>
      <w:r>
        <w:t xml:space="preserve">. These findings highlight that our method not only identifies growth substrates, but reports all metabolites that are being utilized for other processes.</w:t>
      </w:r>
    </w:p>
    <w:p>
      <w:pPr>
        <w:pStyle w:val="BodyText"/>
      </w:pPr>
      <w: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Due to possible biological variation between samples that could be masked by this approach, we quantified within-group sample variation for vegetative CFU, 16S rRNA gene abundance, and untargeted mass-spectrometry (Fig. S4B-D). This revealed extremely low variablity in each treatment group at multiple levels of biology, and since these data were collected using matched cecal samples, we were more confident that our transcriptomic results reflected reality. Metabolomic comparisons were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w:t>
      </w:r>
      <w:r>
        <w:t xml:space="preserve"> </w:t>
      </w:r>
      <w:r>
        <w:rPr>
          <w:i/>
        </w:rPr>
        <w:t xml:space="preserve">C. difficile</w:t>
      </w:r>
      <w:r>
        <w:t xml:space="preserve"> </w:t>
      </w:r>
      <w:r>
        <w:t xml:space="preserve">reaches a level to create these differences on its own. Possible limitations of our modeling approach also existed, despite much of our results being consistent with previously published work and our own untargeted metabolomic analysis. Ultimately, the metabolite score calculation is dependent on correct and existing gene annotation. In this regard it has been shown that the pathway annotations in KEGG are robust to missing elements</w:t>
      </w:r>
      <w:r>
        <w:t xml:space="preserve"> </w:t>
      </w:r>
      <w:r>
        <w:t xml:space="preserve">(41)</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Since our algorithm favorably weights those metabolites closer to the network periphery, incorrect directionality annotations may lead to mislabeling reactants or products and potentially lead to incorrect melabolite score calculations. With additional manual curation of the</w:t>
      </w:r>
      <w:r>
        <w:t xml:space="preserve"> </w:t>
      </w:r>
      <w:r>
        <w:rPr>
          <w:i/>
        </w:rPr>
        <w:t xml:space="preserve">C. difficile</w:t>
      </w:r>
      <w:r>
        <w:t xml:space="preserve"> </w:t>
      </w:r>
      <w:r>
        <w:t xml:space="preserve">metabolic network, more species specific discoveries can eventually be made. Even with this possibility, the application of multiple methods to study the altered physiology of</w:t>
      </w:r>
      <w:r>
        <w:t xml:space="preserve"> </w:t>
      </w:r>
      <w:r>
        <w:rPr>
          <w:i/>
        </w:rPr>
        <w:t xml:space="preserve">C. difficile</w:t>
      </w:r>
      <w:r>
        <w:t xml:space="preserve"> </w:t>
      </w:r>
      <w:r>
        <w:t xml:space="preserve">in mock-infected and infected communities allowed us to validate our results based on known elements of</w:t>
      </w:r>
      <w:r>
        <w:t xml:space="preserve"> </w:t>
      </w:r>
      <w:r>
        <w:rPr>
          <w:i/>
        </w:rPr>
        <w:t xml:space="preserve">C. difficile</w:t>
      </w:r>
      <w:r>
        <w:t xml:space="preserve"> </w:t>
      </w:r>
      <w:r>
        <w:t xml:space="preserve">biology and to internally cross validate the novel results from our experiments. Ultimately, these results combine to underscore predictions of nutrient niche plasticity.</w:t>
      </w:r>
    </w:p>
    <w:p>
      <w:pPr>
        <w:pStyle w:val="BodyText"/>
      </w:pPr>
      <w:r>
        <w:t xml:space="preserve">Our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Focusing on previously established metabolic capabilities of the pathogen, we identify that these forms of metabolism are differentially important to</w:t>
      </w:r>
      <w:r>
        <w:t xml:space="preserve"> </w:t>
      </w:r>
      <w:r>
        <w:rPr>
          <w:i/>
        </w:rPr>
        <w:t xml:space="preserve">C. difficile</w:t>
      </w:r>
      <w:r>
        <w:t xml:space="preserve"> </w:t>
      </w:r>
      <w:r>
        <w:t xml:space="preserve">when colonizing distinct environments.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(42)</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(43)</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(44)</w:t>
      </w:r>
      <w:r>
        <w:t xml:space="preserve">. Briefly, filtered-sterilized cecal content was serially diluted in PBS and added to Vero cells in a 96-well plate. Plates were blinded and viewed after 24 hour incubation for cell rounding. A more detailed protocol with product information can be found at:</w:t>
      </w:r>
      <w:r>
        <w:t xml:space="preserve"> </w:t>
      </w:r>
      <w:hyperlink r:id="rId27">
        <w:r>
          <w:rPr>
            <w:rStyle w:val="Hyperlink"/>
          </w:rPr>
          <w:t xml:space="preserve">https://github.com/SchlossLab/Jenior_Modeling_mSystems_2017/blob/master/protocols/toxin_assay/Verocell_ToxinActivity_Assay.Rmd</w:t>
        </w:r>
      </w:hyperlink>
    </w:p>
    <w:p>
      <w:pPr>
        <w:pStyle w:val="BodyText"/>
      </w:pPr>
      <w:r>
        <w:rPr>
          <w:b/>
        </w:rPr>
        <w:t xml:space="preserve">16S rRNA gene sequencing and read curation.</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(45)</w:t>
      </w:r>
      <w:r>
        <w:t xml:space="preserve">. All 63 samples were sequenced on a single sequencing run. The 16S rRNA gene sequences were curated using the mothur software package (v1.36), as described previously</w:t>
      </w:r>
      <w:r>
        <w:t xml:space="preserve"> </w:t>
      </w:r>
      <w:r>
        <w:t xml:space="preserve">(45)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cDNA read curation, mapping, and normalization.</w:t>
      </w:r>
      <w:r>
        <w:t xml:space="preserve"> </w:t>
      </w:r>
      <w:r>
        <w:t xml:space="preserve">Raw read curation was performed in a two step process. First, residual 5’ and 3’ Illumina adapter sequences were removed using CutAdapt</w:t>
      </w:r>
      <w:r>
        <w:t xml:space="preserve"> </w:t>
      </w:r>
      <w:r>
        <w:t xml:space="preserve">(48)</w:t>
      </w:r>
      <w:r>
        <w:t xml:space="preserve"> </w:t>
      </w:r>
      <w:r>
        <w:t xml:space="preserve">on a per library basis. Reads were then quality trimmed using Sickle (Joshi, 2011) on the default settings. An average of ~261,000,000 total reads (both paired and orphaned) remained after quality trimming. Mapping was accomplished using Bowtie2</w:t>
      </w:r>
      <w:r>
        <w:t xml:space="preserve"> </w:t>
      </w:r>
      <w:r>
        <w:t xml:space="preserve">(49)</w:t>
      </w:r>
      <w:r>
        <w:t xml:space="preserve"> </w:t>
      </w:r>
      <w:r>
        <w:t xml:space="preserve">and the default stringent settings allowing for 0 mismatches again target reference genes. An average of ~6,880,000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(50)</w:t>
      </w:r>
      <w:r>
        <w:t xml:space="preserve">. Optical and PCR duplicates were then removed using Picard MarkDuplicates (</w:t>
      </w:r>
      <w:hyperlink r:id="rId28">
        <w:r>
          <w:rPr>
            <w:rStyle w:val="Hyperlink"/>
          </w:rPr>
          <w:t xml:space="preserve">http://broadinstitute.github.io/picard/</w:t>
        </w:r>
      </w:hyperlink>
      <w:r>
        <w:t xml:space="preserve">), leaving an average of ~167,000 reads per sample for final analysis (Table S2). The remaining mappings were converted to idxstats format using Samtools</w:t>
      </w:r>
      <w:r>
        <w:t xml:space="preserve"> </w:t>
      </w:r>
      <w:r>
        <w:t xml:space="preserve">(51)</w:t>
      </w:r>
      <w:r>
        <w:t xml:space="preserve"> </w:t>
      </w:r>
      <w:r>
        <w:t xml:space="preserve">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score calculations within our metabolic modeling approach.</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scoring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Score Calculation.</w:t>
      </w:r>
      <w:r>
        <w:t xml:space="preserve"> </w:t>
      </w:r>
      <w:r>
        <w:t xml:space="preserve">The substrate scoring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score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scores due to distinct transcriptional patterns for the environment measured from those metabolites that were constitutively scored at the extremes of the scale. We employed a 10,000-fold bootstrapping approach of randomly reassigning transcript abundance for enzyme nodes and recalculating metabolite scores.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metabolite scores which were then used to calculate the median and confidence interval to generate a probability for each metabolite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(52)</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http://www.github.com/SchlossLab/Jenior_Modeling_mSystems_2017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genome-enabled bipartite metabolic network architecture and transcriptomic-enabled metabolite score calculation.</w:t>
      </w:r>
      <w:r>
        <w:t xml:space="preserve"> </w:t>
      </w:r>
      <w:r>
        <w:rPr>
          <w:b/>
        </w:rPr>
        <w:t xml:space="preserve">(A)</w:t>
      </w:r>
      <w:r>
        <w:t xml:space="preserve"> </w:t>
      </w:r>
      <w:r>
        <w:t xml:space="preserve">Largest component from the bipartite GEM of</w:t>
      </w:r>
      <w:r>
        <w:t xml:space="preserve"> </w:t>
      </w:r>
      <w:r>
        <w:rPr>
          <w:i/>
        </w:rPr>
        <w:t xml:space="preserve">C. difficile</w:t>
      </w:r>
      <w:r>
        <w:t xml:space="preserve"> </w:t>
      </w:r>
      <w:r>
        <w:t xml:space="preserve">str. 630. Enzyme node sizes reflect the levels of detectable transcript from each gene. Metabolite score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score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metabolite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 scores were calculated to have &lt;2.5% probability to be included in the associated random score distribution. Analysis was performed using the 40 highest scoring metabolites from each condition.</w:t>
      </w:r>
      <w:r>
        <w:t xml:space="preserve"> </w:t>
      </w:r>
      <w:r>
        <w:rPr>
          <w:b/>
        </w:rPr>
        <w:t xml:space="preserve">(A)</w:t>
      </w:r>
      <w:r>
        <w:t xml:space="preserve"> </w:t>
      </w:r>
      <w:r>
        <w:t xml:space="preserve">Shared metabolite score represents the median score of metabolites that were consistently scored highly among all infected conditions. Below the conserved patterns, are shown the distinct metabolites for each group's subset.</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scores and suggest nutrient preference hierarchy.</w:t>
      </w:r>
      <w:r>
        <w:t xml:space="preserve"> </w:t>
      </w:r>
      <w:r>
        <w:t xml:space="preserve">Paired metabolites were quantified simultaneously as the only differ by chirality making differentiation impossible. CDI status and</w:t>
      </w:r>
      <w:r>
        <w:t xml:space="preserve"> </w:t>
      </w:r>
      <w:r>
        <w:rPr>
          <w:i/>
        </w:rPr>
        <w:t xml:space="preserve">C. difficile</w:t>
      </w:r>
      <w:r>
        <w:t xml:space="preserve"> </w:t>
      </w:r>
      <w:r>
        <w:t xml:space="preserve">metabolite scores during infection are indicated below each panel. NAs denote metabolites that were not included in our metabolic model of</w:t>
      </w:r>
      <w:r>
        <w:t xml:space="preserve"> </w:t>
      </w:r>
      <w:r>
        <w:rPr>
          <w:i/>
        </w:rPr>
        <w:t xml:space="preserve">C. difficile</w:t>
      </w:r>
      <w:r>
        <w:t xml:space="preserve"> </w:t>
      </w:r>
      <w:r>
        <w:t xml:space="preserve">str. 630.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Levels of within-group variation across datasets generated for this study.</w:t>
      </w:r>
      <w:r>
        <w:t xml:space="preserve"> </w:t>
      </w:r>
      <w:r>
        <w:rPr>
          <w:b/>
        </w:rPr>
        <w:t xml:space="preserve">(A)</w:t>
      </w:r>
      <w:r>
        <w:t xml:space="preserve"> </w:t>
      </w:r>
      <w:r>
        <w:t xml:space="preserve">Normalized transcript abundance of select housekeeping and central metabolism genes. (I) Housekeeping genes; DNA gyrase subunit A (GyrA), threonyl-tRNA synthetase (ThrS), and ATP-dependent Clp protease (ClpP).(II) Genes in separate metabolic pathways that contribute to input substrate score; enolase, glycine reductase (GrdA), and D-proline reductase (PrdA).</w:t>
      </w:r>
      <w:r>
        <w:t xml:space="preserve"> </w:t>
      </w:r>
      <w:r>
        <w:rPr>
          <w:b/>
        </w:rPr>
        <w:t xml:space="preserve">(B)</w:t>
      </w:r>
      <w:r>
        <w:t xml:space="preserve"> </w:t>
      </w:r>
      <w:r>
        <w:t xml:space="preserve">Median sample variance for vegetative</w:t>
      </w:r>
      <w:r>
        <w:t xml:space="preserve"> </w:t>
      </w:r>
      <w:r>
        <w:rPr>
          <w:i/>
        </w:rPr>
        <w:t xml:space="preserve">C. difficile</w:t>
      </w:r>
      <w:r>
        <w:t xml:space="preserve"> </w:t>
      </w:r>
      <w:r>
        <w:t xml:space="preserve">cfu from each colonized condition.</w:t>
      </w:r>
      <w:r>
        <w:t xml:space="preserve"> </w:t>
      </w:r>
      <w:r>
        <w:rPr>
          <w:b/>
        </w:rPr>
        <w:t xml:space="preserve">(C)</w:t>
      </w:r>
      <w:r>
        <w:t xml:space="preserve"> </w:t>
      </w:r>
      <w:r>
        <w:t xml:space="preserve">Median and interquartile range of the sample variance of OTU abundances from 16S rRNA gene sequencing, sample variances for each OTU were calculated individually prior to summary statistic calculations.</w:t>
      </w:r>
      <w:r>
        <w:t xml:space="preserve"> </w:t>
      </w:r>
      <w:r>
        <w:rPr>
          <w:b/>
        </w:rPr>
        <w:t xml:space="preserve">(D)</w:t>
      </w:r>
      <w:r>
        <w:t xml:space="preserve"> </w:t>
      </w:r>
      <w:r>
        <w:t xml:space="preserve">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BodyText"/>
      </w:pPr>
      <w:r>
        <w:rPr>
          <w:b/>
        </w:rPr>
        <w:t xml:space="preserve">Supplementary Figure 5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Specific genes and normalized cDNA read abundances included in analysis reported in Figure 2.</w:t>
      </w:r>
      <w:r>
        <w:t xml:space="preserve"> </w:t>
      </w:r>
      <w:r>
        <w:t xml:space="preserve">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BodyText"/>
      </w:pPr>
      <w:r>
        <w:rPr>
          <w:b/>
        </w:rPr>
        <w:t xml:space="preserve">Supplementary Table 2 | Normalized cDNA read abundances, gene annotations, and enzymatic reaction information used for metabolic model building for</w:t>
      </w:r>
      <w:r>
        <w:rPr>
          <w:b/>
        </w:rPr>
        <w:t xml:space="preserve"> </w:t>
      </w:r>
      <w:r>
        <w:rPr>
          <w:i/>
          <w:b/>
        </w:rPr>
        <w:t xml:space="preserve">C. difficile</w:t>
      </w:r>
      <w:r>
        <w:rPr>
          <w:b/>
        </w:rPr>
        <w:t xml:space="preserve"> </w:t>
      </w:r>
      <w:r>
        <w:rPr>
          <w:b/>
        </w:rPr>
        <w:t xml:space="preserve">str. 630 KEGG orthologs across colonized conditions.</w:t>
      </w:r>
      <w:r>
        <w:t xml:space="preserve"> </w:t>
      </w:r>
      <w:r>
        <w:t xml:space="preserve">All KEGG orthologs included in the</w:t>
      </w:r>
      <w:r>
        <w:t xml:space="preserve"> </w:t>
      </w:r>
      <w:r>
        <w:rPr>
          <w:i/>
        </w:rPr>
        <w:t xml:space="preserve">C. difficile</w:t>
      </w:r>
      <w:r>
        <w:t xml:space="preserve"> </w:t>
      </w:r>
      <w:r>
        <w:t xml:space="preserve">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w:t>
      </w:r>
      <w:r>
        <w:t xml:space="preserve"> </w:t>
      </w:r>
      <w:r>
        <w:rPr>
          <w:i/>
        </w:rPr>
        <w:t xml:space="preserve">C. difficile</w:t>
      </w:r>
      <w:r>
        <w:t xml:space="preserve"> </w:t>
      </w:r>
      <w:r>
        <w:t xml:space="preserve">str. 630 in presented analyses.</w:t>
      </w:r>
    </w:p>
    <w:p>
      <w:pPr>
        <w:pStyle w:val="BodyText"/>
      </w:pPr>
      <w:r>
        <w:rPr>
          <w:b/>
        </w:rPr>
        <w:t xml:space="preserve">Supplementary Table 3 | Topology metrics for enzyme and metabolite nodes in the</w:t>
      </w:r>
      <w:r>
        <w:rPr>
          <w:b/>
        </w:rPr>
        <w:t xml:space="preserve"> </w:t>
      </w:r>
      <w:r>
        <w:rPr>
          <w:i/>
          <w:b/>
        </w:rPr>
        <w:t xml:space="preserve">C. difficile</w:t>
      </w:r>
      <w:r>
        <w:rPr>
          <w:b/>
        </w:rPr>
        <w:t xml:space="preserve"> </w:t>
      </w:r>
      <w:r>
        <w:rPr>
          <w:b/>
        </w:rPr>
        <w:t xml:space="preserve">str. 630 metabolic network.</w:t>
      </w:r>
      <w:r>
        <w:t xml:space="preserve"> </w:t>
      </w:r>
      <w:r>
        <w:t xml:space="preserve">Topology analysis of the metabolic network assembled for this study was performed in the absence of transcriptomic data to assess quality of</w:t>
      </w:r>
      <w:r>
        <w:t xml:space="preserve"> </w:t>
      </w:r>
      <w:r>
        <w:rPr>
          <w:i/>
        </w:rPr>
        <w:t xml:space="preserve">de novo</w:t>
      </w:r>
      <w:r>
        <w:t xml:space="preserve"> </w:t>
      </w:r>
      <w:r>
        <w:t xml:space="preserve">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BodyText"/>
      </w:pPr>
      <w:r>
        <w:rPr>
          <w:b/>
        </w:rPr>
        <w:t xml:space="preserve">Supplementary Table 4 | Metabolites with significant metabolite scores for</w:t>
      </w:r>
      <w:r>
        <w:rPr>
          <w:b/>
        </w:rPr>
        <w:t xml:space="preserve"> </w:t>
      </w:r>
      <w:r>
        <w:rPr>
          <w:i/>
          <w:b/>
        </w:rPr>
        <w:t xml:space="preserve">C. difficile</w:t>
      </w:r>
      <w:r>
        <w:rPr>
          <w:b/>
        </w:rPr>
        <w:t xml:space="preserve"> </w:t>
      </w:r>
      <w:r>
        <w:rPr>
          <w:b/>
        </w:rPr>
        <w:t xml:space="preserve">in each colonized condition.</w:t>
      </w:r>
      <w:r>
        <w:t xml:space="preserve"> </w:t>
      </w:r>
      <w:r>
        <w:t xml:space="preserve">Each tab represents those metabolites found to exceed the significance cutoffs for</w:t>
      </w:r>
      <w:r>
        <w:t xml:space="preserve"> </w:t>
      </w:r>
      <w:r>
        <w:rPr>
          <w:i/>
        </w:rPr>
        <w:t xml:space="preserve">C. difficile</w:t>
      </w:r>
      <w:r>
        <w:t xml:space="preserve"> </w:t>
      </w:r>
      <w:r>
        <w:t xml:space="preserve">str. 630 after colonization of each of the respective susceptible states. These threshold were set for each metabolite independently through Monte Carlo simulation as outlined by Figure 3C. A</w:t>
      </w:r>
      <w:r>
        <w:t xml:space="preserve"> </w:t>
      </w:r>
      <w:r>
        <w:rPr>
          <w:i/>
        </w:rPr>
        <w:t xml:space="preserve">p</w:t>
      </w:r>
      <w:r>
        <w:t xml:space="preserve">-value of &lt; 0.05 corresponded to a metabolite scoring outside of the 95% confidence interval in the random distribution, and</w:t>
      </w:r>
      <w:r>
        <w:t xml:space="preserve"> </w:t>
      </w:r>
      <w:r>
        <w:rPr>
          <w:i/>
        </w:rPr>
        <w:t xml:space="preserve">p</w:t>
      </w:r>
      <w:r>
        <w:t xml:space="preserve"> </w:t>
      </w:r>
      <w:r>
        <w:t xml:space="preserve">&lt; 0.01 corresponds to those outside the 99% confidence interval. Confidence interval calculations for non-normal distributions were performed as defined by</w:t>
      </w:r>
      <w:r>
        <w:t xml:space="preserve"> </w:t>
      </w:r>
      <w:r>
        <w:t xml:space="preserve">(53)</w:t>
      </w:r>
      <w:r>
        <w:t xml:space="preserve">.</w:t>
      </w:r>
    </w:p>
    <w:p>
      <w:pPr>
        <w:pStyle w:val="BodyText"/>
      </w:pPr>
      <w:r>
        <w:rPr>
          <w:b/>
        </w:rPr>
        <w:t xml:space="preserve">Supplementary Table 5 |</w:t>
      </w:r>
      <w:r>
        <w:rPr>
          <w:b/>
        </w:rPr>
        <w:t xml:space="preserve"> </w:t>
      </w:r>
      <w:r>
        <w:rPr>
          <w:i/>
          <w:b/>
        </w:rPr>
        <w:t xml:space="preserve">In vitro</w:t>
      </w:r>
      <w:r>
        <w:rPr>
          <w:b/>
        </w:rPr>
        <w:t xml:space="preserve"> </w:t>
      </w:r>
      <w:r>
        <w:rPr>
          <w:b/>
        </w:rPr>
        <w:t xml:space="preserve">growth analysis for</w:t>
      </w:r>
      <w:r>
        <w:rPr>
          <w:b/>
        </w:rPr>
        <w:t xml:space="preserve"> </w:t>
      </w:r>
      <w:r>
        <w:rPr>
          <w:i/>
          <w:b/>
        </w:rPr>
        <w:t xml:space="preserve">C. difficile</w:t>
      </w:r>
      <w:r>
        <w:rPr>
          <w:b/>
        </w:rPr>
        <w:t xml:space="preserve"> </w:t>
      </w:r>
      <w:r>
        <w:rPr>
          <w:b/>
        </w:rPr>
        <w:t xml:space="preserve">630 with carbon sources identified by metabolic network algorithm.</w:t>
      </w:r>
      <w:r>
        <w:t xml:space="preserve"> </w:t>
      </w:r>
      <w:r>
        <w:t xml:space="preserve">Analysis of growth on highly scored carbon sources to identify possible differences in utilization efficiency.</w:t>
      </w:r>
    </w:p>
    <w:tbl>
      <w:tblPr>
        <w:tblStyle w:val="TableNormal"/>
        <w:tblW w:type="pct" w:w="5000.000000000001"/>
        <w:tblLook w:firstRow="1"/>
      </w:tblPr>
      <w:tblGrid>
        <w:gridCol w:w="309"/>
        <w:gridCol w:w="707"/>
        <w:gridCol w:w="2101"/>
        <w:gridCol w:w="2212"/>
        <w:gridCol w:w="2013"/>
        <w:gridCol w:w="575"/>
      </w:tblGrid>
      <w:tr>
        <w:trPr>
          <w:cnfStyle w:firstRow="1"/>
        </w:trPr>
        <w:tc>
          <w:tcPr>
            <w:tcBorders>
              <w:bottom w:val="single"/>
            </w:tcBorders>
            <w:vAlign w:val="bottom"/>
          </w:tcPr>
          <w:p>
            <w:pPr>
              <w:pStyle w:val="Compact"/>
              <w:jc w:val="left"/>
            </w:pPr>
            <w:r>
              <w:t xml:space="preserve">Antibiotic</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Administration</w:t>
            </w:r>
          </w:p>
        </w:tc>
        <w:tc>
          <w:tcPr>
            <w:tcBorders>
              <w:bottom w:val="single"/>
            </w:tcBorders>
            <w:vAlign w:val="bottom"/>
          </w:tcPr>
          <w:p>
            <w:pPr>
              <w:pStyle w:val="Compact"/>
              <w:jc w:val="left"/>
            </w:pPr>
            <w:r>
              <w:t xml:space="preserve">Dosage</w:t>
            </w:r>
          </w:p>
        </w:tc>
      </w:tr>
      <w:tr>
        <w:tc>
          <w:p>
            <w:pPr>
              <w:pStyle w:val="Compact"/>
              <w:jc w:val="left"/>
            </w:pPr>
            <w:r>
              <w:t xml:space="preserve">Cefoperazone</w:t>
            </w:r>
          </w:p>
        </w:tc>
        <w:tc>
          <w:p>
            <w:pPr>
              <w:pStyle w:val="Compact"/>
              <w:jc w:val="left"/>
            </w:pPr>
            <w:r>
              <w:t xml:space="preserve">Cephalosporin (3rd generation)</w:t>
            </w:r>
          </w:p>
        </w:tc>
        <w:tc>
          <w:p>
            <w:pPr>
              <w:pStyle w:val="Compact"/>
              <w:jc w:val="left"/>
            </w:pPr>
            <w:r>
              <w:t xml:space="preserve">Primarily Gram-positive bacteria, with increased activity against Gram-negative bacteria</w:t>
            </w:r>
          </w:p>
        </w:tc>
        <w:tc>
          <w:p>
            <w:pPr>
              <w:pStyle w:val="Compact"/>
              <w:jc w:val="left"/>
            </w:pPr>
            <w:r>
              <w:t xml:space="preserve">Irreversibly crosslink bacterial transpeptidases to peptidoglycan and prevents cell wall synthesis</w:t>
            </w:r>
          </w:p>
        </w:tc>
        <w:tc>
          <w:p>
            <w:pPr>
              <w:pStyle w:val="Compact"/>
              <w:jc w:val="left"/>
            </w:pPr>
            <w:r>
              <w:t xml:space="preserve">Drinking water Ad libitum for 5 days, 2 days untreated drinking water prior to infection</w:t>
            </w:r>
          </w:p>
        </w:tc>
        <w:tc>
          <w:p>
            <w:pPr>
              <w:pStyle w:val="Compact"/>
              <w:jc w:val="left"/>
            </w:pPr>
            <w:r>
              <w:t xml:space="preserve">0.5 mg/ml drinking water</w:t>
            </w:r>
          </w:p>
        </w:tc>
      </w:tr>
      <w:tr>
        <w:tc>
          <w:p>
            <w:pPr>
              <w:pStyle w:val="Compact"/>
              <w:jc w:val="left"/>
            </w:pPr>
            <w:r>
              <w:t xml:space="preserve">Streptomycin</w:t>
            </w:r>
          </w:p>
        </w:tc>
        <w:tc>
          <w:p>
            <w:pPr>
              <w:pStyle w:val="Compact"/>
              <w:jc w:val="left"/>
            </w:pPr>
            <w:r>
              <w:t xml:space="preserve">Aminoglycoside</w:t>
            </w:r>
          </w:p>
        </w:tc>
        <w:tc>
          <w:p>
            <w:pPr>
              <w:pStyle w:val="Compact"/>
              <w:jc w:val="left"/>
            </w:pPr>
            <w:r>
              <w:t xml:space="preserve">Active against most Gram-negative aerobic and facultative anaerobic bacilli</w:t>
            </w:r>
          </w:p>
        </w:tc>
        <w:tc>
          <w:p>
            <w:pPr>
              <w:pStyle w:val="Compact"/>
              <w:jc w:val="left"/>
            </w:pPr>
            <w:r>
              <w:t xml:space="preserve">Protein synthesis inhibitor through binding the 30S portion of the 70S ribosomal subunit</w:t>
            </w:r>
          </w:p>
        </w:tc>
        <w:tc>
          <w:p>
            <w:pPr>
              <w:pStyle w:val="Compact"/>
              <w:jc w:val="left"/>
            </w:pPr>
            <w:r>
              <w:t xml:space="preserve">Drinking water Ad libitum for 5 days, 2 days untreated drinking water prior to infection</w:t>
            </w:r>
          </w:p>
        </w:tc>
        <w:tc>
          <w:p>
            <w:pPr>
              <w:pStyle w:val="Compact"/>
              <w:jc w:val="left"/>
            </w:pPr>
            <w:r>
              <w:t xml:space="preserve">5.0 mg/ml drinking water</w:t>
            </w:r>
          </w:p>
        </w:tc>
      </w:tr>
      <w:tr>
        <w:tc>
          <w:p>
            <w:pPr>
              <w:pStyle w:val="Compact"/>
              <w:jc w:val="left"/>
            </w:pPr>
            <w:r>
              <w:t xml:space="preserve">Clindamycin</w:t>
            </w:r>
          </w:p>
        </w:tc>
        <w:tc>
          <w:p>
            <w:pPr>
              <w:pStyle w:val="Compact"/>
              <w:jc w:val="left"/>
            </w:pPr>
            <w:r>
              <w:t xml:space="preserve">Lincosamide</w:t>
            </w:r>
          </w:p>
        </w:tc>
        <w:tc>
          <w:p>
            <w:pPr>
              <w:pStyle w:val="Compact"/>
              <w:jc w:val="left"/>
            </w:pPr>
            <w:r>
              <w:t xml:space="preserve">Primarily active against Gram-positive bacteria, most anaerobic bacteria, and some mycoplasma</w:t>
            </w:r>
          </w:p>
        </w:tc>
        <w:tc>
          <w:p>
            <w:pPr>
              <w:pStyle w:val="Compact"/>
              <w:jc w:val="left"/>
            </w:pPr>
            <w:r>
              <w:t xml:space="preserve">Protein synthesis inhibition through binding to the 23s portion of the 50S ribosomal subunit</w:t>
            </w:r>
          </w:p>
        </w:tc>
        <w:tc>
          <w:p>
            <w:pPr>
              <w:pStyle w:val="Compact"/>
              <w:jc w:val="left"/>
            </w:pPr>
            <w:r>
              <w:t xml:space="preserve">Intraperitoneal injection 24 hours prior to infection</w:t>
            </w:r>
          </w:p>
        </w:tc>
        <w:tc>
          <w:p>
            <w:pPr>
              <w:pStyle w:val="Compact"/>
              <w:jc w:val="left"/>
            </w:pPr>
            <w:r>
              <w:t xml:space="preserve">10 mg/kg body weight</w:t>
            </w:r>
          </w:p>
        </w:tc>
      </w:tr>
    </w:tbl>
    <w:p>
      <w:pPr>
        <w:pStyle w:val="BodyText"/>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Janvilisri, T.</w:t>
      </w:r>
      <w:r>
        <w:t xml:space="preserve">,</w:t>
      </w:r>
      <w:r>
        <w:t xml:space="preserve"> </w:t>
      </w:r>
      <w:r>
        <w:rPr>
          <w:b/>
        </w:rPr>
        <w:t xml:space="preserve">J. Scaria</w:t>
      </w:r>
      <w:r>
        <w:t xml:space="preserve">,</w:t>
      </w:r>
      <w:r>
        <w:t xml:space="preserve"> </w:t>
      </w:r>
      <w:r>
        <w:rPr>
          <w:b/>
        </w:rPr>
        <w:t xml:space="preserve">A. D. Thompson</w:t>
      </w:r>
      <w:r>
        <w:t xml:space="preserve">,</w:t>
      </w:r>
      <w:r>
        <w:t xml:space="preserve"> </w:t>
      </w:r>
      <w:r>
        <w:rPr>
          <w:b/>
        </w:rPr>
        <w:t xml:space="preserve">A. Nicholson</w:t>
      </w:r>
      <w:r>
        <w:t xml:space="preserve">,</w:t>
      </w:r>
      <w:r>
        <w:t xml:space="preserve"> </w:t>
      </w:r>
      <w:r>
        <w:rPr>
          <w:b/>
        </w:rPr>
        <w:t xml:space="preserve">B. M. Limbago</w:t>
      </w:r>
      <w:r>
        <w:t xml:space="preserve">,</w:t>
      </w:r>
      <w:r>
        <w:t xml:space="preserve"> </w:t>
      </w:r>
      <w:r>
        <w:rPr>
          <w:b/>
        </w:rPr>
        <w:t xml:space="preserve">L. G. Arroyo</w:t>
      </w:r>
      <w:r>
        <w:t xml:space="preserve">,</w:t>
      </w:r>
      <w:r>
        <w:t xml:space="preserve"> </w:t>
      </w:r>
      <w:r>
        <w:rPr>
          <w:b/>
        </w:rPr>
        <w:t xml:space="preserve">J. G. Songer</w:t>
      </w:r>
      <w:r>
        <w:t xml:space="preserve">,</w:t>
      </w:r>
      <w:r>
        <w:t xml:space="preserve"> </w:t>
      </w:r>
      <w:r>
        <w:rPr>
          <w:b/>
        </w:rPr>
        <w:t xml:space="preserve">Y. T. Gröhn</w:t>
      </w:r>
      <w:r>
        <w:t xml:space="preserve">, and</w:t>
      </w:r>
      <w:r>
        <w:t xml:space="preserve"> </w:t>
      </w:r>
      <w:r>
        <w:rPr>
          <w:b/>
        </w:rPr>
        <w:t xml:space="preserve">Y. F. Chang</w:t>
      </w:r>
      <w:r>
        <w:t xml:space="preserve">. 2009. Microarray identification of</w:t>
      </w:r>
      <w:r>
        <w:t xml:space="preserve"> </w:t>
      </w:r>
      <w:r>
        <w:rPr>
          <w:i/>
        </w:rPr>
        <w:t xml:space="preserve">Clostridium difficile</w:t>
      </w:r>
      <w:r>
        <w:t xml:space="preserve"> </w:t>
      </w:r>
      <w:r>
        <w:t xml:space="preserve">core components and divergent regions associated with host origin. Journal of Bacteriology</w:t>
      </w:r>
      <w:r>
        <w:t xml:space="preserve"> </w:t>
      </w:r>
      <w:r>
        <w:rPr>
          <w:b/>
        </w:rPr>
        <w:t xml:space="preserve">191</w:t>
      </w:r>
      <w:r>
        <w:t xml:space="preserve">:3881–3891.</w:t>
      </w:r>
    </w:p>
    <w:p>
      <w:pPr>
        <w:pStyle w:val="Bibliography"/>
      </w:pPr>
      <w:r>
        <w:t xml:space="preserve">17.</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21.</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Metcalf, D.</w:t>
      </w:r>
      <w:r>
        <w:t xml:space="preserve">,</w:t>
      </w:r>
      <w:r>
        <w:t xml:space="preserve"> </w:t>
      </w:r>
      <w:r>
        <w:rPr>
          <w:b/>
        </w:rPr>
        <w:t xml:space="preserve">S. Sharif</w:t>
      </w:r>
      <w:r>
        <w:t xml:space="preserve">, and</w:t>
      </w:r>
      <w:r>
        <w:t xml:space="preserve"> </w:t>
      </w:r>
      <w:r>
        <w:rPr>
          <w:b/>
        </w:rPr>
        <w:t xml:space="preserve">J. Weese</w:t>
      </w:r>
      <w:r>
        <w:t xml:space="preserve">. 2010. Evaluation of candidate reference genes in Clostridium difficile for gene expression normalization. Anaerobe</w:t>
      </w:r>
      <w:r>
        <w:t xml:space="preserve"> </w:t>
      </w:r>
      <w:r>
        <w:rPr>
          <w:b/>
        </w:rPr>
        <w:t xml:space="preserve">16</w:t>
      </w:r>
      <w:r>
        <w:t xml:space="preserve">:439–443.</w:t>
      </w:r>
    </w:p>
    <w:p>
      <w:pPr>
        <w:pStyle w:val="Bibliography"/>
      </w:pPr>
      <w:r>
        <w:t xml:space="preserve">28.</w:t>
      </w:r>
      <w:r>
        <w:t xml:space="preserve"> </w:t>
      </w:r>
      <w:r>
        <w:rPr>
          <w:b/>
        </w:rPr>
        <w:t xml:space="preserve">Gendron, N.</w:t>
      </w:r>
      <w:r>
        <w:t xml:space="preserve">,</w:t>
      </w:r>
      <w:r>
        <w:t xml:space="preserve"> </w:t>
      </w:r>
      <w:r>
        <w:rPr>
          <w:b/>
        </w:rPr>
        <w:t xml:space="preserve">H. Putzer</w:t>
      </w:r>
      <w:r>
        <w:t xml:space="preserve">, and</w:t>
      </w:r>
      <w:r>
        <w:t xml:space="preserve"> </w:t>
      </w:r>
      <w:r>
        <w:rPr>
          <w:b/>
        </w:rPr>
        <w:t xml:space="preserve">M. Grunberg-Manago</w:t>
      </w:r>
      <w:r>
        <w:t xml:space="preserve">. 1994. Expression of both Bacillus subtilis threonyl-tRNA synthetase genes is autogenously regulated. Journal of Bacteriology</w:t>
      </w:r>
      <w:r>
        <w:t xml:space="preserve"> </w:t>
      </w:r>
      <w:r>
        <w:rPr>
          <w:b/>
        </w:rPr>
        <w:t xml:space="preserve">176</w:t>
      </w:r>
      <w:r>
        <w:t xml:space="preserve">:486–494.</w:t>
      </w:r>
    </w:p>
    <w:p>
      <w:pPr>
        <w:pStyle w:val="Bibliography"/>
      </w:pPr>
      <w:r>
        <w:t xml:space="preserve">29.</w:t>
      </w:r>
      <w:r>
        <w:t xml:space="preserve"> </w:t>
      </w:r>
      <w:r>
        <w:rPr>
          <w:b/>
        </w:rPr>
        <w:t xml:space="preserve">Sjögren, L.</w:t>
      </w:r>
      <w:r>
        <w:t xml:space="preserve">, and</w:t>
      </w:r>
      <w:r>
        <w:t xml:space="preserve"> </w:t>
      </w:r>
      <w:r>
        <w:rPr>
          <w:b/>
        </w:rPr>
        <w:t xml:space="preserve">A. Clarke</w:t>
      </w:r>
      <w:r>
        <w:t xml:space="preserve">. 2011. Assembly of the Chloroplast ATP-Dependent Clp Protease in Arabidopsis Is Regulated by the ClpT Accessory Proteins. The Plant Cell</w:t>
      </w:r>
      <w:r>
        <w:t xml:space="preserve"> </w:t>
      </w:r>
      <w:r>
        <w:rPr>
          <w:b/>
        </w:rPr>
        <w:t xml:space="preserve">23</w:t>
      </w:r>
      <w:r>
        <w:t xml:space="preserve">:322–332.</w:t>
      </w:r>
    </w:p>
    <w:p>
      <w:pPr>
        <w:pStyle w:val="Bibliography"/>
      </w:pPr>
      <w:r>
        <w:t xml:space="preserve">30.</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34.</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35.</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36.</w:t>
      </w:r>
      <w:r>
        <w:t xml:space="preserve"> </w:t>
      </w:r>
      <w:r>
        <w:rPr>
          <w:b/>
        </w:rPr>
        <w:t xml:space="preserve">Aboulnaga,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37.</w:t>
      </w:r>
      <w:r>
        <w:t xml:space="preserve"> </w:t>
      </w:r>
      <w:r>
        <w:rPr>
          <w:b/>
        </w:rPr>
        <w:t xml:space="preserve">Van Grinsven, K.</w:t>
      </w:r>
      <w:r>
        <w:t xml:space="preserve">,</w:t>
      </w:r>
      <w:r>
        <w:t xml:space="preserve"> </w:t>
      </w:r>
      <w:r>
        <w:rPr>
          <w:b/>
        </w:rPr>
        <w:t xml:space="preserve">S. Rosnowsky</w:t>
      </w:r>
      <w:r>
        <w:t xml:space="preserve">,</w:t>
      </w:r>
      <w:r>
        <w:t xml:space="preserve"> </w:t>
      </w:r>
      <w:r>
        <w:rPr>
          <w:b/>
        </w:rPr>
        <w:t xml:space="preserve">S. Van Weelden</w:t>
      </w:r>
      <w:r>
        <w:t xml:space="preserve">,</w:t>
      </w:r>
      <w:r>
        <w:t xml:space="preserve"> </w:t>
      </w:r>
      <w:r>
        <w:rPr>
          <w:b/>
        </w:rPr>
        <w:t xml:space="preserve">S. Pütz</w:t>
      </w:r>
      <w:r>
        <w:t xml:space="preserve">,</w:t>
      </w:r>
      <w:r>
        <w:t xml:space="preserve"> </w:t>
      </w:r>
      <w:r>
        <w:rPr>
          <w:b/>
        </w:rPr>
        <w:t xml:space="preserve">M. Van Der Giezen</w:t>
      </w:r>
      <w:r>
        <w:t xml:space="preserve">,</w:t>
      </w:r>
      <w:r>
        <w:t xml:space="preserve"> </w:t>
      </w:r>
      <w:r>
        <w:rPr>
          <w:b/>
        </w:rPr>
        <w:t xml:space="preserve">W. Martin</w:t>
      </w:r>
      <w:r>
        <w:t xml:space="preserve">,</w:t>
      </w:r>
      <w:r>
        <w:t xml:space="preserve"> </w:t>
      </w:r>
      <w:r>
        <w:rPr>
          <w:b/>
        </w:rPr>
        <w:t xml:space="preserve">J. Van Hellemond</w:t>
      </w:r>
      <w:r>
        <w:t xml:space="preserve">,</w:t>
      </w:r>
      <w:r>
        <w:t xml:space="preserve"> </w:t>
      </w:r>
      <w:r>
        <w:rPr>
          <w:b/>
        </w:rPr>
        <w:t xml:space="preserve">A. Tielens</w:t>
      </w:r>
      <w:r>
        <w:t xml:space="preserve">, and</w:t>
      </w:r>
      <w:r>
        <w:t xml:space="preserve"> </w:t>
      </w:r>
      <w:r>
        <w:rPr>
          <w:b/>
        </w:rPr>
        <w:t xml:space="preserve">K. Henze</w:t>
      </w:r>
      <w:r>
        <w:t xml:space="preserve">. 2008. Acetate:succinate CoA-transferase in the hydrogenosomes of Trichomonas vaginalis: Identification and characterization. Journal of Biological Chemistry</w:t>
      </w:r>
      <w:r>
        <w:t xml:space="preserve"> </w:t>
      </w:r>
      <w:r>
        <w:rPr>
          <w:b/>
        </w:rPr>
        <w:t xml:space="preserve">283</w:t>
      </w:r>
      <w:r>
        <w:t xml:space="preserve">:1411–1418.</w:t>
      </w:r>
    </w:p>
    <w:p>
      <w:pPr>
        <w:pStyle w:val="Bibliography"/>
      </w:pPr>
      <w:r>
        <w:t xml:space="preserve">38.</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39.</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40.</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41.</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45.</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p>
      <w:pPr>
        <w:pStyle w:val="Bibliography"/>
      </w:pPr>
      <w:r>
        <w:t xml:space="preserve">53.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1e345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2017-06-08T00:27:39Z</dcterms:created>
  <dcterms:modified xsi:type="dcterms:W3CDTF">2017-06-08T00:27:39Z</dcterms:modified>
</cp:coreProperties>
</file>