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context-dependent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toxic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 To overcome these limitations, we implemented transcriptomic and untargeted metabolomic analyses of</w:t>
      </w:r>
      <w:r>
        <w:t xml:space="preserve"> </w:t>
      </w:r>
      <w:r>
        <w:rPr>
          <w:i/>
        </w:rPr>
        <w:t xml:space="preserve">C. difficile</w:t>
      </w:r>
      <w:r>
        <w:t xml:space="preserve"> </w:t>
      </w:r>
      <w:r>
        <w:t xml:space="preserve">and the surrounding environment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metabolic response of</w:t>
      </w:r>
      <w:r>
        <w:t xml:space="preserve"> </w:t>
      </w:r>
      <w:r>
        <w:rPr>
          <w:i/>
        </w:rPr>
        <w:t xml:space="preserve">C. difficile</w:t>
      </w:r>
      <w:r>
        <w:t xml:space="preserve"> </w:t>
      </w:r>
      <w:r>
        <w:t xml:space="preserve">to the gut environment caused by three antibiotics from distinct classes. By characterizing a transcriptome-enabled metabolic model of</w:t>
      </w:r>
      <w:r>
        <w:t xml:space="preserve"> </w:t>
      </w:r>
      <w:r>
        <w:rPr>
          <w:i/>
        </w:rPr>
        <w:t xml:space="preserve">C. difficile</w:t>
      </w:r>
      <w:r>
        <w:t xml:space="preserve"> </w:t>
      </w:r>
      <w:r>
        <w:t xml:space="preserve">and changes in the metabolome of each respective environment,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Toxin activity was relatively low across each group tested compared to previous studies</w:t>
      </w:r>
      <w:r>
        <w:t xml:space="preserve"> </w:t>
      </w:r>
      <w:r>
        <w:t xml:space="preserve">(24, 27)</w:t>
      </w:r>
      <w:r>
        <w:t xml:space="preserve">, and was likely the result of the early sampling time point during infection. In spite of this, there was also a significantly higher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w:t>
      </w:r>
      <w:r>
        <w:t xml:space="preserve"> </w:t>
      </w:r>
      <w:r>
        <w:t xml:space="preserve">(28, 29)</w:t>
      </w:r>
      <w:r>
        <w:t xml:space="preserve">, we hypothesized that</w:t>
      </w:r>
      <w:r>
        <w:t xml:space="preserve"> </w:t>
      </w:r>
      <w:r>
        <w:rPr>
          <w:i/>
        </w:rPr>
        <w:t xml:space="preserve">C. difficile</w:t>
      </w:r>
      <w:r>
        <w:t xml:space="preserve"> </w:t>
      </w:r>
      <w:r>
        <w:t xml:space="preserve">was utilizing different growth substrates across the conditions tested.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cecal content of the same mice used in cfu and toxin titer analyses.</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of cecal content from the same mice in the previous assays, we measured differential expression of specific genes associated with</w:t>
      </w:r>
      <w:r>
        <w:t xml:space="preserve"> </w:t>
      </w:r>
      <w:r>
        <w:rPr>
          <w:i/>
        </w:rPr>
        <w:t xml:space="preserve">in vivo</w:t>
      </w:r>
      <w:r>
        <w:t xml:space="preserve"> </w:t>
      </w:r>
      <w:r>
        <w:t xml:space="preserve">phenotype changes reported in previous studies with an RNA-Seq based approach.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RNA-Seq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w:t>
      </w:r>
      <w:r>
        <w:t xml:space="preserve"> </w:t>
      </w:r>
      <w:r>
        <w:rPr>
          <w:i/>
        </w:rPr>
        <w:t xml:space="preserve">C. difficile</w:t>
      </w:r>
      <w:r>
        <w:t xml:space="preserve"> </w:t>
      </w:r>
      <w:r>
        <w:t xml:space="preserve">reference genes across strains</w:t>
      </w:r>
      <w:r>
        <w:t xml:space="preserve"> </w:t>
      </w:r>
      <w:r>
        <w:t xml:space="preserve">(30)</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(14, 31, 32)</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 We then focused on select genes previously demonstrated to alter transcription based on environmental cues including several key sigma factors</w:t>
      </w:r>
      <w:r>
        <w:t xml:space="preserve"> </w:t>
      </w:r>
      <w:r>
        <w:t xml:space="preserve">(29)</w:t>
      </w:r>
      <w:r>
        <w:t xml:space="preserve"> </w:t>
      </w:r>
      <w:r>
        <w:t xml:space="preserve">and downstream genes involved in sporulation</w:t>
      </w:r>
      <w:r>
        <w:t xml:space="preserve"> </w:t>
      </w:r>
      <w:r>
        <w:t xml:space="preserve">(33)</w:t>
      </w:r>
      <w:r>
        <w:t xml:space="preserve">, toxin production</w:t>
      </w:r>
      <w:r>
        <w:t xml:space="preserve"> </w:t>
      </w:r>
      <w:r>
        <w:t xml:space="preserve">(34)</w:t>
      </w:r>
      <w:r>
        <w:t xml:space="preserve">, and quorum sensing</w:t>
      </w:r>
      <w:r>
        <w:t xml:space="preserve"> </w:t>
      </w:r>
      <w:r>
        <w:t xml:space="preserve">(35)</w:t>
      </w:r>
      <w:r>
        <w:t xml:space="preserve"> </w:t>
      </w:r>
      <w:r>
        <w:t xml:space="preserve">(Fig.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BodyText"/>
      </w:pPr>
      <w:r>
        <w:t xml:space="preserve">We chose to assess transcriptional differences in several specific families of genes known to contribute to different aspects of</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(36)</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Because multiple enzymes can utilize the same input substrates within a single organism, we decided to implement a metabolic network-based approach to further investigate which metabolites were differentially utilized between conditions by</w:t>
      </w:r>
      <w:r>
        <w:t xml:space="preserve"> </w:t>
      </w:r>
      <w:r>
        <w:rPr>
          <w:i/>
        </w:rPr>
        <w:t xml:space="preserve">C. difficile</w:t>
      </w:r>
      <w: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w:t>
      </w:r>
      <w:r>
        <w:t xml:space="preserve"> </w:t>
      </w:r>
      <w:r>
        <w:rPr>
          <w:i/>
        </w:rPr>
        <w:t xml:space="preserve">de novo</w:t>
      </w:r>
      <w:r>
        <w:t xml:space="preserve"> </w:t>
      </w:r>
      <w:r>
        <w:t xml:space="preserve">genome-enabled bipartite metabolic models with directed enzymatic reactions of bacterial species using KEGG gene and biochemical reaction annotations. We implemented this platform using the genome of</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(37)</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(38)</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(39)</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score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w:t>
      </w:r>
      <w:r>
        <w:t xml:space="preserve"> </w:t>
      </w:r>
      <w:r>
        <w:t xml:space="preserve">(40)</w:t>
      </w:r>
      <w:r>
        <w:t xml:space="preserve">. In our system, the score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Table S5) in</w:t>
      </w:r>
      <w:r>
        <w:t xml:space="preserve"> </w:t>
      </w:r>
      <w:r>
        <w:rPr>
          <w:i/>
        </w:rPr>
        <w:t xml:space="preserve">C. difficile</w:t>
      </w:r>
      <w:r>
        <w:t xml:space="preserve"> </w:t>
      </w:r>
      <w:r>
        <w:t xml:space="preserve">minimal media</w:t>
      </w:r>
      <w:r>
        <w:t xml:space="preserve"> </w:t>
      </w:r>
      <w:r>
        <w:t xml:space="preserve">(41)</w:t>
      </w:r>
      <w:r>
        <w:t xml:space="preserve">. The Stickland fermentation acceptor proline was also found to be scored highly in all conditions tested</w:t>
      </w:r>
      <w:r>
        <w:t xml:space="preserve"> </w:t>
      </w:r>
      <w:r>
        <w:t xml:space="preserve">(42)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individual aliquots of cecal content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w:t>
      </w:r>
      <w:r>
        <w:t xml:space="preserve"> </w:t>
      </w:r>
      <w:r>
        <w:rPr>
          <w:i/>
        </w:rPr>
        <w:t xml:space="preserve">in vivo</w:t>
      </w:r>
      <w:r>
        <w:t xml:space="preserve"> </w:t>
      </w:r>
      <w:r>
        <w:t xml:space="preserve">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S5D). Succinyl-CoA was score most highly in clindamycin pretreatment, which is the direct precursor to succinate by succinyl-CoA transferases</w:t>
      </w:r>
      <w:r>
        <w:t xml:space="preserve"> </w:t>
      </w:r>
      <w:r>
        <w:t xml:space="preserve">(43)</w:t>
      </w:r>
      <w:r>
        <w:t xml:space="preserve">. Succinate has been shown to support</w:t>
      </w:r>
      <w:r>
        <w:t xml:space="preserve"> </w:t>
      </w:r>
      <w:r>
        <w:rPr>
          <w:i/>
        </w:rPr>
        <w:t xml:space="preserve">C. difficile</w:t>
      </w:r>
      <w:r>
        <w:t xml:space="preserve"> </w:t>
      </w:r>
      <w:r>
        <w:t xml:space="preserve">growth</w:t>
      </w:r>
      <w:r>
        <w:t xml:space="preserve"> </w:t>
      </w:r>
      <w:r>
        <w:rPr>
          <w:i/>
        </w:rPr>
        <w:t xml:space="preserve">in vivo</w:t>
      </w:r>
      <w:r>
        <w:t xml:space="preserve"> </w:t>
      </w:r>
      <w:r>
        <w:t xml:space="preserve">through a synergistic relationship with at least one other bacterial species</w:t>
      </w:r>
      <w:r>
        <w:t xml:space="preserve"> </w:t>
      </w:r>
      <w:r>
        <w:t xml:space="preserve">(9)</w:t>
      </w:r>
      <w:r>
        <w:t xml:space="preserve">. As succinyl-CoA was not measured in our metabolimic assay, we instead found that succinate was indeed significantly higher in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S5E)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high scoring metabolites during CDI and mock-infection within each pretreatment group (Fig. 5). Both groups of host-derived glycans, GlcNAc/GalNAc (Fig. 5A) and Neu5Ac (Fig. 5E),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S5D)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S5D;</w:t>
      </w:r>
      <w:r>
        <w:t xml:space="preserve"> </w:t>
      </w:r>
      <w:r>
        <w:rPr>
          <w:i/>
        </w:rPr>
        <w:t xml:space="preserve">P</w:t>
      </w:r>
      <w:r>
        <w:t xml:space="preserve"> </w:t>
      </w:r>
      <w:r>
        <w:t xml:space="preserve">&lt; 0.05). The Stickland donors leucine and isoleucine were significantly lower in all infected conditions except streptomycin-pretreated mice (Fig. S5; all</w:t>
      </w:r>
      <w:r>
        <w:t xml:space="preserve"> </w:t>
      </w:r>
      <w:r>
        <w:rPr>
          <w:i/>
        </w:rPr>
        <w:t xml:space="preserve">P</w:t>
      </w:r>
      <w:r>
        <w:t xml:space="preserve"> </w:t>
      </w:r>
      <w:r>
        <w:t xml:space="preserve">&lt; 0.05). These results supported the hypothesis that amino acids are an important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The results presented here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allowed us to observe that</w:t>
      </w:r>
      <w:r>
        <w:t xml:space="preserve"> </w:t>
      </w:r>
      <w:r>
        <w:rPr>
          <w:i/>
        </w:rPr>
        <w:t xml:space="preserve">C. difficile</w:t>
      </w:r>
      <w:r>
        <w:t xml:space="preserve"> </w:t>
      </w:r>
      <w:r>
        <w:t xml:space="preserve">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BodyText"/>
      </w:pPr>
      <w:r>
        <w:t xml:space="preserve">Our interpretation for the positive trends we observed between metabolite score and substrate availability across conditions was that the distinct antibiotic treatments eliminate alternative patterns of competitors for those nutrients in the gut of susceptible animals. These groups of bacteria may likely be more specialized than</w:t>
      </w:r>
      <w:r>
        <w:t xml:space="preserve"> </w:t>
      </w:r>
      <w:r>
        <w:rPr>
          <w:i/>
        </w:rPr>
        <w:t xml:space="preserve">C. difficile</w:t>
      </w:r>
      <w:r>
        <w:t xml:space="preserve"> </w:t>
      </w:r>
      <w:r>
        <w:t xml:space="preserve">at acquiring those resources, supporting the nutrient-niche hypothesis being a primary contributor to the exclusion of</w:t>
      </w:r>
      <w:r>
        <w:t xml:space="preserve"> </w:t>
      </w:r>
      <w:r>
        <w:rPr>
          <w:i/>
        </w:rPr>
        <w:t xml:space="preserve">C. difficile</w:t>
      </w:r>
      <w:r>
        <w:t xml:space="preserve"> </w:t>
      </w:r>
      <w:r>
        <w:t xml:space="preserve">by the intact microbiota. By pursuing more generalist behavior in terms of growth nutrient preferences,</w:t>
      </w:r>
      <w:r>
        <w:t xml:space="preserve"> </w:t>
      </w:r>
      <w:r>
        <w:rPr>
          <w:i/>
        </w:rPr>
        <w:t xml:space="preserve">C. difficile</w:t>
      </w:r>
      <w:r>
        <w:t xml:space="preserve"> </w:t>
      </w:r>
      <w:r>
        <w:t xml:space="preserve">has increased fitness for exploiting differentially perturbed gut communities. ExGF mice where no other microbial competitors are present, provided a partially controlled system of resource competition. In this condition, Neu5Ac was found to be the highest scored substrate with concentrations Neu5Ac were significantly higher during mock infection than following</w:t>
      </w:r>
      <w:r>
        <w:t xml:space="preserve"> </w:t>
      </w:r>
      <w:r>
        <w:rPr>
          <w:i/>
        </w:rPr>
        <w:t xml:space="preserve">C. difficile</w:t>
      </w:r>
      <w:r>
        <w:t xml:space="preserve"> </w:t>
      </w:r>
      <w:r>
        <w:t xml:space="preserve">colonization. A similar trend was also seen in cefoperazone-pretreated mice, implying that this antibiotic may have reduced the population density of the particular competitors for this niche. These data supported that</w:t>
      </w:r>
      <w:r>
        <w:t xml:space="preserve"> </w:t>
      </w:r>
      <w:r>
        <w:rPr>
          <w:i/>
        </w:rPr>
        <w:t xml:space="preserve">C. difficile</w:t>
      </w:r>
      <w:r>
        <w:t xml:space="preserve"> </w:t>
      </w:r>
      <w:r>
        <w:t xml:space="preserve">may be less competitive for this host-derived glycan and only has access when certain competitors have reduced populations or are absent entirely. In agreement with earlier research we found that</w:t>
      </w:r>
      <w:r>
        <w:t xml:space="preserve"> </w:t>
      </w:r>
      <w:r>
        <w:rPr>
          <w:i/>
        </w:rPr>
        <w:t xml:space="preserve">C. difficile</w:t>
      </w:r>
      <w:r>
        <w:t xml:space="preserve"> </w:t>
      </w:r>
      <w:r>
        <w:t xml:space="preserve">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w:t>
      </w:r>
      <w:r>
        <w:t xml:space="preserve"> </w:t>
      </w:r>
      <w:r>
        <w:t xml:space="preserve">(44)</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glycans harvested from the host mucus layer (GlcNAc and Neu5Ac) as they are another source of carbon and nitrogen which, despite augmented release by members of the microbiota</w:t>
      </w:r>
      <w:r>
        <w:t xml:space="preserve"> </w:t>
      </w:r>
      <w:r>
        <w:t xml:space="preserve">(</w:t>
      </w:r>
      <w:r>
        <w:rPr>
          <w:b/>
        </w:rPr>
        <w:t xml:space="preserve">???</w:t>
      </w:r>
      <w:r>
        <w:t xml:space="preserve">, 45)</w:t>
      </w:r>
      <w:r>
        <w:t xml:space="preserve">, would be present at some basal concentration regardless of other species' intercession. Moreover, decreases in relative concentration of certain metabolites following antibiotic treatment does not preclude their availability to</w:t>
      </w:r>
      <w:r>
        <w:t xml:space="preserve"> </w:t>
      </w:r>
      <w:r>
        <w:rPr>
          <w:i/>
        </w:rPr>
        <w:t xml:space="preserve">C. difficile</w:t>
      </w:r>
      <w:r>
        <w:t xml:space="preserve">. As long as competition for the remaining pool of the given substrate is reduced,</w:t>
      </w:r>
      <w:r>
        <w:t xml:space="preserve"> </w:t>
      </w:r>
      <w:r>
        <w:rPr>
          <w:i/>
        </w:rPr>
        <w:t xml:space="preserve">C. difficile</w:t>
      </w:r>
      <w:r>
        <w:t xml:space="preserve"> </w:t>
      </w:r>
      <w:r>
        <w:t xml:space="preserve">may be able to exploit is as a component of its nutrient niche space. Based on our results, we propose that amino acids catabolism is a primary strategy of</w:t>
      </w:r>
      <w:r>
        <w:t xml:space="preserve"> </w:t>
      </w:r>
      <w:r>
        <w:rPr>
          <w:i/>
        </w:rPr>
        <w:t xml:space="preserve">C. difficile</w:t>
      </w:r>
      <w:r>
        <w:t xml:space="preserve"> </w:t>
      </w:r>
      <w:r>
        <w:rPr>
          <w:i/>
        </w:rPr>
        <w:t xml:space="preserve">in vivo</w:t>
      </w:r>
      <w:r>
        <w:t xml:space="preserve"> </w:t>
      </w:r>
      <w:r>
        <w:t xml:space="preserve">followed closely by host-derived glycans catabolism. To fulfill its remaining needs,</w:t>
      </w:r>
      <w:r>
        <w:t xml:space="preserve"> </w:t>
      </w:r>
      <w:r>
        <w:rPr>
          <w:i/>
        </w:rPr>
        <w:t xml:space="preserve">C. difficile</w:t>
      </w:r>
      <w:r>
        <w:t xml:space="preserve"> </w:t>
      </w:r>
      <w:r>
        <w:t xml:space="preserve">then adapts its metabolism to utilize a combination of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prefers nitrogen-containing carbon sources that fulfill a larger proportion of its biological requirements but this requires additional investigation to confirm.</w:t>
      </w:r>
    </w:p>
    <w:p>
      <w:pPr>
        <w:pStyle w:val="BodyText"/>
      </w:pPr>
      <w: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w:t>
      </w:r>
      <w:r>
        <w:t xml:space="preserve"> </w:t>
      </w:r>
      <w:r>
        <w:rPr>
          <w:i/>
        </w:rPr>
        <w:t xml:space="preserve">C. difficile</w:t>
      </w:r>
      <w:r>
        <w:t xml:space="preserve"> </w:t>
      </w:r>
      <w:r>
        <w:t xml:space="preserve">CFU, 16S rRNA gene abundance, and untargeted mass-spectrometry. In order to increase our confidence that transcriptomes were more likely to be consistent between pretreatment groups, we calculated within-group sample variance for cfu and median within-group sample variance across all categories in both 16S rRNA gene abundances and untargeted metabolomics datasets (Fig. S3B-D). This revealed extremely low variability in each treatment group tested for sample types with increasing levels of complexity, and since these data were collected using matched cecal samples, we were confident that our transcriptomic results reflected reality. Unlike with transcriptomic data, we were able to quantify metabolomic data from each animal separately,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w:t>
      </w:r>
      <w:r>
        <w:t xml:space="preserve"> </w:t>
      </w:r>
      <w:r>
        <w:rPr>
          <w:i/>
        </w:rPr>
        <w:t xml:space="preserve">C. difficile</w:t>
      </w:r>
      <w:r>
        <w:t xml:space="preserve"> </w:t>
      </w:r>
      <w:r>
        <w:t xml:space="preserve">reaches a biomass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w:t>
      </w:r>
      <w:r>
        <w:t xml:space="preserve">and formate, apparent metabolic end products, in the list of shared metabolites which scored highly across conditions. Although this may be a shortcoming of the genome or database annotation, one group has posited that</w:t>
      </w:r>
      <w:r>
        <w:t xml:space="preserve"> </w:t>
      </w:r>
      <w:r>
        <w:rPr>
          <w:i/>
        </w:rPr>
        <w:t xml:space="preserve">C. difficile</w:t>
      </w:r>
      <w:r>
        <w:t xml:space="preserve"> </w:t>
      </w:r>
      <w:r>
        <w:t xml:space="preserve">may actually consume CO</w:t>
      </w:r>
      <w:r>
        <w:rPr>
          <w:vertAlign w:val="subscript"/>
        </w:rPr>
        <w:t xml:space="preserve">2</w:t>
      </w:r>
      <w:r>
        <w:t xml:space="preserve"> </w:t>
      </w:r>
      <w:r>
        <w:t xml:space="preserve">under certain conditions and require both of these substrates to undergo this process</w:t>
      </w:r>
      <w:r>
        <w:t xml:space="preserve"> </w:t>
      </w:r>
      <w:r>
        <w:t xml:space="preserve">(47)</w:t>
      </w:r>
      <w:r>
        <w:t xml:space="preserve">. These findings highlight that our method not only identified growth substrates, but reported additional metabolites that were being utilized for other processes. With further manual curation of the</w:t>
      </w:r>
      <w:r>
        <w:t xml:space="preserve"> </w:t>
      </w:r>
      <w:r>
        <w:rPr>
          <w:i/>
        </w:rPr>
        <w:t xml:space="preserve">C. difficile</w:t>
      </w:r>
      <w:r>
        <w:t xml:space="preserve"> </w:t>
      </w:r>
      <w:r>
        <w:t xml:space="preserve">metabolic network, more species-specific discoveries can eventually be made. Even with this possibility,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Our data suggest that</w:t>
      </w:r>
      <w:r>
        <w:t xml:space="preserve"> </w:t>
      </w:r>
      <w:r>
        <w:rPr>
          <w:i/>
        </w:rPr>
        <w:t xml:space="preserve">C. difficile</w:t>
      </w:r>
      <w:r>
        <w:t xml:space="preserve"> </w:t>
      </w:r>
      <w:r>
        <w:t xml:space="preserve">may be true bacterial generalist, making it less competitive for specific nutrients against specialists, but more fit overall for colonizing a variety of recently vacated nutrient niche spaces. These results have implications for the development of targeted measures to prevent</w:t>
      </w:r>
      <w:r>
        <w:t xml:space="preserve"> </w:t>
      </w:r>
      <w:r>
        <w:rPr>
          <w:i/>
        </w:rPr>
        <w:t xml:space="preserve">C. difficile</w:t>
      </w:r>
      <w:r>
        <w:t xml:space="preserve"> </w:t>
      </w:r>
      <w:r>
        <w:t xml:space="preserve">colonization through pre- or probiotic therapy that may need to be tailored to specific antibiotic-induced perturbations. In the future, this systems-level approach could be easily expanded to study the niche landscape of entire communities of bacteria and subsequent changes to competition for nutrients in response to antibiotic treatment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(27)</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 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(53)</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(54)</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S2).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Score Calculation.</w:t>
      </w:r>
      <w:r>
        <w:t xml:space="preserve"> </w:t>
      </w:r>
      <w:r>
        <w:t xml:space="preserve">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(57)</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score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score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metabolite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 scores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metabolite score represents the median score of metabolites that were consistently scored highly among all infected conditions. Below the conserved patterns, are shown the distinct metabolites for each group's subset.</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w:t>
      </w:r>
      <w:r>
        <w:rPr>
          <w:b/>
        </w:rPr>
        <w:t xml:space="preserve"> </w:t>
      </w:r>
      <w:r>
        <w:rPr>
          <w:i/>
          <w:b/>
        </w:rPr>
        <w:t xml:space="preserve">In vivo</w:t>
      </w:r>
      <w:r>
        <w:rPr>
          <w:b/>
        </w:rPr>
        <w:t xml:space="preserve"> </w:t>
      </w:r>
      <w:r>
        <w:rPr>
          <w:b/>
        </w:rPr>
        <w:t xml:space="preserve">untargeted metabolomics support network-based metabolite scores and suggest nutrient preference hierarchy.</w:t>
      </w:r>
      <w:r>
        <w:t xml:space="preserve"> </w:t>
      </w:r>
      <w:r>
        <w:t xml:space="preserve">Paired metabolites were quantified simultaneously as the only differ by chirality making differentiation impossible. CDI status and</w:t>
      </w:r>
      <w:r>
        <w:t xml:space="preserve"> </w:t>
      </w:r>
      <w:r>
        <w:rPr>
          <w:i/>
        </w:rPr>
        <w:t xml:space="preserve">C. difficile</w:t>
      </w:r>
      <w:r>
        <w:t xml:space="preserve"> </w:t>
      </w:r>
      <w:r>
        <w:t xml:space="preserve">metabolite scores during infection are indicated below each panel. NAs denote metabolites that were not included in our metabolic model of</w:t>
      </w:r>
      <w:r>
        <w:t xml:space="preserve"> </w:t>
      </w:r>
      <w:r>
        <w:rPr>
          <w:i/>
        </w:rPr>
        <w:t xml:space="preserve">C. difficile</w:t>
      </w:r>
      <w:r>
        <w:t xml:space="preserve"> </w:t>
      </w:r>
      <w:r>
        <w:t xml:space="preserve">str. 630.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4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metabolite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(58)</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highly scored carbon sources to identify possible differences in utilization efficiency.</w:t>
      </w:r>
    </w:p>
    <w:tbl>
      <w:tblPr>
        <w:tblStyle w:val="TableNormal"/>
        <w:tblW w:type="pct" w:w="5000.000000000001"/>
        <w:tblLook w:firstRow="1"/>
      </w:tblPr>
      <w:tblGrid>
        <w:gridCol w:w="309"/>
        <w:gridCol w:w="707"/>
        <w:gridCol w:w="2101"/>
        <w:gridCol w:w="2212"/>
        <w:gridCol w:w="2013"/>
        <w:gridCol w:w="575"/>
      </w:tblGrid>
      <w:tr>
        <w:trPr>
          <w:cnfStyle w:firstRow="1"/>
        </w:trPr>
        <w:tc>
          <w:tcPr>
            <w:tcBorders>
              <w:bottom w:val="single"/>
            </w:tcBorders>
            <w:vAlign w:val="bottom"/>
          </w:tcPr>
          <w:p>
            <w:pPr>
              <w:pStyle w:val="Compact"/>
              <w:jc w:val="left"/>
            </w:pPr>
            <w:r>
              <w:t xml:space="preserve">Antibiotic</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Administration</w:t>
            </w:r>
          </w:p>
        </w:tc>
        <w:tc>
          <w:tcPr>
            <w:tcBorders>
              <w:bottom w:val="single"/>
            </w:tcBorders>
            <w:vAlign w:val="bottom"/>
          </w:tcPr>
          <w:p>
            <w:pPr>
              <w:pStyle w:val="Compact"/>
              <w:jc w:val="left"/>
            </w:pPr>
            <w:r>
              <w:t xml:space="preserve">Dosage</w:t>
            </w:r>
          </w:p>
        </w:tc>
      </w:tr>
      <w:tr>
        <w:tc>
          <w:p>
            <w:pPr>
              <w:pStyle w:val="Compact"/>
              <w:jc w:val="left"/>
            </w:pPr>
            <w:r>
              <w:t xml:space="preserve">Cefoperazone</w:t>
            </w:r>
          </w:p>
        </w:tc>
        <w:tc>
          <w:p>
            <w:pPr>
              <w:pStyle w:val="Compact"/>
              <w:jc w:val="left"/>
            </w:pPr>
            <w:r>
              <w:t xml:space="preserve">Cephalosporin (3rd generation)</w:t>
            </w:r>
          </w:p>
        </w:tc>
        <w:tc>
          <w:p>
            <w:pPr>
              <w:pStyle w:val="Compact"/>
              <w:jc w:val="left"/>
            </w:pPr>
            <w:r>
              <w:t xml:space="preserve">Primarily Gram-positive bacteria, with increased activity against Gram-negative bacteria</w:t>
            </w:r>
          </w:p>
        </w:tc>
        <w:tc>
          <w:p>
            <w:pPr>
              <w:pStyle w:val="Compact"/>
              <w:jc w:val="left"/>
            </w:pPr>
            <w:r>
              <w:t xml:space="preserve">Irreversibly crosslink bacterial transpeptidases to peptidoglycan and prevents cell wall synthesis</w:t>
            </w:r>
          </w:p>
        </w:tc>
        <w:tc>
          <w:p>
            <w:pPr>
              <w:pStyle w:val="Compact"/>
              <w:jc w:val="left"/>
            </w:pPr>
            <w:r>
              <w:t xml:space="preserve">Drinking water Ad libitum for 5 days, 2 days untreated drinking water prior to infection</w:t>
            </w:r>
          </w:p>
        </w:tc>
        <w:tc>
          <w:p>
            <w:pPr>
              <w:pStyle w:val="Compact"/>
              <w:jc w:val="left"/>
            </w:pPr>
            <w:r>
              <w:t xml:space="preserve">0.5 mg/ml drinking water</w:t>
            </w:r>
          </w:p>
        </w:tc>
      </w:tr>
      <w:tr>
        <w:tc>
          <w:p>
            <w:pPr>
              <w:pStyle w:val="Compact"/>
              <w:jc w:val="left"/>
            </w:pPr>
            <w:r>
              <w:t xml:space="preserve">Streptomycin</w:t>
            </w:r>
          </w:p>
        </w:tc>
        <w:tc>
          <w:p>
            <w:pPr>
              <w:pStyle w:val="Compact"/>
              <w:jc w:val="left"/>
            </w:pPr>
            <w:r>
              <w:t xml:space="preserve">Aminoglycoside</w:t>
            </w:r>
          </w:p>
        </w:tc>
        <w:tc>
          <w:p>
            <w:pPr>
              <w:pStyle w:val="Compact"/>
              <w:jc w:val="left"/>
            </w:pPr>
            <w:r>
              <w:t xml:space="preserve">Active against most Gram-negative aerobic and facultative anaerobic bacilli</w:t>
            </w:r>
          </w:p>
        </w:tc>
        <w:tc>
          <w:p>
            <w:pPr>
              <w:pStyle w:val="Compact"/>
              <w:jc w:val="left"/>
            </w:pPr>
            <w:r>
              <w:t xml:space="preserve">Protein synthesis inhibitor through binding the 30S portion of the 70S ribosomal subunit</w:t>
            </w:r>
          </w:p>
        </w:tc>
        <w:tc>
          <w:p>
            <w:pPr>
              <w:pStyle w:val="Compact"/>
              <w:jc w:val="left"/>
            </w:pPr>
            <w:r>
              <w:t xml:space="preserve">Drinking water Ad libitum for 5 days, 2 days untreated drinking water prior to infection</w:t>
            </w:r>
          </w:p>
        </w:tc>
        <w:tc>
          <w:p>
            <w:pPr>
              <w:pStyle w:val="Compact"/>
              <w:jc w:val="left"/>
            </w:pPr>
            <w:r>
              <w:t xml:space="preserve">5.0 mg/ml drinking water</w:t>
            </w:r>
          </w:p>
        </w:tc>
      </w:tr>
      <w:tr>
        <w:tc>
          <w:p>
            <w:pPr>
              <w:pStyle w:val="Compact"/>
              <w:jc w:val="left"/>
            </w:pPr>
            <w:r>
              <w:t xml:space="preserve">Clindamycin</w:t>
            </w:r>
          </w:p>
        </w:tc>
        <w:tc>
          <w:p>
            <w:pPr>
              <w:pStyle w:val="Compact"/>
              <w:jc w:val="left"/>
            </w:pPr>
            <w:r>
              <w:t xml:space="preserve">Lincosamide</w:t>
            </w:r>
          </w:p>
        </w:tc>
        <w:tc>
          <w:p>
            <w:pPr>
              <w:pStyle w:val="Compact"/>
              <w:jc w:val="left"/>
            </w:pPr>
            <w:r>
              <w:t xml:space="preserve">Primarily active against Gram-positive bacteria, most anaerobic bacteria, and some mycoplasma</w:t>
            </w:r>
          </w:p>
        </w:tc>
        <w:tc>
          <w:p>
            <w:pPr>
              <w:pStyle w:val="Compact"/>
              <w:jc w:val="left"/>
            </w:pPr>
            <w:r>
              <w:t xml:space="preserve">Protein synthesis inhibition through binding to the 23s portion of the 50S ribosomal subunit</w:t>
            </w:r>
          </w:p>
        </w:tc>
        <w:tc>
          <w:p>
            <w:pPr>
              <w:pStyle w:val="Compact"/>
              <w:jc w:val="left"/>
            </w:pPr>
            <w:r>
              <w:t xml:space="preserve">Intraperitoneal injection 24 hours prior to infection</w:t>
            </w:r>
          </w:p>
        </w:tc>
        <w:tc>
          <w:p>
            <w:pPr>
              <w:pStyle w:val="Compact"/>
              <w:jc w:val="left"/>
            </w:pPr>
            <w:r>
              <w:t xml:space="preserve">10 mg/kg body weight</w:t>
            </w:r>
          </w:p>
        </w:tc>
      </w:tr>
    </w:tbl>
    <w:p>
      <w:pPr>
        <w:pStyle w:val="BodyText"/>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 &lt;i&gt;Clostridium difficile&lt;/i&gt; 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28.</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Nucleic Acids Research</w:t>
      </w:r>
      <w:r>
        <w:t xml:space="preserve"> </w:t>
      </w:r>
      <w:r>
        <w:rPr>
          <w:b/>
        </w:rPr>
        <w:t xml:space="preserve">40</w:t>
      </w:r>
      <w:r>
        <w:t xml:space="preserve">:10701–10718.</w:t>
      </w:r>
    </w:p>
    <w:p>
      <w:pPr>
        <w:pStyle w:val="Bibliography"/>
      </w:pPr>
      <w:r>
        <w:t xml:space="preserve">29.</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30.</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31.</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32.</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synthesisToxins.</w:t>
      </w:r>
    </w:p>
    <w:p>
      <w:pPr>
        <w:pStyle w:val="Bibliography"/>
      </w:pPr>
      <w:r>
        <w:t xml:space="preserve">35.</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40.</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41.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42.</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43.</w:t>
      </w:r>
      <w:r>
        <w:t xml:space="preserve"> </w:t>
      </w:r>
      <w:r>
        <w:rPr>
          <w:b/>
        </w:rPr>
        <w:t xml:space="preserve">Van Grinsven, K.</w:t>
      </w:r>
      <w:r>
        <w:t xml:space="preserve">,</w:t>
      </w:r>
      <w:r>
        <w:t xml:space="preserve"> </w:t>
      </w:r>
      <w:r>
        <w:rPr>
          <w:b/>
        </w:rPr>
        <w:t xml:space="preserve">S. Rosnowsky</w:t>
      </w:r>
      <w:r>
        <w:t xml:space="preserve">,</w:t>
      </w:r>
      <w:r>
        <w:t xml:space="preserve"> </w:t>
      </w:r>
      <w:r>
        <w:rPr>
          <w:b/>
        </w:rPr>
        <w:t xml:space="preserve">S. Van Weelden</w:t>
      </w:r>
      <w:r>
        <w:t xml:space="preserve">,</w:t>
      </w:r>
      <w:r>
        <w:t xml:space="preserve"> </w:t>
      </w:r>
      <w:r>
        <w:rPr>
          <w:b/>
        </w:rPr>
        <w:t xml:space="preserve">S. Pütz</w:t>
      </w:r>
      <w:r>
        <w:t xml:space="preserve">,</w:t>
      </w:r>
      <w:r>
        <w:t xml:space="preserve"> </w:t>
      </w:r>
      <w:r>
        <w:rPr>
          <w:b/>
        </w:rPr>
        <w:t xml:space="preserve">M. Van Der Giezen</w:t>
      </w:r>
      <w:r>
        <w:t xml:space="preserve">,</w:t>
      </w:r>
      <w:r>
        <w:t xml:space="preserve"> </w:t>
      </w:r>
      <w:r>
        <w:rPr>
          <w:b/>
        </w:rPr>
        <w:t xml:space="preserve">W. Martin</w:t>
      </w:r>
      <w:r>
        <w:t xml:space="preserve">,</w:t>
      </w:r>
      <w:r>
        <w:t xml:space="preserve"> </w:t>
      </w:r>
      <w:r>
        <w:rPr>
          <w:b/>
        </w:rPr>
        <w:t xml:space="preserve">J. Van Hellemond</w:t>
      </w:r>
      <w:r>
        <w:t xml:space="preserve">,</w:t>
      </w:r>
      <w:r>
        <w:t xml:space="preserve"> </w:t>
      </w:r>
      <w:r>
        <w:rPr>
          <w:b/>
        </w:rPr>
        <w:t xml:space="preserve">A. Tielens</w:t>
      </w:r>
      <w:r>
        <w:t xml:space="preserve">, and</w:t>
      </w:r>
      <w:r>
        <w:t xml:space="preserve"> </w:t>
      </w:r>
      <w:r>
        <w:rPr>
          <w:b/>
        </w:rPr>
        <w:t xml:space="preserve">K. Henze</w:t>
      </w:r>
      <w:r>
        <w:t xml:space="preserve">. 2008. Acetate:succinate CoA-transferase in the hydrogenosomes of Trichomonas vaginalis: Identification and characterization. Journal of Biological Chemistry</w:t>
      </w:r>
      <w:r>
        <w:t xml:space="preserve"> </w:t>
      </w:r>
      <w:r>
        <w:rPr>
          <w:b/>
        </w:rPr>
        <w:t xml:space="preserve">283</w:t>
      </w:r>
      <w:r>
        <w:t xml:space="preserve">:1411–1418.</w:t>
      </w:r>
    </w:p>
    <w:p>
      <w:pPr>
        <w:pStyle w:val="Bibliography"/>
      </w:pPr>
      <w:r>
        <w:t xml:space="preserve">44.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58.</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fda5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2017-06-28T11:55:00Z</dcterms:created>
  <dcterms:modified xsi:type="dcterms:W3CDTF">2017-06-28T11:55:00Z</dcterms:modified>
</cp:coreProperties>
</file>