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val="1"/>
          <w:iCs w:val="1"/>
          <w:sz w:val="22"/>
          <w:szCs w:val="22"/>
          <w:rtl w:val="0"/>
          <w:lang w:val="en-US"/>
        </w:rPr>
        <w:t xml:space="preserve">C. difficile </w:t>
      </w:r>
      <w:r>
        <w:rPr>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ceca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val="1"/>
          <w:iCs w:val="1"/>
          <w:sz w:val="22"/>
          <w:szCs w:val="22"/>
          <w:rtl w:val="0"/>
          <w:lang w:val="en-US"/>
        </w:rPr>
        <w:t>P</w:t>
      </w:r>
      <w:r>
        <w:rPr>
          <w:rFonts w:ascii="Arial" w:hAnsi="Arial"/>
          <w:sz w:val="22"/>
          <w:szCs w:val="22"/>
          <w:rtl w:val="0"/>
          <w:lang w:val="en-US"/>
        </w:rPr>
        <w:t xml:space="preserve"> &gt; 0.05; Fig. 2a). All antibiotic treated specific pathogen free (SPF) and germ free (GF)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 per gram of content, while untreated SPF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w:t>
      </w:r>
      <w:r>
        <w:rPr>
          <w:rFonts w:ascii="Arial" w:hAnsi="Arial"/>
          <w:i w:val="1"/>
          <w:iCs w:val="1"/>
          <w:sz w:val="22"/>
          <w:szCs w:val="22"/>
          <w:rtl w:val="0"/>
          <w:lang w:val="en-US"/>
        </w:rPr>
        <w:t>P</w:t>
      </w:r>
      <w:r>
        <w:rPr>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val="1"/>
          <w:iCs w:val="1"/>
          <w:sz w:val="22"/>
          <w:szCs w:val="22"/>
          <w:rtl w:val="0"/>
          <w:lang w:val="en-US"/>
        </w:rPr>
        <w:t>P</w:t>
      </w:r>
      <w:r>
        <w:rPr>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r>
        <w:rPr>
          <w:rFonts w:ascii="Arial" w:hAnsi="Arial"/>
          <w:sz w:val="22"/>
          <w:szCs w:val="22"/>
          <w:rtl w:val="0"/>
          <w:lang w:val="en-US"/>
        </w:rPr>
        <w:t xml:space="preserve"> and phenotypes</w:t>
      </w:r>
      <w:r>
        <w:rPr>
          <w:rFonts w:ascii="Arial" w:hAnsi="Arial"/>
          <w:sz w:val="22"/>
          <w:szCs w:val="22"/>
          <w:rtl w:val="0"/>
          <w:lang w:val="en-US"/>
        </w:rPr>
        <w:t xml:space="preserve">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GF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GF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GF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GF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Genome-scale Bipartite metabolic models underscore known bacterial metabolism.</w:t>
      </w:r>
    </w:p>
    <w:p>
      <w:pPr>
        <w:pStyle w:val="Default"/>
        <w:shd w:val="clear" w:color="auto" w:fill="ffffff"/>
        <w:spacing w:line="480" w:lineRule="auto"/>
        <w:ind w:firstLine="709"/>
        <w:jc w:val="both"/>
      </w:pPr>
      <w:r>
        <w:rPr>
          <w:rFonts w:ascii="Arial" w:hAnsi="Arial"/>
          <w:sz w:val="22"/>
          <w:szCs w:val="22"/>
          <w:rtl w:val="0"/>
          <w:lang w:val="en-US"/>
        </w:rPr>
        <w:t xml:space="preserve">To further investigate which metabolites are differentially utilized between conditions,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shd w:val="clear" w:color="auto" w:fill="ffffff"/>
          <w:rtl w:val="0"/>
          <w:lang w:val="en-US"/>
        </w:rPr>
        <w:t>In vitro</w:t>
      </w:r>
      <w:r>
        <w:rPr>
          <w:rFonts w:ascii="Arial" w:hAnsi="Arial"/>
          <w:b w:val="1"/>
          <w:bCs w:val="1"/>
          <w:sz w:val="22"/>
          <w:szCs w:val="22"/>
          <w:shd w:val="clear" w:color="auto" w:fill="ffffff"/>
          <w:rtl w:val="0"/>
          <w:lang w:val="en-US"/>
        </w:rPr>
        <w:t xml:space="preserve"> C. difficile transcriptome from defined media validate</w:t>
      </w:r>
      <w:r>
        <w:rPr>
          <w:rFonts w:ascii="Arial" w:hAnsi="Arial"/>
          <w:b w:val="1"/>
          <w:bCs w:val="1"/>
          <w:sz w:val="22"/>
          <w:szCs w:val="22"/>
          <w:shd w:val="clear" w:color="auto" w:fill="ffffff"/>
          <w:rtl w:val="0"/>
          <w:lang w:val="en-US"/>
        </w:rPr>
        <w:t>s</w:t>
      </w:r>
      <w:r>
        <w:rPr>
          <w:rFonts w:ascii="Arial" w:hAnsi="Arial"/>
          <w:b w:val="1"/>
          <w:bCs w:val="1"/>
          <w:sz w:val="22"/>
          <w:szCs w:val="22"/>
          <w:shd w:val="clear" w:color="auto" w:fill="ffffff"/>
          <w:rtl w:val="0"/>
          <w:lang w:val="en-US"/>
        </w:rPr>
        <w:t xml:space="preserve"> metabolite importance scores.</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Moving beyond a strictly topological analysis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sought to utilize transcriptomic data to infer which metabolites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w:t>
      </w:r>
      <w:r>
        <w:rPr>
          <w:rFonts w:ascii="Arial" w:hAnsi="Arial"/>
          <w:sz w:val="22"/>
          <w:szCs w:val="22"/>
          <w:shd w:val="clear" w:color="auto" w:fill="ffffff"/>
          <w:rtl w:val="0"/>
          <w:lang w:val="en-US"/>
        </w:rPr>
        <w:t xml:space="preserve"> (Fig. 5a)</w:t>
      </w:r>
      <w:r>
        <w:rPr>
          <w:rFonts w:ascii="Arial" w:hAnsi="Arial"/>
          <w:sz w:val="22"/>
          <w:szCs w:val="22"/>
          <w:shd w:val="clear" w:color="auto" w:fill="ffffff"/>
          <w:rtl w:val="0"/>
          <w:lang w:val="en-US"/>
        </w:rPr>
        <w:t xml:space="preserve">. A metabolite with a high importance score is most likely obtained from the environment because the expression of genes for enzymes that produce the metabolite are low. </w:t>
      </w:r>
    </w:p>
    <w:p>
      <w:pPr>
        <w:pStyle w:val="Default"/>
        <w:shd w:val="clear" w:color="auto" w:fill="ffffff"/>
        <w:spacing w:line="480" w:lineRule="auto"/>
        <w:ind w:firstLine="709"/>
        <w:jc w:val="both"/>
        <w:rPr>
          <w:rFonts w:ascii="Arial" w:cs="Arial" w:hAnsi="Arial" w:eastAsia="Arial"/>
          <w:sz w:val="22"/>
          <w:szCs w:val="22"/>
          <w:shd w:val="clear" w:color="auto" w:fill="ffffff"/>
        </w:rPr>
      </w:pPr>
      <w:r>
        <w:rPr>
          <w:rFonts w:ascii="Arial" w:hAnsi="Arial"/>
          <w:sz w:val="22"/>
          <w:szCs w:val="22"/>
          <w:shd w:val="clear" w:color="auto" w:fill="ffffff"/>
          <w:rtl w:val="0"/>
          <w:lang w:val="en-US"/>
        </w:rPr>
        <w:t xml:space="preserve">In order to validate </w:t>
      </w:r>
      <w:r>
        <w:rPr>
          <w:rFonts w:ascii="Arial" w:hAnsi="Arial"/>
          <w:sz w:val="22"/>
          <w:szCs w:val="22"/>
          <w:shd w:val="clear" w:color="auto" w:fill="ffffff"/>
          <w:rtl w:val="0"/>
          <w:lang w:val="en-US"/>
        </w:rPr>
        <w:t>this</w:t>
      </w:r>
      <w:r>
        <w:rPr>
          <w:rFonts w:ascii="Arial" w:hAnsi="Arial"/>
          <w:sz w:val="22"/>
          <w:szCs w:val="22"/>
          <w:shd w:val="clear" w:color="auto" w:fill="ffffff"/>
          <w:rtl w:val="0"/>
          <w:lang w:val="en-US"/>
        </w:rPr>
        <w:t xml:space="preserve"> approach we tested</w:t>
      </w:r>
      <w:r>
        <w:rPr>
          <w:rFonts w:ascii="Arial" w:hAnsi="Arial"/>
          <w:sz w:val="22"/>
          <w:szCs w:val="22"/>
          <w:shd w:val="clear" w:color="auto" w:fill="ffffff"/>
          <w:rtl w:val="0"/>
          <w:lang w:val="en-US"/>
        </w:rPr>
        <w:t xml:space="preserve"> our metabolite importance calculation on transcriptomic data collected from </w:t>
      </w:r>
      <w:r>
        <w:rPr>
          <w:rFonts w:ascii="Arial" w:hAnsi="Arial"/>
          <w:i w:val="1"/>
          <w:iCs w:val="1"/>
          <w:sz w:val="22"/>
          <w:szCs w:val="22"/>
          <w:shd w:val="clear" w:color="auto" w:fill="ffffff"/>
          <w:rtl w:val="0"/>
          <w:lang w:val="en-US"/>
        </w:rPr>
        <w:t xml:space="preserve">C. difficile </w:t>
      </w:r>
      <w:r>
        <w:rPr>
          <w:rFonts w:ascii="Arial" w:hAnsi="Arial"/>
          <w:sz w:val="22"/>
          <w:szCs w:val="22"/>
          <w:shd w:val="clear" w:color="auto" w:fill="ffffff"/>
          <w:rtl w:val="0"/>
          <w:lang w:val="en-US"/>
        </w:rPr>
        <w:t xml:space="preserve">growing at exponential phase in minimal media where the only useable carbohydrate is D-glucose (Fig. 5b). Following importance calculation, </w:t>
      </w:r>
      <w:r>
        <w:rPr>
          <w:rFonts w:ascii="Arial" w:hAnsi="Arial" w:hint="default"/>
          <w:sz w:val="22"/>
          <w:szCs w:val="22"/>
          <w:shd w:val="clear" w:color="auto" w:fill="ffffff"/>
          <w:rtl w:val="0"/>
          <w:lang w:val="en-US"/>
        </w:rPr>
        <w:t xml:space="preserve">… </w:t>
      </w:r>
      <w:r>
        <w:rPr>
          <w:rFonts w:ascii="Arial" w:hAnsi="Arial"/>
          <w:sz w:val="22"/>
          <w:szCs w:val="22"/>
          <w:shd w:val="clear" w:color="auto" w:fill="ffffff"/>
          <w:rtl w:val="0"/>
          <w:lang w:val="en-US"/>
        </w:rPr>
        <w:t xml:space="preserve">(Fig. 5c). This demonstrated the our metabolite importance calculation reflected real biological patterns and could correctly identify the nutrients that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consuming from the environment at a given time.</w:t>
      </w:r>
    </w:p>
    <w:p>
      <w:pPr>
        <w:pStyle w:val="Default"/>
        <w:shd w:val="clear" w:color="auto" w:fill="ffffff"/>
        <w:spacing w:line="480" w:lineRule="auto"/>
        <w:ind w:firstLine="709"/>
        <w:jc w:val="both"/>
      </w:pPr>
    </w:p>
    <w:p>
      <w:pPr>
        <w:pStyle w:val="Default"/>
        <w:shd w:val="clear" w:color="auto" w:fill="ffffff"/>
        <w:spacing w:line="480" w:lineRule="auto"/>
        <w:jc w:val="both"/>
      </w:pPr>
      <w:r>
        <w:rPr>
          <w:rFonts w:ascii="Arial" w:hAnsi="Arial"/>
          <w:b w:val="1"/>
          <w:bCs w:val="1"/>
          <w:sz w:val="22"/>
          <w:szCs w:val="22"/>
          <w:shd w:val="clear" w:color="auto" w:fill="ffffff"/>
          <w:rtl w:val="0"/>
          <w:lang w:val="en-US"/>
        </w:rPr>
        <w:t xml:space="preserve">Metabolite importance algorithm reveals adaptive nutritional strategies of </w:t>
      </w:r>
      <w:r>
        <w:rPr>
          <w:rFonts w:ascii="Arial" w:hAnsi="Arial"/>
          <w:b w:val="1"/>
          <w:bCs w:val="1"/>
          <w:i w:val="1"/>
          <w:iCs w:val="1"/>
          <w:sz w:val="22"/>
          <w:szCs w:val="22"/>
          <w:shd w:val="clear" w:color="auto" w:fill="ffffff"/>
          <w:rtl w:val="0"/>
          <w:lang w:val="en-US"/>
        </w:rPr>
        <w:t xml:space="preserve">C. difficile </w:t>
      </w:r>
      <w:r>
        <w:rPr>
          <w:rFonts w:ascii="Arial" w:hAnsi="Arial"/>
          <w:b w:val="1"/>
          <w:bCs w:val="1"/>
          <w:sz w:val="22"/>
          <w:szCs w:val="22"/>
          <w:shd w:val="clear" w:color="auto" w:fill="ffffff"/>
          <w:rtl w:val="0"/>
          <w:lang w:val="en-US"/>
        </w:rPr>
        <w:t>during infection across distinct environments</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Then applied these methods to the C. difficile transcriptomic data collected from the </w:t>
      </w:r>
      <w:r>
        <w:rPr>
          <w:rFonts w:ascii="Arial" w:hAnsi="Arial"/>
          <w:i w:val="1"/>
          <w:iCs w:val="1"/>
          <w:sz w:val="22"/>
          <w:szCs w:val="22"/>
          <w:shd w:val="clear" w:color="auto" w:fill="ffffff"/>
          <w:rtl w:val="0"/>
          <w:lang w:val="en-US"/>
        </w:rPr>
        <w:t>in vivo</w:t>
      </w:r>
      <w:r>
        <w:rPr>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w:t>
      </w:r>
      <w:r>
        <w:rPr>
          <w:rFonts w:ascii="Arial" w:hAnsi="Arial"/>
          <w:sz w:val="22"/>
          <w:szCs w:val="22"/>
          <w:rtl w:val="0"/>
          <w:lang w:val="en-US"/>
        </w:rPr>
        <w:t>6a</w:t>
      </w:r>
      <w:r>
        <w:rPr>
          <w:rFonts w:ascii="Arial" w:hAnsi="Arial"/>
          <w:sz w:val="22"/>
          <w:szCs w:val="22"/>
          <w:rtl w:val="0"/>
          <w:lang w:val="en-US"/>
        </w:rPr>
        <w:t xml:space="preserve">).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w:t>
      </w:r>
      <w:r>
        <w:rPr>
          <w:rFonts w:ascii="Arial" w:hAnsi="Arial"/>
          <w:sz w:val="22"/>
          <w:szCs w:val="22"/>
          <w:rtl w:val="0"/>
          <w:lang w:val="en-US"/>
        </w:rPr>
        <w:t>6b</w:t>
      </w:r>
      <w:r>
        <w:rPr>
          <w:rFonts w:ascii="Arial" w:hAnsi="Arial"/>
          <w:sz w:val="22"/>
          <w:szCs w:val="22"/>
          <w:rtl w:val="0"/>
          <w:lang w:val="en-US"/>
        </w:rPr>
        <w:t xml:space="preserve">). Only metabolites that were most important in the antibiotic-treated conditions all score more highly than their simulated median scores.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Fonts w:ascii="Arial" w:hAnsi="Arial"/>
          <w:b w:val="1"/>
          <w:bCs w:val="1"/>
          <w:sz w:val="22"/>
          <w:szCs w:val="22"/>
          <w:rtl w:val="0"/>
          <w:lang w:val="en-US"/>
        </w:rPr>
        <w:t xml:space="preserve">Important carbon sources </w:t>
      </w:r>
      <w:r>
        <w:rPr>
          <w:rFonts w:ascii="Arial" w:hAnsi="Arial"/>
          <w:b w:val="1"/>
          <w:bCs w:val="1"/>
          <w:i w:val="1"/>
          <w:iCs w:val="1"/>
          <w:sz w:val="22"/>
          <w:szCs w:val="22"/>
          <w:rtl w:val="0"/>
          <w:lang w:val="en-US"/>
        </w:rPr>
        <w:t>in vivo</w:t>
      </w:r>
      <w:r>
        <w:rPr>
          <w:rFonts w:ascii="Arial" w:hAnsi="Arial"/>
          <w:b w:val="1"/>
          <w:bCs w:val="1"/>
          <w:sz w:val="22"/>
          <w:szCs w:val="22"/>
          <w:rtl w:val="0"/>
          <w:lang w:val="en-US"/>
        </w:rPr>
        <w:t xml:space="preserve"> according to network-based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differential 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w:t>
      </w:r>
      <w:r>
        <w:rPr>
          <w:rFonts w:ascii="Arial" w:hAnsi="Arial"/>
          <w:sz w:val="22"/>
          <w:szCs w:val="22"/>
          <w:rtl w:val="0"/>
          <w:lang w:val="en-US"/>
        </w:rPr>
        <w:t xml:space="preserve"> </w:t>
      </w:r>
      <w:r>
        <w:rPr>
          <w:rFonts w:ascii="Arial" w:hAnsi="Arial"/>
          <w:sz w:val="22"/>
          <w:szCs w:val="22"/>
          <w:rtl w:val="0"/>
          <w:lang w:val="en-US"/>
        </w:rPr>
        <w:t>(Fig. 6</w:t>
      </w:r>
      <w:r>
        <w:rPr>
          <w:rFonts w:ascii="Arial" w:hAnsi="Arial"/>
          <w:sz w:val="22"/>
          <w:szCs w:val="22"/>
          <w:rtl w:val="0"/>
          <w:lang w:val="en-US"/>
        </w:rPr>
        <w:t>c</w:t>
      </w:r>
      <w:r>
        <w:rPr>
          <w:rFonts w:ascii="Arial" w:hAnsi="Arial"/>
          <w:sz w:val="22"/>
          <w:szCs w:val="22"/>
          <w:rtl w:val="0"/>
          <w:lang w:val="en-US"/>
        </w:rPr>
        <w:t xml:space="preserve">).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w:t>
      </w:r>
      <w:r>
        <w:rPr>
          <w:rFonts w:ascii="Arial" w:hAnsi="Arial"/>
          <w:sz w:val="22"/>
          <w:szCs w:val="22"/>
          <w:rtl w:val="0"/>
          <w:lang w:val="en-US"/>
        </w:rPr>
        <w:t xml:space="preserve"> (Max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212</w:t>
      </w:r>
      <w:r>
        <w:rPr>
          <w:rFonts w:ascii="Arial" w:hAnsi="Arial"/>
          <w:sz w:val="22"/>
          <w:szCs w:val="22"/>
          <w:rtl w:val="0"/>
          <w:lang w:val="en-US"/>
        </w:rPr>
        <w:t xml:space="preserve">). </w:t>
      </w:r>
    </w:p>
    <w:p>
      <w:pPr>
        <w:pStyle w:val="Default"/>
        <w:shd w:val="clear" w:color="auto" w:fill="ffffff"/>
        <w:spacing w:line="480" w:lineRule="auto"/>
        <w:ind w:firstLine="709"/>
        <w:jc w:val="both"/>
      </w:pPr>
      <w:r>
        <w:rPr>
          <w:rFonts w:ascii="Arial" w:hAnsi="Arial"/>
          <w:sz w:val="22"/>
          <w:szCs w:val="22"/>
          <w:rtl w:val="0"/>
          <w:lang w:val="en-US"/>
        </w:rPr>
        <w:t xml:space="preserve">As previously stated, </w:t>
      </w:r>
      <w:r>
        <w:rPr>
          <w:rFonts w:ascii="Arial" w:hAnsi="Arial"/>
          <w:sz w:val="22"/>
          <w:szCs w:val="22"/>
          <w:rtl w:val="0"/>
          <w:lang w:val="en-US"/>
        </w:rPr>
        <w:t>N-acetyl</w:t>
      </w:r>
      <w:r>
        <w:rPr>
          <w:rFonts w:ascii="Arial" w:hAnsi="Arial"/>
          <w:sz w:val="22"/>
          <w:szCs w:val="22"/>
          <w:rtl w:val="0"/>
          <w:lang w:val="en-US"/>
        </w:rPr>
        <w:t>-D-</w:t>
      </w:r>
      <w:r>
        <w:rPr>
          <w:rFonts w:ascii="Arial" w:hAnsi="Arial"/>
          <w:sz w:val="22"/>
          <w:szCs w:val="22"/>
          <w:rtl w:val="0"/>
          <w:lang w:val="en-US"/>
        </w:rPr>
        <w:t>glucosamine</w:t>
      </w:r>
      <w:r>
        <w:rPr>
          <w:rFonts w:ascii="Arial" w:hAnsi="Arial"/>
          <w:sz w:val="22"/>
          <w:szCs w:val="22"/>
          <w:rtl w:val="0"/>
          <w:lang w:val="en-US"/>
        </w:rPr>
        <w:t xml:space="preserve"> was shown to be important to C. difficile in each condition tested. When tested for improved growth, significantly more growth (Max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559</w:t>
      </w:r>
      <w:r>
        <w:rPr>
          <w:rFonts w:ascii="Arial" w:hAnsi="Arial"/>
          <w:sz w:val="22"/>
          <w:szCs w:val="22"/>
          <w:rtl w:val="0"/>
          <w:lang w:val="en-US"/>
        </w:rPr>
        <w:t>)</w:t>
      </w:r>
      <w:r>
        <w:rPr>
          <w:rFonts w:ascii="Arial" w:hAnsi="Arial"/>
          <w:sz w:val="22"/>
          <w:szCs w:val="22"/>
          <w:rtl w:val="0"/>
          <w:lang w:val="en-US"/>
        </w:rPr>
        <w:t xml:space="preserve"> was observed compared to no carbohydrate controls </w:t>
      </w:r>
      <w:r>
        <w:rPr>
          <w:rFonts w:ascii="Arial" w:hAnsi="Arial"/>
          <w:sz w:val="22"/>
          <w:szCs w:val="22"/>
          <w:rtl w:val="0"/>
          <w:lang w:val="en-US"/>
        </w:rPr>
        <w:t>(</w:t>
      </w:r>
      <w:r>
        <w:rPr>
          <w:rFonts w:ascii="Arial" w:hAnsi="Arial"/>
          <w:i w:val="1"/>
          <w:iCs w:val="1"/>
          <w:sz w:val="22"/>
          <w:szCs w:val="22"/>
          <w:rtl w:val="0"/>
          <w:lang w:val="en-US"/>
        </w:rPr>
        <w:t>P</w:t>
      </w:r>
      <w:r>
        <w:rPr>
          <w:rFonts w:ascii="Arial" w:hAnsi="Arial"/>
          <w:sz w:val="22"/>
          <w:szCs w:val="22"/>
          <w:rtl w:val="0"/>
          <w:lang w:val="en-US"/>
        </w:rPr>
        <w:t xml:space="preserve"> &lt;&lt; 0.001)</w:t>
      </w:r>
      <w:r>
        <w:rPr>
          <w:rFonts w:ascii="Arial" w:hAnsi="Arial"/>
          <w:sz w:val="22"/>
          <w:szCs w:val="22"/>
          <w:rtl w:val="0"/>
          <w:lang w:val="en-US"/>
        </w:rPr>
        <w:t>. This provided evidence that</w:t>
      </w:r>
      <w:r>
        <w:rPr>
          <w:rtl w:val="0"/>
          <w:lang w:val="en-US"/>
        </w:rPr>
        <w:t xml:space="preserve"> </w:t>
      </w:r>
      <w:r>
        <w:rPr>
          <w:rFonts w:ascii="Arial" w:hAnsi="Arial"/>
          <w:sz w:val="22"/>
          <w:szCs w:val="22"/>
          <w:rtl w:val="0"/>
          <w:lang w:val="en-US"/>
        </w:rPr>
        <w:t>N-acetyl</w:t>
      </w:r>
      <w:r>
        <w:rPr>
          <w:rFonts w:ascii="Arial" w:hAnsi="Arial"/>
          <w:sz w:val="22"/>
          <w:szCs w:val="22"/>
          <w:rtl w:val="0"/>
          <w:lang w:val="en-US"/>
        </w:rPr>
        <w:t>-D-</w:t>
      </w:r>
      <w:r>
        <w:rPr>
          <w:rFonts w:ascii="Arial" w:hAnsi="Arial"/>
          <w:sz w:val="22"/>
          <w:szCs w:val="22"/>
          <w:rtl w:val="0"/>
          <w:lang w:val="en-US"/>
        </w:rPr>
        <w:t>glucosamine</w:t>
      </w:r>
      <w:r>
        <w:rPr>
          <w:rFonts w:ascii="Arial" w:hAnsi="Arial"/>
          <w:sz w:val="22"/>
          <w:szCs w:val="22"/>
          <w:rtl w:val="0"/>
          <w:lang w:val="en-US"/>
        </w:rPr>
        <w:t xml:space="preserve"> derived from the host mucus layer may be a central component of the </w:t>
      </w:r>
      <w:r>
        <w:rPr>
          <w:rFonts w:ascii="Arial" w:hAnsi="Arial"/>
          <w:i w:val="1"/>
          <w:iCs w:val="1"/>
          <w:sz w:val="22"/>
          <w:szCs w:val="22"/>
          <w:rtl w:val="0"/>
          <w:lang w:val="en-US"/>
        </w:rPr>
        <w:t>C. difficile</w:t>
      </w:r>
      <w:r>
        <w:rPr>
          <w:rFonts w:ascii="Arial" w:hAnsi="Arial"/>
          <w:sz w:val="22"/>
          <w:szCs w:val="22"/>
          <w:rtl w:val="0"/>
          <w:lang w:val="en-US"/>
        </w:rPr>
        <w:t xml:space="preserve"> nutritional niche during infection. Furthermore, a</w:t>
      </w:r>
      <w:r>
        <w:rPr>
          <w:rFonts w:ascii="Arial" w:hAnsi="Arial"/>
          <w:sz w:val="22"/>
          <w:szCs w:val="22"/>
          <w:rtl w:val="0"/>
          <w:lang w:val="en-US"/>
        </w:rPr>
        <w:t>t least one carbohydrate highlighted as distinctly</w:t>
      </w:r>
      <w:r>
        <w:rPr>
          <w:rFonts w:ascii="Arial" w:hAnsi="Arial"/>
          <w:sz w:val="22"/>
          <w:szCs w:val="22"/>
          <w:rtl w:val="0"/>
          <w:lang w:val="en-US"/>
        </w:rPr>
        <w:t xml:space="preserve"> more</w:t>
      </w:r>
      <w:r>
        <w:rPr>
          <w:rFonts w:ascii="Arial" w:hAnsi="Arial"/>
          <w:sz w:val="22"/>
          <w:szCs w:val="22"/>
          <w:rtl w:val="0"/>
          <w:lang w:val="en-US"/>
        </w:rPr>
        <w:t xml:space="preserve">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control </w:t>
      </w:r>
      <w:r>
        <w:rPr>
          <w:rFonts w:ascii="Arial" w:hAnsi="Arial"/>
          <w:sz w:val="22"/>
          <w:szCs w:val="22"/>
          <w:rtl w:val="0"/>
          <w:lang w:val="en-US"/>
        </w:rPr>
        <w:t xml:space="preserve">wells </w:t>
      </w:r>
      <w:r>
        <w:rPr>
          <w:rFonts w:ascii="Arial" w:hAnsi="Arial"/>
          <w:sz w:val="22"/>
          <w:szCs w:val="22"/>
          <w:rtl w:val="0"/>
          <w:lang w:val="en-US"/>
        </w:rPr>
        <w:t>(</w:t>
      </w:r>
      <w:r>
        <w:rPr>
          <w:rFonts w:ascii="Arial" w:hAnsi="Arial"/>
          <w:i w:val="1"/>
          <w:iCs w:val="1"/>
          <w:sz w:val="22"/>
          <w:szCs w:val="22"/>
          <w:rtl w:val="0"/>
          <w:lang w:val="en-US"/>
        </w:rPr>
        <w:t>P</w:t>
      </w:r>
      <w:r>
        <w:rPr>
          <w:rFonts w:ascii="Arial" w:hAnsi="Arial"/>
          <w:sz w:val="22"/>
          <w:szCs w:val="22"/>
          <w:rtl w:val="0"/>
          <w:lang w:val="en-US"/>
        </w:rPr>
        <w:t xml:space="preserve"> &lt;&lt; 0.001). This included D-fructose (streptomycin;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xml:space="preserve">= 0.671), mannitol (cefoperazone;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xml:space="preserve">= 0.464), salicin (clindamycin;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0.8</w:t>
      </w:r>
      <w:r>
        <w:rPr>
          <w:rFonts w:ascii="Arial" w:hAnsi="Arial"/>
          <w:sz w:val="22"/>
          <w:szCs w:val="22"/>
          <w:rtl w:val="0"/>
          <w:lang w:val="en-US"/>
        </w:rPr>
        <w:t>69</w:t>
      </w:r>
      <w:r>
        <w:rPr>
          <w:rFonts w:ascii="Arial" w:hAnsi="Arial"/>
          <w:sz w:val="22"/>
          <w:szCs w:val="22"/>
          <w:rtl w:val="0"/>
          <w:lang w:val="en-US"/>
        </w:rPr>
        <w:t>), N-acetylneuramin</w:t>
      </w:r>
      <w:r>
        <w:rPr>
          <w:rFonts w:ascii="Arial" w:hAnsi="Arial"/>
          <w:sz w:val="22"/>
          <w:szCs w:val="22"/>
          <w:rtl w:val="0"/>
          <w:lang w:val="en-US"/>
        </w:rPr>
        <w:t>ate</w:t>
      </w:r>
      <w:r>
        <w:rPr>
          <w:rFonts w:ascii="Arial" w:hAnsi="Arial"/>
          <w:sz w:val="22"/>
          <w:szCs w:val="22"/>
          <w:rtl w:val="0"/>
          <w:lang w:val="en-US"/>
        </w:rPr>
        <w:t xml:space="preserve"> (GF; </w:t>
      </w:r>
      <w:r>
        <w:rPr>
          <w:rFonts w:ascii="Arial" w:hAnsi="Arial"/>
          <w:sz w:val="22"/>
          <w:szCs w:val="22"/>
          <w:rtl w:val="0"/>
          <w:lang w:val="en-US"/>
        </w:rPr>
        <w:t xml:space="preserve">Max </w:t>
      </w:r>
      <w:r>
        <w:rPr>
          <w:rFonts w:ascii="Arial" w:hAnsi="Arial"/>
          <w:sz w:val="22"/>
          <w:szCs w:val="22"/>
          <w:rtl w:val="0"/>
          <w:lang w:val="en-US"/>
        </w:rPr>
        <w:t>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439</w:t>
      </w:r>
      <w:r>
        <w:rPr>
          <w:rFonts w:ascii="Arial" w:hAnsi="Arial"/>
          <w:sz w:val="22"/>
          <w:szCs w:val="22"/>
          <w:rtl w:val="0"/>
          <w:lang w:val="en-US"/>
        </w:rPr>
        <w:t>)</w:t>
      </w:r>
      <w:r>
        <w:rPr>
          <w:rFonts w:ascii="Arial" w:hAnsi="Arial"/>
          <w:sz w:val="22"/>
          <w:szCs w:val="22"/>
          <w:rtl w:val="0"/>
          <w:lang w:val="en-US"/>
        </w:rPr>
        <w:t xml:space="preserve">. </w:t>
      </w:r>
      <w:r>
        <w:rPr>
          <w:rFonts w:ascii="Arial" w:hAnsi="Arial"/>
          <w:sz w:val="22"/>
          <w:szCs w:val="22"/>
          <w:rtl w:val="0"/>
          <w:lang w:val="en-US"/>
        </w:rPr>
        <w:t xml:space="preserve">D-sorbitol </w:t>
      </w:r>
      <w:r>
        <w:rPr>
          <w:rFonts w:ascii="Arial" w:hAnsi="Arial"/>
          <w:sz w:val="22"/>
          <w:szCs w:val="22"/>
          <w:rtl w:val="0"/>
          <w:lang w:val="en-US"/>
        </w:rPr>
        <w:t>induced</w:t>
      </w:r>
      <w:r>
        <w:rPr>
          <w:rFonts w:ascii="Arial" w:hAnsi="Arial"/>
          <w:sz w:val="22"/>
          <w:szCs w:val="22"/>
          <w:rtl w:val="0"/>
          <w:lang w:val="en-US"/>
        </w:rPr>
        <w:t xml:space="preserve"> no difference over controls</w:t>
      </w:r>
      <w:r>
        <w:rPr>
          <w:rFonts w:ascii="Arial" w:hAnsi="Arial"/>
          <w:sz w:val="22"/>
          <w:szCs w:val="22"/>
          <w:rtl w:val="0"/>
          <w:lang w:val="en-US"/>
        </w:rPr>
        <w:t xml:space="preserve"> (Fig. S6)</w:t>
      </w:r>
      <w:r>
        <w:rPr>
          <w:rFonts w:ascii="Arial" w:hAnsi="Arial"/>
          <w:sz w:val="22"/>
          <w:szCs w:val="22"/>
          <w:rtl w:val="0"/>
          <w:lang w:val="en-US"/>
        </w:rPr>
        <w:t>. Interestingly,</w:t>
      </w:r>
      <w:r>
        <w:rPr>
          <w:rFonts w:ascii="Arial" w:hAnsi="Arial"/>
          <w:sz w:val="22"/>
          <w:szCs w:val="22"/>
          <w:rtl w:val="0"/>
          <w:lang w:val="en-US"/>
        </w:rPr>
        <w:t xml:space="preserve"> this carbohydrate has been shown to moderately promote the growth of other </w:t>
      </w:r>
      <w:r>
        <w:rPr>
          <w:rFonts w:ascii="Arial" w:hAnsi="Arial"/>
          <w:i w:val="1"/>
          <w:iCs w:val="1"/>
          <w:sz w:val="22"/>
          <w:szCs w:val="22"/>
          <w:rtl w:val="0"/>
          <w:lang w:val="en-US"/>
        </w:rPr>
        <w:t>C. difficile</w:t>
      </w:r>
      <w:r>
        <w:rPr>
          <w:rFonts w:ascii="Arial" w:hAnsi="Arial"/>
          <w:sz w:val="22"/>
          <w:szCs w:val="22"/>
          <w:rtl w:val="0"/>
          <w:lang w:val="en-US"/>
        </w:rPr>
        <w:t xml:space="preserve"> strains </w:t>
      </w:r>
      <w:r>
        <w:rPr>
          <w:rFonts w:ascii="Arial" w:hAnsi="Arial"/>
          <w:i w:val="1"/>
          <w:iCs w:val="1"/>
          <w:sz w:val="22"/>
          <w:szCs w:val="22"/>
          <w:rtl w:val="0"/>
          <w:lang w:val="en-US"/>
        </w:rPr>
        <w:t>in vitro</w:t>
      </w:r>
      <w:r>
        <w:rPr>
          <w:rFonts w:ascii="Arial" w:hAnsi="Arial"/>
          <w:sz w:val="22"/>
          <w:szCs w:val="22"/>
          <w:rtl w:val="0"/>
          <w:lang w:val="en-US"/>
        </w:rPr>
        <w:t xml:space="preserve"> and may indicate strain to strain variation in nutrient preferences (Theriot, 2014). Together, t</w:t>
      </w:r>
      <w:r>
        <w:rPr>
          <w:rFonts w:ascii="Arial" w:hAnsi="Arial"/>
          <w:sz w:val="22"/>
          <w:szCs w:val="22"/>
          <w:rtl w:val="0"/>
          <w:lang w:val="en-US"/>
        </w:rPr>
        <w:t xml:space="preserve">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w:t>
      </w:r>
      <w:r>
        <w:rPr>
          <w:rFonts w:ascii="Arial" w:hAnsi="Arial"/>
          <w:sz w:val="22"/>
          <w:szCs w:val="22"/>
          <w:rtl w:val="0"/>
          <w:lang w:val="en-US"/>
        </w:rPr>
        <w:t>nutritional strategy</w:t>
      </w:r>
      <w:r>
        <w:rPr>
          <w:rFonts w:ascii="Arial" w:hAnsi="Arial"/>
          <w:sz w:val="22"/>
          <w:szCs w:val="22"/>
          <w:rtl w:val="0"/>
          <w:lang w:val="en-US"/>
        </w:rPr>
        <w:t xml:space="preserve"> to carbohydrate availability</w:t>
      </w:r>
      <w:r>
        <w:rPr>
          <w:rFonts w:ascii="Arial" w:hAnsi="Arial"/>
          <w:sz w:val="22"/>
          <w:szCs w:val="22"/>
          <w:rtl w:val="0"/>
          <w:lang w:val="en-US"/>
        </w:rPr>
        <w:t xml:space="preserve"> during infection</w:t>
      </w:r>
      <w:r>
        <w:rPr>
          <w:rFonts w:ascii="Arial" w:hAnsi="Arial"/>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Collectively, our results support our hypothesis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This </w:t>
      </w:r>
      <w:r>
        <w:rPr>
          <w:rFonts w:ascii="Arial" w:hAnsi="Arial"/>
          <w:sz w:val="22"/>
          <w:szCs w:val="22"/>
          <w:rtl w:val="0"/>
          <w:lang w:val="en-US"/>
        </w:rPr>
        <w:t xml:space="preserve">general </w:t>
      </w:r>
      <w:r>
        <w:rPr>
          <w:rFonts w:ascii="Arial" w:hAnsi="Arial"/>
          <w:sz w:val="22"/>
          <w:szCs w:val="22"/>
          <w:rtl w:val="0"/>
          <w:lang w:val="en-US"/>
        </w:rPr>
        <w:t xml:space="preserve">trend is also true in streptomycin and clindamycin pretreatments, as well as in GF mice with different </w:t>
      </w:r>
      <w:r>
        <w:rPr>
          <w:rFonts w:ascii="Arial" w:hAnsi="Arial"/>
          <w:i w:val="1"/>
          <w:iCs w:val="1"/>
          <w:sz w:val="22"/>
          <w:szCs w:val="22"/>
          <w:rtl w:val="0"/>
          <w:lang w:val="en-US"/>
        </w:rPr>
        <w:t xml:space="preserve">C. difficile </w:t>
      </w:r>
      <w:r>
        <w:rPr>
          <w:rFonts w:ascii="Arial" w:hAnsi="Arial"/>
          <w:sz w:val="22"/>
          <w:szCs w:val="22"/>
          <w:rtl w:val="0"/>
          <w:lang w:val="en-US"/>
        </w:rPr>
        <w:t xml:space="preserve">growth substrates enriched in each. Together, these results provide evidence that our network-based approach accurately predicts which metabolites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i w:val="1"/>
          <w:i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extremely varied curves presents the hypothesis that </w:t>
      </w:r>
      <w:r>
        <w:rPr>
          <w:rFonts w:ascii="Arial" w:hAnsi="Arial"/>
          <w:i w:val="1"/>
          <w:iCs w:val="1"/>
          <w:sz w:val="22"/>
          <w:szCs w:val="22"/>
          <w:rtl w:val="0"/>
          <w:lang w:val="en-US"/>
        </w:rPr>
        <w:t>C. difficile</w:t>
      </w:r>
      <w:r>
        <w:rPr>
          <w:rFonts w:ascii="Arial" w:hAnsi="Arial"/>
          <w:sz w:val="22"/>
          <w:szCs w:val="22"/>
          <w:rtl w:val="0"/>
          <w:lang w:val="en-US"/>
        </w:rPr>
        <w:t xml:space="preserve"> utilizes each carbon sources differently and suggest that a preferential hierarchy may exist.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w:t>
      </w:r>
      <w:r>
        <w:rPr>
          <w:rFonts w:ascii="Arial" w:hAnsi="Arial"/>
          <w:sz w:val="22"/>
          <w:szCs w:val="22"/>
          <w:vertAlign w:val="subscript"/>
          <w:rtl w:val="0"/>
          <w:lang w:val="en-US"/>
        </w:rPr>
        <w:t>2</w:t>
      </w:r>
      <w:r>
        <w:rPr>
          <w:rFonts w:ascii="Arial" w:hAnsi="Arial"/>
          <w:sz w:val="22"/>
          <w:szCs w:val="22"/>
          <w:rtl w:val="0"/>
          <w:lang w:val="en-US"/>
        </w:rPr>
        <w:t xml:space="preserve"> in the shared metabolite list.</w:t>
      </w:r>
      <w:r>
        <w:rPr>
          <w:rFonts w:ascii="Arial" w:hAnsi="Arial"/>
          <w:sz w:val="22"/>
          <w:szCs w:val="22"/>
          <w:rtl w:val="0"/>
          <w:lang w:val="en-US"/>
        </w:rPr>
        <w:t xml:space="preserve"> </w:t>
      </w:r>
      <w:r>
        <w:rPr>
          <w:rFonts w:ascii="Arial" w:hAnsi="Arial"/>
          <w:sz w:val="22"/>
          <w:szCs w:val="22"/>
          <w:rtl w:val="0"/>
          <w:lang w:val="en-US"/>
        </w:rPr>
        <w:t>Additionally the appearance of certain terminal metabolites may indicat</w:t>
      </w:r>
      <w:r>
        <w:rPr>
          <w:rFonts w:ascii="Arial" w:hAnsi="Arial"/>
          <w:sz w:val="22"/>
          <w:szCs w:val="22"/>
          <w:rtl w:val="0"/>
          <w:lang w:val="en-US"/>
        </w:rPr>
        <w:t>e deficiencies in annotation</w:t>
      </w:r>
      <w:r>
        <w:rPr>
          <w:rFonts w:ascii="Arial" w:hAnsi="Arial" w:hint="default"/>
          <w:sz w:val="22"/>
          <w:szCs w:val="22"/>
          <w:rtl w:val="0"/>
          <w:lang w:val="en-US"/>
        </w:rPr>
        <w:t>…</w:t>
      </w:r>
    </w:p>
    <w:p>
      <w:pPr>
        <w:pStyle w:val="Default"/>
        <w:shd w:val="clear" w:color="auto" w:fill="ffffff"/>
        <w:spacing w:line="480" w:lineRule="auto"/>
        <w:jc w:val="both"/>
      </w:pPr>
      <w:r>
        <w:rPr>
          <w:rFonts w:ascii="Arial" w:hAnsi="Arial"/>
          <w:sz w:val="22"/>
          <w:szCs w:val="22"/>
          <w:rtl w:val="0"/>
          <w:lang w:val="en-US"/>
        </w:rPr>
        <w:t>http://journals.plos.org/plosone/article?id=10.1371/journal.pone.0062157</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germ free distinct metabolites appear to be mostly </w:t>
      </w:r>
      <w:r>
        <w:rPr>
          <w:rFonts w:ascii="Arial" w:hAnsi="Arial"/>
          <w:sz w:val="22"/>
          <w:szCs w:val="22"/>
          <w:rtl w:val="0"/>
          <w:lang w:val="en-US"/>
        </w:rPr>
        <w:t>end products of biosynthetic pathways</w:t>
      </w:r>
      <w:r>
        <w:rPr>
          <w:rFonts w:ascii="Arial" w:hAnsi="Arial"/>
          <w:sz w:val="22"/>
          <w:szCs w:val="22"/>
          <w:rtl w:val="0"/>
          <w:lang w:val="en-US"/>
        </w:rPr>
        <w:t>, suggests C. diff can skip a lot of synthesis in the absence of competition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Along with highlighting known growth substrates being differentially utilized between conditions, this network-based approach also provides a hypothesis-generating platform to identify new edges of competition of auxotrophies from the organism of interest.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GF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w:t>
      </w:r>
      <w:r>
        <w:rPr>
          <w:rFonts w:ascii="Arial" w:hAnsi="Arial"/>
          <w:sz w:val="22"/>
          <w:szCs w:val="22"/>
          <w:rtl w:val="0"/>
          <w:lang w:val="en-US"/>
        </w:rPr>
        <w:t xml:space="preserve"> </w:t>
      </w:r>
      <w:r>
        <w:rPr>
          <w:rFonts w:ascii="Arial" w:hAnsi="Arial"/>
          <w:sz w:val="22"/>
          <w:szCs w:val="22"/>
          <w:rtl w:val="0"/>
          <w:lang w:val="en-US"/>
        </w:rPr>
        <w:t xml:space="preserve">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r>
        <w:rPr>
          <w:rFonts w:ascii="Arial" w:hAnsi="Arial"/>
          <w:sz w:val="22"/>
          <w:szCs w:val="22"/>
          <w:rtl w:val="0"/>
          <w:lang w:val="en-US"/>
        </w:rPr>
        <w:t xml:space="preserve"> </w:t>
      </w:r>
      <w:r>
        <w:rPr>
          <w:rFonts w:ascii="Arial" w:hAnsi="Arial"/>
          <w:sz w:val="22"/>
          <w:szCs w:val="22"/>
          <w:rtl w:val="0"/>
          <w:lang w:val="en-US"/>
        </w:rPr>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w:t>
      </w:r>
      <w:r>
        <w:rPr>
          <w:rFonts w:ascii="Arial" w:hAnsi="Arial"/>
          <w:sz w:val="22"/>
          <w:szCs w:val="22"/>
          <w:rtl w:val="0"/>
          <w:lang w:val="en-US"/>
        </w:rPr>
        <w:t>distinct</w:t>
      </w:r>
      <w:r>
        <w:rPr>
          <w:rFonts w:ascii="Arial" w:hAnsi="Arial"/>
          <w:sz w:val="22"/>
          <w:szCs w:val="22"/>
          <w:rtl w:val="0"/>
          <w:lang w:val="en-US"/>
        </w:rPr>
        <w:t xml:space="preserv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hd w:val="clear" w:color="auto" w:fill="ffffff"/>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val="1"/>
          <w:iCs w:val="1"/>
          <w:sz w:val="22"/>
          <w:szCs w:val="22"/>
          <w:rtl w:val="0"/>
          <w:lang w:val="en-US"/>
        </w:rPr>
        <w:t>ad libitum</w:t>
      </w:r>
      <w:r>
        <w:rPr>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Reaction Annotation &amp; Bipartite Network Construction.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Hyperlink.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Hyperlink.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hd w:val="clear" w:color="auto" w:fill="ffffff"/>
        <w:spacing w:line="480" w:lineRule="auto"/>
        <w:jc w:val="center"/>
        <w:rPr>
          <w:rStyle w:val="None"/>
          <w:sz w:val="22"/>
          <w:szCs w:val="22"/>
        </w:rPr>
      </w:pPr>
      <w:r>
        <w:rPr>
          <w:rStyle w:val="Hyperlink.2"/>
          <w:rtl w:val="0"/>
          <w:lang w:val="en-US"/>
        </w:rPr>
        <w:t xml:space="preserve">(i)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i</w:t>
      </w:r>
      <w:r>
        <w:rPr>
          <w:rStyle w:val="Hyperlink.2"/>
          <w:rtl w:val="0"/>
          <w:lang w:val="en-US"/>
        </w:rPr>
        <w:t xml:space="preserve"> </w:t>
      </w:r>
      <w:r>
        <w:rPr>
          <w:rStyle w:val="None"/>
          <w:rFonts w:ascii="Arial" w:hAnsi="Arial" w:hint="default"/>
          <w:caps w:val="0"/>
          <w:smallCaps w:val="0"/>
          <w:color w:val="222222"/>
          <w:spacing w:val="0"/>
          <w:sz w:val="22"/>
          <w:szCs w:val="22"/>
          <w:u w:val="none"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w:t>
        <w:tab/>
        <w:tab/>
        <w:tab/>
        <w:t xml:space="preserve">(ii)  </w:t>
      </w:r>
      <w:r>
        <w:rPr>
          <w:rStyle w:val="None"/>
          <w:rFonts w:ascii="LM Roman Unslanted 10" w:cs="LM Roman Unslanted 10" w:hAnsi="LM Roman Unslanted 10" w:eastAsia="LM Roman Unslanted 10"/>
          <w:i w:val="1"/>
          <w:iCs w:val="1"/>
          <w:position w:val="0"/>
          <w:sz w:val="22"/>
          <w:szCs w:val="22"/>
          <w:vertAlign w:val="baseline"/>
          <w:rtl w:val="0"/>
          <w:lang w:val="en-US"/>
        </w:rPr>
        <w:t>µ</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 xml:space="preserve"> = </w:t>
      </w:r>
      <w:r>
        <w:rPr>
          <w:rStyle w:val="None"/>
          <w:position w:val="0"/>
          <w:sz w:val="28"/>
          <w:szCs w:val="28"/>
          <w:vertAlign w:val="baseline"/>
          <w:rtl w:val="0"/>
          <w:lang w:val="en-US"/>
        </w:rPr>
        <w:t>Σ</w:t>
      </w:r>
      <w:r>
        <w:rPr>
          <w:rStyle w:val="None"/>
          <w:rFonts w:ascii="Arial" w:hAnsi="Arial"/>
          <w:position w:val="0"/>
          <w:sz w:val="22"/>
          <w:szCs w:val="22"/>
          <w:vertAlign w:val="baseline"/>
          <w:rtl w:val="0"/>
          <w:lang w:val="en-US"/>
        </w:rPr>
        <w:t>t</w:t>
      </w:r>
      <w:r>
        <w:rPr>
          <w:rStyle w:val="None"/>
          <w:rFonts w:ascii="Arial" w:hAnsi="Arial"/>
          <w:sz w:val="22"/>
          <w:szCs w:val="22"/>
          <w:vertAlign w:val="subscript"/>
          <w:rtl w:val="0"/>
          <w:lang w:val="en-US"/>
        </w:rPr>
        <w:t>o</w:t>
      </w:r>
      <w:r>
        <w:rPr>
          <w:rStyle w:val="None"/>
          <w:rFonts w:ascii="Arial" w:hAnsi="Arial"/>
          <w:position w:val="0"/>
          <w:sz w:val="22"/>
          <w:szCs w:val="22"/>
          <w:vertAlign w:val="baseline"/>
          <w:rtl w:val="0"/>
          <w:lang w:val="en-US"/>
        </w:rPr>
        <w:t xml:space="preserve"> </w:t>
      </w:r>
      <w:r>
        <w:rPr>
          <w:rStyle w:val="None"/>
          <w:rFonts w:ascii="Arial" w:hAnsi="Arial" w:hint="default"/>
          <w:caps w:val="0"/>
          <w:smallCaps w:val="0"/>
          <w:color w:val="222222"/>
          <w:spacing w:val="0"/>
          <w:position w:val="0"/>
          <w:sz w:val="22"/>
          <w:szCs w:val="22"/>
          <w:u w:val="none" w:color="222222"/>
          <w:vertAlign w:val="baseline"/>
          <w:rtl w:val="0"/>
          <w:lang w:val="en-US"/>
        </w:rPr>
        <w:t>÷</w:t>
      </w:r>
      <w:r>
        <w:rPr>
          <w:rStyle w:val="None"/>
          <w:rFonts w:ascii="Arial" w:hAnsi="Arial"/>
          <w:position w:val="0"/>
          <w:sz w:val="22"/>
          <w:szCs w:val="22"/>
          <w:vertAlign w:val="baseline"/>
          <w:rtl w:val="0"/>
          <w:lang w:val="en-US"/>
        </w:rPr>
        <w:t xml:space="preserve"> </w:t>
      </w:r>
      <w:r>
        <w:rPr>
          <w:rStyle w:val="None"/>
          <w:rFonts w:ascii="LM Roman Unslanted 10" w:cs="LM Roman Unslanted 10" w:hAnsi="LM Roman Unslanted 10" w:eastAsia="LM Roman Unslanted 10"/>
          <w:i w:val="1"/>
          <w:iCs w:val="1"/>
          <w:position w:val="0"/>
          <w:sz w:val="22"/>
          <w:szCs w:val="22"/>
          <w:vertAlign w:val="baseline"/>
          <w:rtl w:val="0"/>
          <w:lang w:val="en-US"/>
        </w:rPr>
        <w:t>n</w:t>
      </w:r>
      <w:r>
        <w:rPr>
          <w:rStyle w:val="None"/>
          <w:rFonts w:ascii="Arial" w:hAnsi="Arial"/>
          <w:position w:val="0"/>
          <w:sz w:val="22"/>
          <w:szCs w:val="22"/>
          <w:vertAlign w:val="baseline"/>
          <w:rtl w:val="0"/>
          <w:lang w:val="en-US"/>
        </w:rPr>
        <w:t>(e</w:t>
      </w:r>
      <w:r>
        <w:rPr>
          <w:rStyle w:val="None"/>
          <w:rFonts w:ascii="Arial" w:hAnsi="Arial"/>
          <w:sz w:val="22"/>
          <w:szCs w:val="22"/>
          <w:vertAlign w:val="subscript"/>
          <w:rtl w:val="0"/>
          <w:lang w:val="en-US"/>
        </w:rPr>
        <w:t>i</w:t>
      </w:r>
      <w:r>
        <w:rPr>
          <w:rStyle w:val="None"/>
          <w:rFonts w:ascii="Arial" w:hAnsi="Arial"/>
          <w:position w:val="0"/>
          <w:sz w:val="22"/>
          <w:szCs w:val="22"/>
          <w:vertAlign w:val="baseline"/>
          <w:rtl w:val="0"/>
          <w:lang w:val="en-US"/>
        </w:rPr>
        <w:t>)</w:t>
      </w:r>
    </w:p>
    <w:p>
      <w:pPr>
        <w:pStyle w:val="Default"/>
        <w:shd w:val="clear" w:color="auto" w:fill="ffffff"/>
        <w:spacing w:line="480" w:lineRule="auto"/>
        <w:rPr>
          <w:rStyle w:val="None"/>
          <w:sz w:val="22"/>
          <w:szCs w:val="22"/>
        </w:rPr>
      </w:pPr>
      <w:r>
        <w:rPr>
          <w:rStyle w:val="None"/>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hd w:val="clear" w:color="auto" w:fill="ffffff"/>
        <w:spacing w:line="480" w:lineRule="auto"/>
        <w:jc w:val="center"/>
        <w:rPr>
          <w:rStyle w:val="None"/>
          <w:sz w:val="22"/>
          <w:szCs w:val="22"/>
        </w:rPr>
      </w:pPr>
      <w:r>
        <w:rPr>
          <w:rStyle w:val="Hyperlink.2"/>
          <w:rtl w:val="0"/>
          <w:lang w:val="en-US"/>
        </w:rPr>
        <w:t xml:space="preserve">(iii)  </w:t>
      </w:r>
      <w:r>
        <w:rPr>
          <w:rStyle w:val="None"/>
          <w:rFonts w:ascii="PT Serif Caption" w:hAnsi="PT Serif Caption"/>
          <w:sz w:val="22"/>
          <w:szCs w:val="22"/>
          <w:rtl w:val="0"/>
          <w:lang w:val="en-US"/>
        </w:rPr>
        <w:t>I</w:t>
      </w:r>
      <w:r>
        <w:rPr>
          <w:rStyle w:val="None"/>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None"/>
          <w:rFonts w:ascii="Arial" w:hAnsi="Arial" w:hint="default"/>
          <w:position w:val="0"/>
          <w:sz w:val="22"/>
          <w:szCs w:val="22"/>
          <w:vertAlign w:val="baseline"/>
          <w:rtl w:val="0"/>
          <w:lang w:val="en-US"/>
        </w:rPr>
        <w:t xml:space="preserve"> – </w:t>
      </w:r>
      <w:r>
        <w:rPr>
          <w:rStyle w:val="None"/>
          <w:rFonts w:ascii="LM Roman Unslanted 10" w:cs="LM Roman Unslanted 10" w:hAnsi="LM Roman Unslanted 10" w:eastAsia="LM Roman Unslanted 10"/>
          <w:i w:val="1"/>
          <w:iCs w:val="1"/>
          <w:position w:val="0"/>
          <w:sz w:val="22"/>
          <w:szCs w:val="22"/>
          <w:vertAlign w:val="baseline"/>
          <w:rtl w:val="0"/>
          <w:lang w:val="en-US"/>
        </w:rPr>
        <w:t>µ</w:t>
      </w:r>
      <w:r>
        <w:rPr>
          <w:rStyle w:val="None"/>
          <w:rFonts w:ascii="Arial" w:hAnsi="Arial"/>
          <w:sz w:val="22"/>
          <w:szCs w:val="22"/>
          <w:vertAlign w:val="subscript"/>
          <w:rtl w:val="0"/>
          <w:lang w:val="en-US"/>
        </w:rPr>
        <w:t>o</w:t>
      </w:r>
      <w:bookmarkStart w:name="MathJaxElement43Frame2" w:id="3"/>
      <w:r>
        <w:rPr>
          <w:rStyle w:val="Hyperlink.2"/>
          <w:rtl w:val="0"/>
          <w:lang w:val="en-US"/>
        </w:rPr>
        <w:t>)</w:t>
      </w:r>
    </w:p>
    <w:p>
      <w:pPr>
        <w:pStyle w:val="Default"/>
        <w:shd w:val="clear" w:color="auto" w:fill="ffffff"/>
        <w:spacing w:line="480" w:lineRule="auto"/>
      </w:pPr>
      <w:r>
        <w:rPr>
          <w:rStyle w:val="None"/>
          <w:rFonts w:ascii="Arial" w:hAnsi="Arial"/>
          <w:position w:val="0"/>
          <w:sz w:val="22"/>
          <w:szCs w:val="22"/>
          <w:vertAlign w:val="baseline"/>
          <w:rtl w:val="0"/>
          <w:lang w:val="en-US"/>
        </w:rPr>
        <w:t>The difference is Log</w:t>
      </w:r>
      <w:r>
        <w:rPr>
          <w:rStyle w:val="None"/>
          <w:rFonts w:ascii="Arial" w:hAnsi="Arial"/>
          <w:sz w:val="22"/>
          <w:szCs w:val="22"/>
          <w:vertAlign w:val="subscript"/>
          <w:rtl w:val="0"/>
          <w:lang w:val="en-US"/>
        </w:rPr>
        <w:t>2</w:t>
      </w:r>
      <w:r>
        <w:rPr>
          <w:rStyle w:val="None"/>
          <w:rFonts w:ascii="Arial" w:hAnsi="Arial"/>
          <w:position w:val="0"/>
          <w:sz w:val="22"/>
          <w:szCs w:val="22"/>
          <w:vertAlign w:val="baseline"/>
          <w:rtl w:val="0"/>
          <w:lang w:val="en-US"/>
        </w:rPr>
        <w:t xml:space="preserve"> transformed for comparability between scores of individual metabolites. This results in a final value that reflects the likelihood a metabolite is acquired from the environment. </w:t>
      </w:r>
      <w:r>
        <w:rPr>
          <w:rStyle w:val="Hyperlink.2"/>
          <w:rtl w:val="0"/>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val="1"/>
          <w:bCs w:val="1"/>
          <w:sz w:val="22"/>
          <w:szCs w:val="22"/>
          <w:rtl w:val="0"/>
          <w:lang w:val="en-US"/>
        </w:rPr>
        <w:t>B</w:t>
      </w:r>
      <w:r>
        <w:rPr>
          <w:rStyle w:val="Hyperlink.2"/>
          <w:rtl w:val="0"/>
          <w:lang w:val="en-US"/>
        </w:rPr>
        <w:t>acter</w:t>
      </w:r>
      <w:r>
        <w:rPr>
          <w:rStyle w:val="None"/>
          <w:rFonts w:ascii="Arial" w:hAnsi="Arial"/>
          <w:b w:val="1"/>
          <w:bCs w:val="1"/>
          <w:sz w:val="22"/>
          <w:szCs w:val="22"/>
          <w:rtl w:val="0"/>
          <w:lang w:val="en-US"/>
        </w:rPr>
        <w:t>I</w:t>
      </w:r>
      <w:r>
        <w:rPr>
          <w:rStyle w:val="Hyperlink.2"/>
          <w:rtl w:val="0"/>
          <w:lang w:val="en-US"/>
        </w:rPr>
        <w:t xml:space="preserve">al </w:t>
      </w:r>
      <w:r>
        <w:rPr>
          <w:rStyle w:val="None"/>
          <w:rFonts w:ascii="Arial" w:hAnsi="Arial"/>
          <w:b w:val="1"/>
          <w:bCs w:val="1"/>
          <w:sz w:val="22"/>
          <w:szCs w:val="22"/>
          <w:rtl w:val="0"/>
          <w:lang w:val="en-US"/>
        </w:rPr>
        <w:t>G</w:t>
      </w:r>
      <w:r>
        <w:rPr>
          <w:rStyle w:val="Hyperlink.2"/>
          <w:rtl w:val="0"/>
          <w:lang w:val="en-US"/>
        </w:rPr>
        <w:t>enome-</w:t>
      </w:r>
      <w:r>
        <w:rPr>
          <w:rStyle w:val="None"/>
          <w:rFonts w:ascii="Arial" w:hAnsi="Arial"/>
          <w:b w:val="1"/>
          <w:bCs w:val="1"/>
          <w:sz w:val="22"/>
          <w:szCs w:val="22"/>
          <w:rtl w:val="0"/>
          <w:lang w:val="en-US"/>
        </w:rPr>
        <w:t>S</w:t>
      </w:r>
      <w:r>
        <w:rPr>
          <w:rStyle w:val="Hyperlink.2"/>
          <w:rtl w:val="0"/>
          <w:lang w:val="en-US"/>
        </w:rPr>
        <w:t xml:space="preserve">cale </w:t>
      </w:r>
      <w:r>
        <w:rPr>
          <w:rStyle w:val="None"/>
          <w:rFonts w:ascii="Arial" w:hAnsi="Arial"/>
          <w:b w:val="1"/>
          <w:bCs w:val="1"/>
          <w:sz w:val="22"/>
          <w:szCs w:val="22"/>
          <w:rtl w:val="0"/>
          <w:lang w:val="en-US"/>
        </w:rPr>
        <w:t>M</w:t>
      </w:r>
      <w:r>
        <w:rPr>
          <w:rStyle w:val="Hyperlink.2"/>
          <w:rtl w:val="0"/>
          <w:lang w:val="en-US"/>
        </w:rPr>
        <w:t xml:space="preserve">etabolic models for </w:t>
      </w:r>
      <w:r>
        <w:rPr>
          <w:rStyle w:val="None"/>
          <w:rFonts w:ascii="Arial" w:hAnsi="Arial"/>
          <w:b w:val="1"/>
          <w:bCs w:val="1"/>
          <w:sz w:val="22"/>
          <w:szCs w:val="22"/>
          <w:rtl w:val="0"/>
          <w:lang w:val="en-US"/>
        </w:rPr>
        <w:t>A</w:t>
      </w:r>
      <w:r>
        <w:rPr>
          <w:rStyle w:val="Hyperlink.2"/>
          <w:rtl w:val="0"/>
          <w:lang w:val="en-US"/>
        </w:rPr>
        <w:t>pp</w:t>
      </w:r>
      <w:r>
        <w:rPr>
          <w:rStyle w:val="None"/>
          <w:rFonts w:ascii="Arial" w:hAnsi="Arial"/>
          <w:b w:val="1"/>
          <w:bCs w:val="1"/>
          <w:sz w:val="22"/>
          <w:szCs w:val="22"/>
          <w:rtl w:val="0"/>
          <w:lang w:val="en-US"/>
        </w:rPr>
        <w:t>L</w:t>
      </w:r>
      <w:r>
        <w:rPr>
          <w:rStyle w:val="Hyperlink.2"/>
          <w:rtl w:val="0"/>
          <w:lang w:val="en-US"/>
        </w:rPr>
        <w:t>ied reverse eco</w:t>
      </w:r>
      <w:r>
        <w:rPr>
          <w:rStyle w:val="None"/>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bookmarkStart w:name="MathJaxElement43Frame3" w:id="4"/>
      <w:r>
        <w:rPr>
          <w:rStyle w:val="None"/>
          <w:rFonts w:ascii="Arial" w:hAnsi="Arial"/>
          <w:b w:val="1"/>
          <w:bCs w:val="1"/>
          <w:sz w:val="22"/>
          <w:szCs w:val="22"/>
          <w:rtl w:val="0"/>
          <w:lang w:val="en-US"/>
        </w:rPr>
        <w:t>Transcriptome Bootstrapping and Probability Distribution Comparison.</w:t>
      </w:r>
      <w:bookmarkEnd w:id="4"/>
      <w:bookmarkEnd w:id="3"/>
      <w:r>
        <w:rPr>
          <w:rStyle w:val="None"/>
          <w:rFonts w:ascii="Arial" w:hAnsi="Arial"/>
          <w:b w:val="1"/>
          <w:bCs w:val="1"/>
          <w:sz w:val="22"/>
          <w:szCs w:val="22"/>
          <w:rtl w:val="0"/>
          <w:lang w:val="en-US"/>
        </w:rPr>
        <w:t xml:space="preserve"> </w:t>
      </w:r>
      <w:r>
        <w:rPr>
          <w:rStyle w:val="Hyperlink.2"/>
          <w:rtl w:val="0"/>
          <w:lang w:val="en-US"/>
        </w:rPr>
        <w:t xml:space="preserve">As sequencing replicates of </w:t>
      </w:r>
      <w:r>
        <w:rPr>
          <w:rStyle w:val="None"/>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color="auto" w:fill="ffffff"/>
        <w:spacing w:line="480" w:lineRule="auto"/>
        <w:jc w:val="both"/>
        <w:rPr>
          <w:rStyle w:val="Hyperlink.2"/>
        </w:rPr>
      </w:pPr>
      <w:bookmarkStart w:name="MathJaxElement43Frame5" w:id="5"/>
    </w:p>
    <w:p>
      <w:pPr>
        <w:pStyle w:val="Default"/>
        <w:shd w:val="clear" w:color="auto" w:fill="ffffff"/>
        <w:spacing w:line="480" w:lineRule="auto"/>
        <w:jc w:val="both"/>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Hyperlink.2"/>
          <w:rtl w:val="0"/>
          <w:lang w:val="en-US"/>
        </w:rPr>
        <w:t>, 92.0% N, 0.0% O</w:t>
      </w:r>
      <w:r>
        <w:rPr>
          <w:rStyle w:val="None"/>
          <w:rFonts w:ascii="Arial" w:hAnsi="Arial"/>
          <w:sz w:val="22"/>
          <w:szCs w:val="22"/>
          <w:vertAlign w:val="subscript"/>
          <w:rtl w:val="0"/>
          <w:lang w:val="en-US"/>
        </w:rPr>
        <w:t>2</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Style w:val="None"/>
          <w:rFonts w:ascii="Arial" w:hAnsi="Arial"/>
          <w:b w:val="1"/>
          <w:bCs w:val="1"/>
          <w:sz w:val="22"/>
          <w:szCs w:val="22"/>
          <w:rtl w:val="0"/>
          <w:lang w:val="en-US"/>
        </w:rPr>
        <w:t>In vitro C. difficile growth and RNA isolation.</w:t>
      </w:r>
      <w:r>
        <w:rPr>
          <w:rFonts w:ascii="Arial" w:hAnsi="Arial"/>
          <w:sz w:val="22"/>
          <w:szCs w:val="22"/>
          <w:rtl w:val="0"/>
          <w:lang w:val="en-US"/>
        </w:rPr>
        <w:t xml:space="preserve"> </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lines for mouse model pretreatments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w:rFonts w:ascii="Arial" w:hAnsi="Arial"/>
          <w:b w:val="1"/>
          <w:bCs w:val="1"/>
          <w:sz w:val="22"/>
          <w:szCs w:val="22"/>
          <w:rtl w:val="0"/>
          <w:lang w:val="en-US"/>
        </w:rPr>
        <w:t>(a)</w:t>
      </w:r>
      <w:r>
        <w:rPr>
          <w:rStyle w:val="Hyperlink.2"/>
          <w:rtl w:val="0"/>
          <w:lang w:val="en-US"/>
        </w:rPr>
        <w:t xml:space="preserve"> Streptomycin or </w:t>
      </w:r>
      <w:r>
        <w:rPr>
          <w:rStyle w:val="None"/>
          <w:rFonts w:ascii="Arial" w:hAnsi="Arial"/>
          <w:b w:val="1"/>
          <w:bCs w:val="1"/>
          <w:sz w:val="22"/>
          <w:szCs w:val="22"/>
          <w:rtl w:val="0"/>
          <w:lang w:val="en-US"/>
        </w:rPr>
        <w:t>(b)</w:t>
      </w:r>
      <w:r>
        <w:rPr>
          <w:rStyle w:val="Hyperlink.2"/>
          <w:rtl w:val="0"/>
          <w:lang w:val="en-US"/>
        </w:rPr>
        <w:t xml:space="preserve"> cefoperazone administered </w:t>
      </w:r>
      <w:r>
        <w:rPr>
          <w:rStyle w:val="None"/>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w:rFonts w:ascii="Arial" w:hAnsi="Arial"/>
          <w:sz w:val="22"/>
          <w:szCs w:val="22"/>
          <w:vertAlign w:val="superscript"/>
          <w:rtl w:val="0"/>
          <w:lang w:val="en-US"/>
        </w:rPr>
        <w:t>3</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 xml:space="preserve">(b) </w:t>
      </w:r>
      <w:r>
        <w:rPr>
          <w:rStyle w:val="None"/>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w:rFonts w:ascii="Arial" w:hAnsi="Arial"/>
          <w:i w:val="1"/>
          <w:iCs w:val="1"/>
          <w:sz w:val="22"/>
          <w:szCs w:val="22"/>
          <w:rtl w:val="0"/>
          <w:lang w:val="en-US"/>
        </w:rPr>
        <w:t>P</w:t>
      </w:r>
      <w:r>
        <w:rPr>
          <w:rStyle w:val="Hyperlink.2"/>
          <w:rtl w:val="0"/>
          <w:lang w:val="en-US"/>
        </w:rPr>
        <w:t xml:space="preserve"> &lt; 0.05). </w:t>
      </w:r>
      <w:r>
        <w:rPr>
          <w:rStyle w:val="None"/>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val="1"/>
          <w:iCs w:val="1"/>
          <w:sz w:val="22"/>
          <w:szCs w:val="22"/>
          <w:rtl w:val="0"/>
          <w:lang w:val="en-US"/>
        </w:rPr>
        <w:t>P</w:t>
      </w:r>
      <w:r>
        <w:rPr>
          <w:rStyle w:val="Hyperlink.2"/>
          <w:rtl w:val="0"/>
          <w:lang w:val="en-US"/>
        </w:rPr>
        <w:t xml:space="preserve"> &lt; 0.05). UD*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b</w:t>
      </w:r>
      <w:r>
        <w:rPr>
          <w:rStyle w:val="Hyperlink.2"/>
          <w:rtl w:val="0"/>
          <w:lang w:val="en-US"/>
        </w:rPr>
        <w:t>,</w:t>
      </w:r>
      <w:r>
        <w:rPr>
          <w:rStyle w:val="None"/>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w:rFonts w:ascii="Arial" w:hAnsi="Arial"/>
          <w:i w:val="1"/>
          <w:iCs w:val="1"/>
          <w:sz w:val="22"/>
          <w:szCs w:val="22"/>
          <w:rtl w:val="0"/>
          <w:lang w:val="en-US"/>
        </w:rPr>
        <w:t>C. difficile</w:t>
      </w:r>
      <w:r>
        <w:rPr>
          <w:rStyle w:val="Hyperlink.2"/>
          <w:rtl w:val="0"/>
          <w:lang w:val="en-US"/>
        </w:rPr>
        <w:t xml:space="preserve"> in each condition. </w:t>
      </w:r>
      <w:r>
        <w:rPr>
          <w:rStyle w:val="None"/>
          <w:rFonts w:ascii="Arial" w:hAnsi="Arial"/>
          <w:b w:val="1"/>
          <w:bCs w:val="1"/>
          <w:sz w:val="22"/>
          <w:szCs w:val="22"/>
          <w:rtl w:val="0"/>
          <w:lang w:val="en-US"/>
        </w:rPr>
        <w:t>(a)</w:t>
      </w:r>
      <w:r>
        <w:rPr>
          <w:rStyle w:val="Hyperlink.2"/>
          <w:rtl w:val="0"/>
          <w:lang w:val="en-US"/>
        </w:rPr>
        <w:t xml:space="preserve"> Select genes from the </w:t>
      </w:r>
      <w:r>
        <w:rPr>
          <w:rStyle w:val="None"/>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Hyperlink.2"/>
          <w:rtl w:val="0"/>
          <w:lang w:val="en-US"/>
        </w:rPr>
        <w:t xml:space="preserve"> Genes for effector proteins included in the </w:t>
      </w:r>
      <w:r>
        <w:rPr>
          <w:rStyle w:val="None"/>
          <w:rFonts w:ascii="Arial" w:hAnsi="Arial"/>
          <w:i w:val="1"/>
          <w:iCs w:val="1"/>
          <w:sz w:val="22"/>
          <w:szCs w:val="22"/>
          <w:rtl w:val="0"/>
          <w:lang w:val="en-US"/>
        </w:rPr>
        <w:t>C. difficile</w:t>
      </w:r>
      <w:r>
        <w:rPr>
          <w:rStyle w:val="Hyperlink.2"/>
          <w:rtl w:val="0"/>
          <w:lang w:val="en-US"/>
        </w:rPr>
        <w:t xml:space="preserve"> pathogenicity locus. </w:t>
      </w:r>
      <w:r>
        <w:rPr>
          <w:rStyle w:val="None"/>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val="1"/>
          <w:bCs w:val="1"/>
          <w:sz w:val="22"/>
          <w:szCs w:val="22"/>
          <w:rtl w:val="0"/>
          <w:lang w:val="en-US"/>
        </w:rPr>
        <w:t>a</w:t>
      </w:r>
      <w:r>
        <w:rPr>
          <w:rStyle w:val="None"/>
          <w:rFonts w:ascii="Arial" w:hAnsi="Arial"/>
          <w:b w:val="1"/>
          <w:bCs w:val="1"/>
          <w:sz w:val="22"/>
          <w:szCs w:val="22"/>
          <w:rtl w:val="0"/>
          <w:lang w:val="en-US"/>
        </w:rPr>
        <w:t xml:space="preserve"> </w:t>
      </w:r>
      <w:r>
        <w:rPr>
          <w:rStyle w:val="Hyperlink.2"/>
          <w:rtl w:val="0"/>
          <w:lang w:val="en-US"/>
        </w:rPr>
        <w:t>-</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val="1"/>
          <w:bCs w:val="1"/>
          <w:sz w:val="22"/>
          <w:szCs w:val="22"/>
          <w:rtl w:val="0"/>
          <w:lang w:val="en-US"/>
        </w:rPr>
        <w:t xml:space="preserve">(b </w:t>
      </w:r>
      <w:r>
        <w:rPr>
          <w:rStyle w:val="Hyperlink.2"/>
          <w:rtl w:val="0"/>
          <w:lang w:val="en-US"/>
        </w:rPr>
        <w:t>–</w:t>
      </w:r>
      <w:r>
        <w:rPr>
          <w:rStyle w:val="None"/>
          <w:rFonts w:ascii="Arial" w:hAnsi="Arial"/>
          <w:b w:val="1"/>
          <w:bCs w:val="1"/>
          <w:sz w:val="22"/>
          <w:szCs w:val="22"/>
          <w:rtl w:val="0"/>
          <w:lang w:val="en-US"/>
        </w:rPr>
        <w:t xml:space="preserve"> i) </w:t>
      </w:r>
      <w:r>
        <w:rPr>
          <w:rStyle w:val="Hyperlink.2"/>
          <w:rtl w:val="0"/>
          <w:lang w:val="en-US"/>
        </w:rPr>
        <w:t xml:space="preserve">Groups from </w:t>
      </w:r>
      <w:r>
        <w:rPr>
          <w:rStyle w:val="None"/>
          <w:rFonts w:ascii="Arial" w:hAnsi="Arial"/>
          <w:b w:val="1"/>
          <w:bCs w:val="1"/>
          <w:sz w:val="22"/>
          <w:szCs w:val="22"/>
          <w:rtl w:val="0"/>
          <w:lang w:val="en-US"/>
        </w:rPr>
        <w:t>a</w:t>
      </w:r>
      <w:r>
        <w:rPr>
          <w:rStyle w:val="Hyperlink.2"/>
          <w:rtl w:val="0"/>
          <w:lang w:val="en-US"/>
        </w:rPr>
        <w:t xml:space="preserve"> are also plotted separately in without size differences for calrity. Genes included in each group and transcript abundances can be found in Table S2. Colored asterisks refer to groups that display significantly different distributions by factorial MANOVA (</w:t>
      </w:r>
      <w:r>
        <w:rPr>
          <w:rStyle w:val="None"/>
          <w:rFonts w:ascii="Arial" w:hAnsi="Arial"/>
          <w:i w:val="1"/>
          <w:iCs w:val="1"/>
          <w:sz w:val="22"/>
          <w:szCs w:val="22"/>
          <w:rtl w:val="0"/>
          <w:lang w:val="en-US"/>
        </w:rPr>
        <w:t>P</w:t>
      </w:r>
      <w:r>
        <w:rPr>
          <w:rStyle w:val="Hyperlink.2"/>
          <w:rtl w:val="0"/>
          <w:lang w:val="en-US"/>
        </w:rPr>
        <w:t xml:space="preserve"> &lt; 0.05).</w:t>
      </w:r>
    </w:p>
    <w:p>
      <w:pPr>
        <w:pStyle w:val="Default"/>
        <w:shd w:val="clear" w:color="auto" w:fill="ffffff"/>
        <w:spacing w:line="480" w:lineRule="auto"/>
        <w:jc w:val="both"/>
        <w:rPr>
          <w:rStyle w:val="None"/>
          <w:sz w:val="22"/>
          <w:szCs w:val="22"/>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sz w:val="22"/>
          <w:szCs w:val="22"/>
        </w:rPr>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it-IT"/>
        </w:rPr>
        <w:t>C. difficile</w:t>
      </w:r>
      <w:r>
        <w:rPr>
          <w:rStyle w:val="None"/>
          <w:rFonts w:ascii="Arial" w:hAnsi="Arial"/>
          <w:b w:val="1"/>
          <w:bCs w:val="1"/>
          <w:sz w:val="22"/>
          <w:szCs w:val="22"/>
          <w:rtl w:val="0"/>
          <w:lang w:val="en-US"/>
        </w:rPr>
        <w:t xml:space="preserve"> str. 630 in each colonized environment. (a) </w:t>
      </w:r>
      <w:r>
        <w:rPr>
          <w:rFonts w:ascii="Arial" w:hAnsi="Arial"/>
          <w:sz w:val="22"/>
          <w:szCs w:val="22"/>
          <w:rtl w:val="0"/>
          <w:lang w:val="en-US"/>
        </w:rPr>
        <w:t>Example of metabolite importance calculation along with the l</w:t>
      </w:r>
      <w:r>
        <w:rPr>
          <w:rFonts w:ascii="Arial" w:hAnsi="Arial"/>
          <w:sz w:val="22"/>
          <w:szCs w:val="22"/>
          <w:rtl w:val="0"/>
          <w:lang w:val="en-US"/>
        </w:rPr>
        <w:t xml:space="preserve">argest component from the bipartite genome-scale metabolic model of </w:t>
      </w:r>
      <w:r>
        <w:rPr>
          <w:rStyle w:val="None"/>
          <w:rFonts w:ascii="Arial" w:hAnsi="Arial"/>
          <w:i w:val="1"/>
          <w:iCs w:val="1"/>
          <w:sz w:val="22"/>
          <w:szCs w:val="22"/>
          <w:rtl w:val="0"/>
          <w:lang w:val="it-IT"/>
        </w:rPr>
        <w:t>C. difficile</w:t>
      </w:r>
      <w:r>
        <w:rPr>
          <w:rFonts w:ascii="Arial" w:hAnsi="Arial"/>
          <w:sz w:val="22"/>
          <w:szCs w:val="22"/>
          <w:rtl w:val="0"/>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
          <w:rFonts w:ascii="Arial" w:hAnsi="Arial"/>
          <w:i w:val="1"/>
          <w:iCs w:val="1"/>
          <w:sz w:val="22"/>
          <w:szCs w:val="22"/>
          <w:rtl w:val="0"/>
          <w:lang w:val="it-IT"/>
        </w:rPr>
        <w:t>C. difficile</w:t>
      </w:r>
      <w:r>
        <w:rPr>
          <w:rFonts w:ascii="Arial" w:hAnsi="Arial"/>
          <w:sz w:val="22"/>
          <w:szCs w:val="22"/>
          <w:rtl w:val="0"/>
          <w:lang w:val="en-US"/>
        </w:rPr>
        <w:t xml:space="preserve"> str. 630 during </w:t>
      </w:r>
      <w:r>
        <w:rPr>
          <w:rStyle w:val="None"/>
          <w:rFonts w:ascii="Arial" w:hAnsi="Arial"/>
          <w:i w:val="1"/>
          <w:iCs w:val="1"/>
          <w:sz w:val="22"/>
          <w:szCs w:val="22"/>
          <w:rtl w:val="0"/>
          <w:lang w:val="en-US"/>
        </w:rPr>
        <w:t>in vitro</w:t>
      </w:r>
      <w:r>
        <w:rPr>
          <w:rFonts w:ascii="Arial" w:hAnsi="Arial"/>
          <w:sz w:val="22"/>
          <w:szCs w:val="22"/>
          <w:rtl w:val="0"/>
          <w:lang w:val="en-US"/>
        </w:rPr>
        <w:t xml:space="preserve"> growth using D-glucose</w:t>
      </w:r>
      <w:r>
        <w:rPr>
          <w:rFonts w:ascii="Arial" w:hAnsi="Arial"/>
          <w:sz w:val="22"/>
          <w:szCs w:val="22"/>
          <w:rtl w:val="0"/>
          <w:lang w:val="en-US"/>
        </w:rPr>
        <w:t xml:space="preserve">. The expanded window displays metabolite importance algorithm and an example of a single importance calculation based on local gene transcription. </w:t>
      </w:r>
      <w:r>
        <w:rPr>
          <w:rStyle w:val="None"/>
          <w:rFonts w:ascii="Arial" w:hAnsi="Arial"/>
          <w:b w:val="1"/>
          <w:bCs w:val="1"/>
          <w:sz w:val="22"/>
          <w:szCs w:val="22"/>
          <w:rtl w:val="0"/>
        </w:rPr>
        <w:t>(b)</w:t>
      </w:r>
      <w:r>
        <w:rPr>
          <w:rFonts w:ascii="Arial" w:hAnsi="Arial"/>
          <w:sz w:val="22"/>
          <w:szCs w:val="22"/>
          <w:rtl w:val="0"/>
        </w:rPr>
        <w:t xml:space="preserve"> </w:t>
      </w:r>
      <w:r>
        <w:rPr>
          <w:rFonts w:ascii="Arial" w:hAnsi="Arial"/>
          <w:sz w:val="22"/>
          <w:szCs w:val="22"/>
          <w:rtl w:val="0"/>
          <w:lang w:val="en-US"/>
        </w:rPr>
        <w:t xml:space="preserve">12 hour </w:t>
      </w:r>
      <w:r>
        <w:rPr>
          <w:rStyle w:val="None"/>
          <w:rFonts w:ascii="Arial" w:hAnsi="Arial"/>
          <w:i w:val="1"/>
          <w:iCs w:val="1"/>
          <w:sz w:val="22"/>
          <w:szCs w:val="22"/>
          <w:rtl w:val="0"/>
          <w:lang w:val="en-US"/>
        </w:rPr>
        <w:t>in vitro C. difficile</w:t>
      </w:r>
      <w:r>
        <w:rPr>
          <w:rFonts w:ascii="Arial" w:hAnsi="Arial"/>
          <w:sz w:val="22"/>
          <w:szCs w:val="22"/>
          <w:rtl w:val="0"/>
          <w:lang w:val="en-US"/>
        </w:rPr>
        <w:t xml:space="preserve"> 630 growth curve in defined minimal media. 5 mg/mL glucose resulted in significantly more growth than the carbohydrate negative control (</w:t>
      </w:r>
      <w:r>
        <w:rPr>
          <w:rStyle w:val="None"/>
          <w:rFonts w:ascii="Arial" w:hAnsi="Arial"/>
          <w:i w:val="1"/>
          <w:iCs w:val="1"/>
          <w:sz w:val="22"/>
          <w:szCs w:val="22"/>
          <w:rtl w:val="0"/>
          <w:lang w:val="en-US"/>
        </w:rPr>
        <w:t>P</w:t>
      </w:r>
      <w:r>
        <w:rPr>
          <w:rFonts w:ascii="Arial" w:hAnsi="Arial"/>
          <w:sz w:val="22"/>
          <w:szCs w:val="22"/>
          <w:rtl w:val="0"/>
          <w:lang w:val="en-US"/>
        </w:rPr>
        <w:t xml:space="preserve"> &lt;&lt; 0.001).</w:t>
      </w:r>
      <w:bookmarkEnd w:id="5"/>
      <w:r>
        <w:rPr>
          <w:rFonts w:ascii="Arial" w:hAnsi="Arial"/>
          <w:sz w:val="22"/>
          <w:szCs w:val="22"/>
          <w:rtl w:val="0"/>
        </w:rPr>
        <w:t xml:space="preserve"> </w:t>
      </w:r>
      <w:bookmarkStart w:name="MathJaxElement43Frame5" w:id="6"/>
      <w:r>
        <w:rPr>
          <w:rFonts w:ascii="Arial" w:hAnsi="Arial"/>
          <w:sz w:val="22"/>
          <w:szCs w:val="22"/>
          <w:rtl w:val="0"/>
          <w:lang w:val="en-US"/>
        </w:rPr>
        <w:t xml:space="preserve">Other control media contained glucose, but no amino acids and resulted in no detectable </w:t>
      </w:r>
      <w:r>
        <w:rPr>
          <w:rStyle w:val="None"/>
          <w:rFonts w:ascii="Arial" w:hAnsi="Arial"/>
          <w:i w:val="1"/>
          <w:iCs w:val="1"/>
          <w:sz w:val="22"/>
          <w:szCs w:val="22"/>
          <w:rtl w:val="0"/>
          <w:lang w:val="en-US"/>
        </w:rPr>
        <w:t>C. difficile</w:t>
      </w:r>
      <w:r>
        <w:rPr>
          <w:rFonts w:ascii="Arial" w:hAnsi="Arial"/>
          <w:sz w:val="22"/>
          <w:szCs w:val="22"/>
          <w:rtl w:val="0"/>
          <w:lang w:val="en-US"/>
        </w:rPr>
        <w:t xml:space="preserve"> growth.</w:t>
      </w:r>
      <w:bookmarkEnd w:id="6"/>
      <w:r>
        <w:rPr>
          <w:rFonts w:ascii="Arial" w:hAnsi="Arial"/>
          <w:sz w:val="22"/>
          <w:szCs w:val="22"/>
          <w:rtl w:val="0"/>
          <w:lang w:val="en-US"/>
        </w:rPr>
        <w:t xml:space="preserve"> </w:t>
      </w:r>
      <w:bookmarkStart w:name="MathJaxElement43Frame5" w:id="7"/>
      <w:r>
        <w:rPr>
          <w:rFonts w:ascii="Arial" w:hAnsi="Arial"/>
          <w:sz w:val="22"/>
          <w:szCs w:val="22"/>
          <w:rtl w:val="0"/>
          <w:lang w:val="en-US"/>
        </w:rPr>
        <w:t xml:space="preserve">Significance was determined using 2-Way ANOVA with Holm-Bonferroni correction. Data is presented as the median </w:t>
      </w:r>
      <w:r>
        <w:rPr>
          <w:rFonts w:ascii="Arial" w:hAnsi="Arial" w:hint="default"/>
          <w:sz w:val="22"/>
          <w:szCs w:val="22"/>
          <w:rtl w:val="0"/>
        </w:rPr>
        <w:t xml:space="preserve">± </w:t>
      </w:r>
      <w:r>
        <w:rPr>
          <w:rFonts w:ascii="Arial" w:hAnsi="Arial"/>
          <w:sz w:val="22"/>
          <w:szCs w:val="22"/>
          <w:rtl w:val="0"/>
          <w:lang w:val="en-US"/>
        </w:rPr>
        <w:t xml:space="preserve">standard deviation of each point. The red arrow indicates the time with the highest growth rate (slope = </w:t>
      </w:r>
      <w:r>
        <w:rPr>
          <w:rFonts w:ascii="Arial" w:hAnsi="Arial"/>
          <w:sz w:val="22"/>
          <w:szCs w:val="22"/>
          <w:rtl w:val="0"/>
        </w:rPr>
        <w:t>0.085</w:t>
      </w:r>
      <w:r>
        <w:rPr>
          <w:rFonts w:ascii="Arial" w:hAnsi="Arial"/>
          <w:sz w:val="22"/>
          <w:szCs w:val="22"/>
          <w:rtl w:val="0"/>
          <w:lang w:val="en-US"/>
        </w:rPr>
        <w:t xml:space="preserve">) which was chosen for transcriptomic analysis. </w:t>
      </w:r>
      <w:r>
        <w:rPr>
          <w:rStyle w:val="None"/>
          <w:rFonts w:ascii="Arial" w:hAnsi="Arial"/>
          <w:b w:val="1"/>
          <w:bCs w:val="1"/>
          <w:sz w:val="22"/>
          <w:szCs w:val="22"/>
          <w:rtl w:val="0"/>
          <w:lang w:val="it-IT"/>
        </w:rPr>
        <w:t>(c)</w:t>
      </w:r>
      <w:r>
        <w:rPr>
          <w:rFonts w:ascii="Arial" w:hAnsi="Arial"/>
          <w:sz w:val="22"/>
          <w:szCs w:val="22"/>
          <w:rtl w:val="0"/>
          <w:lang w:val="nl-NL"/>
        </w:rPr>
        <w:t xml:space="preserve"> Top 25 </w:t>
      </w:r>
      <w:bookmarkEnd w:id="7"/>
      <w:bookmarkStart w:name="MathJaxElement43Frame5" w:id="8"/>
      <w:r>
        <w:rPr>
          <w:rFonts w:ascii="Arial" w:hAnsi="Arial"/>
          <w:sz w:val="22"/>
          <w:szCs w:val="22"/>
          <w:rtl w:val="0"/>
        </w:rPr>
        <w:t>metabolite</w:t>
      </w:r>
      <w:bookmarkEnd w:id="8"/>
      <w:r>
        <w:rPr>
          <w:rFonts w:ascii="Arial" w:hAnsi="Arial"/>
          <w:sz w:val="22"/>
          <w:szCs w:val="22"/>
          <w:rtl w:val="0"/>
          <w:lang w:val="en-US"/>
        </w:rPr>
        <w:t xml:space="preserve"> </w:t>
      </w:r>
      <w:bookmarkStart w:name="MathJaxElement43Frame5" w:id="9"/>
      <w:r>
        <w:rPr>
          <w:rFonts w:ascii="Arial" w:hAnsi="Arial"/>
          <w:sz w:val="22"/>
          <w:szCs w:val="22"/>
          <w:rtl w:val="0"/>
          <w:lang w:val="en-US"/>
        </w:rPr>
        <w:t>importance scores for</w:t>
      </w:r>
      <w:r>
        <w:rPr>
          <w:rFonts w:ascii="Arial" w:hAnsi="Arial"/>
          <w:sz w:val="22"/>
          <w:szCs w:val="22"/>
          <w:rtl w:val="0"/>
        </w:rPr>
        <w:t xml:space="preserve"> </w:t>
      </w:r>
      <w:r>
        <w:rPr>
          <w:rFonts w:ascii="Arial" w:hAnsi="Arial"/>
          <w:sz w:val="22"/>
          <w:szCs w:val="22"/>
          <w:rtl w:val="0"/>
          <w:lang w:val="en-US"/>
        </w:rPr>
        <w:t xml:space="preserve">calculated from the transcriptome of </w:t>
      </w:r>
      <w:r>
        <w:rPr>
          <w:rStyle w:val="None"/>
          <w:rFonts w:ascii="Arial" w:hAnsi="Arial"/>
          <w:i w:val="1"/>
          <w:iCs w:val="1"/>
          <w:sz w:val="22"/>
          <w:szCs w:val="22"/>
          <w:rtl w:val="0"/>
          <w:lang w:val="en-US"/>
        </w:rPr>
        <w:t>C. difficile</w:t>
      </w:r>
      <w:r>
        <w:rPr>
          <w:rFonts w:ascii="Arial" w:hAnsi="Arial"/>
          <w:sz w:val="22"/>
          <w:szCs w:val="22"/>
          <w:rtl w:val="0"/>
          <w:lang w:val="en-US"/>
        </w:rPr>
        <w:t xml:space="preserve"> grown for 7 hours in defined minimal media containing glucose and amino acids</w:t>
      </w:r>
      <w:r>
        <w:rPr>
          <w:rFonts w:ascii="Arial" w:hAnsi="Arial"/>
          <w:sz w:val="22"/>
          <w:szCs w:val="22"/>
          <w:rtl w:val="0"/>
          <w:lang w:val="en-US"/>
        </w:rPr>
        <w:t>. Points are the calculated metabolite importance scores based on the given sequenced transcriptome. Gray vertical lines indicate the median and 95% confidence interval from bootstrapped probability distributions for each metabolite.</w:t>
      </w: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sz w:val="22"/>
          <w:szCs w:val="22"/>
        </w:rPr>
      </w:pPr>
    </w:p>
    <w:p>
      <w:pPr>
        <w:pStyle w:val="Default"/>
        <w:keepNext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sz w:val="22"/>
          <w:szCs w:val="22"/>
        </w:rPr>
      </w:pPr>
      <w:r>
        <w:rPr>
          <w:rStyle w:val="None"/>
          <w:rFonts w:ascii="Arial" w:hAnsi="Arial"/>
          <w:b w:val="1"/>
          <w:bCs w:val="1"/>
          <w:sz w:val="22"/>
          <w:szCs w:val="22"/>
          <w:rtl w:val="0"/>
          <w:lang w:val="en-US"/>
        </w:rPr>
        <w:t xml:space="preserve">Figure 6 | Modeling results from </w:t>
      </w:r>
      <w:r>
        <w:rPr>
          <w:rStyle w:val="None"/>
          <w:rFonts w:ascii="Arial" w:hAnsi="Arial"/>
          <w:b w:val="1"/>
          <w:bCs w:val="1"/>
          <w:i w:val="1"/>
          <w:iCs w:val="1"/>
          <w:sz w:val="22"/>
          <w:szCs w:val="22"/>
          <w:rtl w:val="0"/>
          <w:lang w:val="it-IT"/>
        </w:rPr>
        <w:t>in vivo</w:t>
      </w:r>
      <w:r>
        <w:rPr>
          <w:rStyle w:val="None"/>
          <w:rFonts w:ascii="Arial" w:hAnsi="Arial"/>
          <w:b w:val="1"/>
          <w:bCs w:val="1"/>
          <w:sz w:val="22"/>
          <w:szCs w:val="22"/>
          <w:rtl w:val="0"/>
          <w:lang w:val="en-US"/>
        </w:rPr>
        <w:t xml:space="preserve"> infection experiments and </w:t>
      </w:r>
      <w:r>
        <w:rPr>
          <w:rStyle w:val="None"/>
          <w:rFonts w:ascii="Arial" w:hAnsi="Arial"/>
          <w:b w:val="1"/>
          <w:bCs w:val="1"/>
          <w:i w:val="1"/>
          <w:iCs w:val="1"/>
          <w:sz w:val="22"/>
          <w:szCs w:val="22"/>
          <w:rtl w:val="0"/>
          <w:lang w:val="it-IT"/>
        </w:rPr>
        <w:t>in vitro</w:t>
      </w:r>
      <w:r>
        <w:rPr>
          <w:rStyle w:val="None"/>
          <w:rFonts w:ascii="Arial" w:hAnsi="Arial"/>
          <w:b w:val="1"/>
          <w:bCs w:val="1"/>
          <w:sz w:val="22"/>
          <w:szCs w:val="22"/>
          <w:rtl w:val="0"/>
          <w:lang w:val="en-US"/>
        </w:rPr>
        <w:t xml:space="preserve"> validation of growth nutrients. </w:t>
      </w:r>
      <w:bookmarkEnd w:id="9"/>
      <w:bookmarkStart w:name="MathJaxElement43Frame5" w:id="10"/>
      <w:r>
        <w:rPr>
          <w:rStyle w:val="None"/>
          <w:rFonts w:ascii="Arial" w:hAnsi="Arial"/>
          <w:b w:val="1"/>
          <w:bCs w:val="1"/>
          <w:sz w:val="22"/>
          <w:szCs w:val="22"/>
          <w:rtl w:val="0"/>
        </w:rPr>
        <w:t>(</w:t>
      </w:r>
      <w:r>
        <w:rPr>
          <w:rStyle w:val="None"/>
          <w:rFonts w:ascii="Arial" w:hAnsi="Arial"/>
          <w:b w:val="1"/>
          <w:bCs w:val="1"/>
          <w:sz w:val="22"/>
          <w:szCs w:val="22"/>
          <w:rtl w:val="0"/>
          <w:lang w:val="en-US"/>
        </w:rPr>
        <w:t>c</w:t>
      </w:r>
      <w:r>
        <w:rPr>
          <w:rStyle w:val="None"/>
          <w:rFonts w:ascii="Arial" w:hAnsi="Arial"/>
          <w:b w:val="1"/>
          <w:bCs w:val="1"/>
          <w:sz w:val="22"/>
          <w:szCs w:val="22"/>
          <w:rtl w:val="0"/>
        </w:rPr>
        <w:t>)</w:t>
      </w:r>
      <w:r>
        <w:rPr>
          <w:rFonts w:ascii="Arial" w:hAnsi="Arial"/>
          <w:sz w:val="22"/>
          <w:szCs w:val="22"/>
          <w:rtl w:val="0"/>
        </w:rPr>
        <w:t xml:space="preserve"> </w:t>
      </w:r>
      <w:r>
        <w:rPr>
          <w:rFonts w:ascii="Arial" w:hAnsi="Arial"/>
          <w:sz w:val="22"/>
          <w:szCs w:val="22"/>
          <w:rtl w:val="0"/>
          <w:lang w:val="en-US"/>
        </w:rPr>
        <w:t>S</w:t>
      </w:r>
      <w:bookmarkEnd w:id="10"/>
      <w:bookmarkStart w:name="MathJaxElement43Frame5" w:id="11"/>
      <w:r>
        <w:rPr>
          <w:rFonts w:ascii="Arial" w:hAnsi="Arial"/>
          <w:sz w:val="22"/>
          <w:szCs w:val="22"/>
          <w:rtl w:val="0"/>
          <w:lang w:val="en-US"/>
        </w:rPr>
        <w:t xml:space="preserve">hared </w:t>
      </w:r>
      <w:bookmarkEnd w:id="11"/>
      <w:r>
        <w:rPr>
          <w:rFonts w:ascii="Arial" w:hAnsi="Arial"/>
          <w:sz w:val="22"/>
          <w:szCs w:val="22"/>
          <w:rtl w:val="0"/>
          <w:lang w:val="en-US"/>
        </w:rPr>
        <w:t>m</w:t>
      </w:r>
      <w:bookmarkStart w:name="MathJaxElement43Frame5" w:id="12"/>
      <w:r>
        <w:rPr>
          <w:rFonts w:ascii="Arial" w:hAnsi="Arial"/>
          <w:sz w:val="22"/>
          <w:szCs w:val="22"/>
          <w:rtl w:val="0"/>
          <w:lang w:val="fr-FR"/>
        </w:rPr>
        <w:t>etabolites</w:t>
      </w:r>
      <w:r>
        <w:rPr>
          <w:rFonts w:ascii="Arial" w:hAnsi="Arial"/>
          <w:sz w:val="22"/>
          <w:szCs w:val="22"/>
          <w:rtl w:val="0"/>
          <w:lang w:val="en-US"/>
        </w:rPr>
        <w:t xml:space="preserve"> </w:t>
      </w:r>
      <w:r>
        <w:rPr>
          <w:rFonts w:ascii="Arial" w:hAnsi="Arial"/>
          <w:sz w:val="22"/>
          <w:szCs w:val="22"/>
          <w:rtl w:val="0"/>
          <w:lang w:val="en-US"/>
        </w:rPr>
        <w:t xml:space="preserve">among the 50 highest scoring </w:t>
      </w:r>
      <w:r>
        <w:rPr>
          <w:rFonts w:ascii="Arial" w:hAnsi="Arial"/>
          <w:sz w:val="22"/>
          <w:szCs w:val="22"/>
          <w:rtl w:val="0"/>
          <w:lang w:val="en-US"/>
        </w:rPr>
        <w:t>metabolites from each</w:t>
      </w:r>
      <w:r>
        <w:rPr>
          <w:rFonts w:ascii="Arial" w:hAnsi="Arial"/>
          <w:sz w:val="22"/>
          <w:szCs w:val="22"/>
          <w:rtl w:val="0"/>
          <w:lang w:val="fr-FR"/>
        </w:rPr>
        <w:t xml:space="preserve"> condition.</w:t>
      </w:r>
      <w:bookmarkEnd w:id="12"/>
      <w:r>
        <w:rPr>
          <w:rFonts w:ascii="Arial" w:hAnsi="Arial"/>
          <w:sz w:val="22"/>
          <w:szCs w:val="22"/>
          <w:rtl w:val="0"/>
          <w:lang w:val="en-US"/>
        </w:rPr>
        <w:t xml:space="preserve"> Median importance scores were calculated per metabolite using the scores from each condition tested. Iterations from random distribution generation were pooled for each compound and unified confidence intervals were then recalculated. </w:t>
      </w:r>
      <w:bookmarkStart w:name="MathJaxElement43Frame5" w:id="13"/>
      <w:r>
        <w:rPr>
          <w:rStyle w:val="None"/>
          <w:rFonts w:ascii="Arial" w:hAnsi="Arial"/>
          <w:b w:val="1"/>
          <w:bCs w:val="1"/>
          <w:sz w:val="22"/>
          <w:szCs w:val="22"/>
          <w:rtl w:val="0"/>
        </w:rPr>
        <w:t>(</w:t>
      </w:r>
      <w:r>
        <w:rPr>
          <w:rStyle w:val="None"/>
          <w:rFonts w:ascii="Arial" w:hAnsi="Arial"/>
          <w:b w:val="1"/>
          <w:bCs w:val="1"/>
          <w:sz w:val="22"/>
          <w:szCs w:val="22"/>
          <w:rtl w:val="0"/>
          <w:lang w:val="en-US"/>
        </w:rPr>
        <w:t>b</w:t>
      </w:r>
      <w:r>
        <w:rPr>
          <w:rStyle w:val="None"/>
          <w:rFonts w:ascii="Arial" w:hAnsi="Arial"/>
          <w:b w:val="1"/>
          <w:bCs w:val="1"/>
          <w:sz w:val="22"/>
          <w:szCs w:val="22"/>
          <w:rtl w:val="0"/>
        </w:rPr>
        <w:t>)</w:t>
      </w:r>
      <w:r>
        <w:rPr>
          <w:rFonts w:ascii="Arial" w:hAnsi="Arial"/>
          <w:sz w:val="22"/>
          <w:szCs w:val="22"/>
          <w:rtl w:val="0"/>
        </w:rPr>
        <w:t xml:space="preserve"> </w:t>
      </w:r>
      <w:r>
        <w:rPr>
          <w:rFonts w:ascii="Arial" w:hAnsi="Arial"/>
          <w:sz w:val="22"/>
          <w:szCs w:val="22"/>
          <w:rtl w:val="0"/>
          <w:lang w:val="en-US"/>
        </w:rPr>
        <w:t>Highest</w:t>
      </w:r>
      <w:r>
        <w:rPr>
          <w:rFonts w:ascii="Arial" w:hAnsi="Arial"/>
          <w:sz w:val="22"/>
          <w:szCs w:val="22"/>
          <w:rtl w:val="0"/>
          <w:lang w:val="en-US"/>
        </w:rPr>
        <w:t xml:space="preserve"> scoring</w:t>
      </w:r>
      <w:r>
        <w:rPr>
          <w:rFonts w:ascii="Arial" w:hAnsi="Arial"/>
          <w:sz w:val="22"/>
          <w:szCs w:val="22"/>
          <w:rtl w:val="0"/>
          <w:lang w:val="en-US"/>
        </w:rPr>
        <w:t>,</w:t>
      </w:r>
      <w:r>
        <w:rPr>
          <w:rFonts w:ascii="Arial" w:hAnsi="Arial"/>
          <w:sz w:val="22"/>
          <w:szCs w:val="22"/>
          <w:rtl w:val="0"/>
          <w:lang w:val="en-US"/>
        </w:rPr>
        <w:t xml:space="preserve"> distinctly important metabolites from each treatment group. The top 25 scoring metabolites from each group was cross-referenced against </w:t>
      </w:r>
      <w:r>
        <w:rPr>
          <w:rFonts w:ascii="Arial" w:hAnsi="Arial"/>
          <w:sz w:val="22"/>
          <w:szCs w:val="22"/>
          <w:rtl w:val="0"/>
          <w:lang w:val="en-US"/>
        </w:rPr>
        <w:t>each</w:t>
      </w:r>
      <w:r>
        <w:rPr>
          <w:rFonts w:ascii="Arial" w:hAnsi="Arial"/>
          <w:sz w:val="22"/>
          <w:szCs w:val="22"/>
          <w:rtl w:val="0"/>
          <w:lang w:val="en-US"/>
        </w:rPr>
        <w:t xml:space="preserve"> other</w:t>
      </w:r>
      <w:r>
        <w:rPr>
          <w:rFonts w:ascii="Arial" w:hAnsi="Arial"/>
          <w:sz w:val="22"/>
          <w:szCs w:val="22"/>
          <w:rtl w:val="0"/>
          <w:lang w:val="en-US"/>
        </w:rPr>
        <w:t xml:space="preserve"> group</w:t>
      </w:r>
      <w:r>
        <w:rPr>
          <w:rFonts w:ascii="Arial" w:hAnsi="Arial"/>
          <w:sz w:val="22"/>
          <w:szCs w:val="22"/>
          <w:rtl w:val="0"/>
        </w:rPr>
        <w:t xml:space="preserve"> </w:t>
      </w:r>
      <w:r>
        <w:rPr>
          <w:rFonts w:ascii="Arial" w:hAnsi="Arial"/>
          <w:sz w:val="22"/>
          <w:szCs w:val="22"/>
          <w:rtl w:val="0"/>
          <w:lang w:val="en-US"/>
        </w:rPr>
        <w:t>resulting in</w:t>
      </w:r>
      <w:r>
        <w:rPr>
          <w:rFonts w:ascii="Arial" w:hAnsi="Arial"/>
          <w:sz w:val="22"/>
          <w:szCs w:val="22"/>
          <w:rtl w:val="0"/>
          <w:lang w:val="pt-PT"/>
        </w:rPr>
        <w:t xml:space="preserve"> metabolites </w:t>
      </w:r>
      <w:r>
        <w:rPr>
          <w:rFonts w:ascii="Arial" w:hAnsi="Arial"/>
          <w:sz w:val="22"/>
          <w:szCs w:val="22"/>
          <w:rtl w:val="0"/>
          <w:lang w:val="en-US"/>
        </w:rPr>
        <w:t xml:space="preserve">that are </w:t>
      </w:r>
      <w:r>
        <w:rPr>
          <w:rFonts w:ascii="Arial" w:hAnsi="Arial"/>
          <w:sz w:val="22"/>
          <w:szCs w:val="22"/>
          <w:rtl w:val="0"/>
          <w:lang w:val="en-US"/>
        </w:rPr>
        <w:t>differentially important between environments.</w:t>
      </w:r>
      <w:bookmarkEnd w:id="13"/>
      <w:r>
        <w:rPr>
          <w:rFonts w:ascii="Arial" w:hAnsi="Arial"/>
          <w:sz w:val="22"/>
          <w:szCs w:val="22"/>
          <w:rtl w:val="0"/>
          <w:lang w:val="en-US"/>
        </w:rPr>
        <w:t xml:space="preserve"> </w:t>
      </w:r>
      <w:bookmarkStart w:name="MathJaxElement43Frame5" w:id="14"/>
      <w:r>
        <w:rPr>
          <w:rFonts w:ascii="Arial" w:hAnsi="Arial"/>
          <w:sz w:val="22"/>
          <w:szCs w:val="22"/>
          <w:rtl w:val="0"/>
          <w:lang w:val="en-US"/>
        </w:rPr>
        <w:t xml:space="preserve">In </w:t>
      </w:r>
      <w:r>
        <w:rPr>
          <w:rStyle w:val="None"/>
          <w:rFonts w:ascii="Arial" w:hAnsi="Arial"/>
          <w:b w:val="1"/>
          <w:bCs w:val="1"/>
          <w:sz w:val="22"/>
          <w:szCs w:val="22"/>
          <w:rtl w:val="0"/>
          <w:lang w:val="en-US"/>
        </w:rPr>
        <w:t>a</w:t>
      </w:r>
      <w:r>
        <w:rPr>
          <w:rFonts w:ascii="Arial" w:hAnsi="Arial"/>
          <w:sz w:val="22"/>
          <w:szCs w:val="22"/>
          <w:rtl w:val="0"/>
          <w:lang w:val="en-US"/>
        </w:rPr>
        <w:t xml:space="preserve"> &amp; </w:t>
      </w:r>
      <w:r>
        <w:rPr>
          <w:rStyle w:val="None"/>
          <w:rFonts w:ascii="Arial" w:hAnsi="Arial"/>
          <w:b w:val="1"/>
          <w:bCs w:val="1"/>
          <w:sz w:val="22"/>
          <w:szCs w:val="22"/>
          <w:rtl w:val="0"/>
          <w:lang w:val="en-US"/>
        </w:rPr>
        <w:t>b</w:t>
      </w:r>
      <w:r>
        <w:rPr>
          <w:rFonts w:ascii="Arial" w:hAnsi="Arial"/>
          <w:sz w:val="22"/>
          <w:szCs w:val="22"/>
          <w:rtl w:val="0"/>
          <w:lang w:val="en-US"/>
        </w:rPr>
        <w:t xml:space="preserve">, 95% confidence intervals from random probability distributions for each metabolite are shown in grey. </w:t>
      </w:r>
      <w:r>
        <w:rPr>
          <w:rStyle w:val="None"/>
          <w:rFonts w:ascii="Arial" w:hAnsi="Arial"/>
          <w:b w:val="1"/>
          <w:bCs w:val="1"/>
          <w:sz w:val="22"/>
          <w:szCs w:val="22"/>
          <w:rtl w:val="0"/>
          <w:lang w:val="it-IT"/>
        </w:rPr>
        <w:t xml:space="preserve">(c) </w:t>
      </w:r>
      <w:r>
        <w:rPr>
          <w:rStyle w:val="None"/>
          <w:rFonts w:ascii="Arial" w:hAnsi="Arial"/>
          <w:i w:val="1"/>
          <w:iCs w:val="1"/>
          <w:sz w:val="22"/>
          <w:szCs w:val="22"/>
          <w:rtl w:val="0"/>
          <w:lang w:val="it-IT"/>
        </w:rPr>
        <w:t>In vitro</w:t>
      </w:r>
      <w:r>
        <w:rPr>
          <w:rFonts w:ascii="Arial" w:hAnsi="Arial"/>
          <w:sz w:val="22"/>
          <w:szCs w:val="22"/>
          <w:rtl w:val="0"/>
          <w:lang w:val="en-US"/>
        </w:rPr>
        <w:t xml:space="preserve"> growth curves validating identified growth nutrients from network analysis. In black are CDMM controls variations with the indicated constituents. At least one metabolite indicated as distinctly important from each group supports </w:t>
      </w:r>
      <w:r>
        <w:rPr>
          <w:rStyle w:val="None"/>
          <w:rFonts w:ascii="Arial" w:hAnsi="Arial"/>
          <w:i w:val="1"/>
          <w:iCs w:val="1"/>
          <w:sz w:val="22"/>
          <w:szCs w:val="22"/>
          <w:rtl w:val="0"/>
          <w:lang w:val="it-IT"/>
        </w:rPr>
        <w:t>C. difficile</w:t>
      </w:r>
      <w:r>
        <w:rPr>
          <w:rFonts w:ascii="Arial" w:hAnsi="Arial"/>
          <w:sz w:val="22"/>
          <w:szCs w:val="22"/>
          <w:rtl w:val="0"/>
          <w:lang w:val="en-US"/>
        </w:rPr>
        <w:t xml:space="preserve"> growth significantly more (</w:t>
      </w:r>
      <w:r>
        <w:rPr>
          <w:rStyle w:val="None"/>
          <w:rFonts w:ascii="Arial" w:hAnsi="Arial"/>
          <w:i w:val="1"/>
          <w:iCs w:val="1"/>
          <w:sz w:val="22"/>
          <w:szCs w:val="22"/>
          <w:rtl w:val="0"/>
        </w:rPr>
        <w:t>P</w:t>
      </w:r>
      <w:r>
        <w:rPr>
          <w:rFonts w:ascii="Arial" w:hAnsi="Arial"/>
          <w:sz w:val="22"/>
          <w:szCs w:val="22"/>
          <w:rtl w:val="0"/>
          <w:lang w:val="en-US"/>
        </w:rPr>
        <w:t xml:space="preserve"> &lt;&lt; 0.001) than No Carbohydrates control.</w:t>
      </w:r>
      <w:bookmarkEnd w:id="14"/>
      <w:r>
        <w:rPr>
          <w:rFonts w:ascii="Arial" w:hAnsi="Arial"/>
          <w:sz w:val="22"/>
          <w:szCs w:val="22"/>
          <w:rtl w:val="0"/>
          <w:lang w:val="en-US"/>
        </w:rPr>
        <w:t xml:space="preserve"> Only those carbon sources that significantly improved </w:t>
      </w:r>
      <w:r>
        <w:rPr>
          <w:rStyle w:val="None"/>
          <w:rFonts w:ascii="Arial" w:hAnsi="Arial"/>
          <w:i w:val="1"/>
          <w:iCs w:val="1"/>
          <w:sz w:val="22"/>
          <w:szCs w:val="22"/>
          <w:rtl w:val="0"/>
          <w:lang w:val="en-US"/>
        </w:rPr>
        <w:t>C. difficile</w:t>
      </w:r>
      <w:r>
        <w:rPr>
          <w:rFonts w:ascii="Arial" w:hAnsi="Arial"/>
          <w:sz w:val="22"/>
          <w:szCs w:val="22"/>
          <w:rtl w:val="0"/>
          <w:lang w:val="en-US"/>
        </w:rPr>
        <w:t xml:space="preserve"> growth over controls are displayed (Table S6). </w:t>
      </w:r>
      <w:bookmarkStart w:name="MathJaxElement43Frame5" w:id="15"/>
      <w:r>
        <w:rPr>
          <w:rFonts w:ascii="Arial" w:hAnsi="Arial"/>
          <w:sz w:val="22"/>
          <w:szCs w:val="22"/>
          <w:rtl w:val="0"/>
          <w:lang w:val="en-US"/>
        </w:rPr>
        <w:t>Significant differences were calculated using 2-Way ANOVA with Holm-Bonferroni correction.</w:t>
      </w:r>
      <w:bookmarkEnd w:id="15"/>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hd w:val="clear" w:color="auto" w:fill="ffffff"/>
        <w:spacing w:line="480" w:lineRule="auto"/>
        <w:jc w:val="both"/>
        <w:rPr>
          <w:rStyle w:val="Hyperlink.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w:t>
      </w:r>
      <w:r>
        <w:rPr>
          <w:rStyle w:val="Hyperlink.2"/>
          <w:rtl w:val="0"/>
          <w:lang w:val="en-US"/>
        </w:rPr>
        <w:t xml:space="preserve"> Demonstrates value for hypothesis generation.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w:t>
      </w:r>
      <w:r>
        <w:rPr>
          <w:rStyle w:val="None"/>
          <w:rFonts w:ascii="Arial" w:hAnsi="Arial"/>
          <w:b w:val="1"/>
          <w:bCs w:val="1"/>
          <w:sz w:val="22"/>
          <w:szCs w:val="22"/>
          <w:rtl w:val="0"/>
          <w:lang w:val="en-US"/>
        </w:rPr>
        <w:t>5</w:t>
      </w:r>
      <w:r>
        <w:rPr>
          <w:rStyle w:val="None"/>
          <w:rFonts w:ascii="Arial" w:hAnsi="Arial"/>
          <w:b w:val="1"/>
          <w:bCs w:val="1"/>
          <w:sz w:val="22"/>
          <w:szCs w:val="22"/>
          <w:rtl w:val="0"/>
          <w:lang w:val="en-US"/>
        </w:rPr>
        <w:t xml:space="preserve"> |  Acetate data supporting network output. </w:t>
      </w:r>
      <w:r>
        <w:rPr>
          <w:rStyle w:val="Hyperlink.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Hyperlink.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Hyperlink.2"/>
        </w:rPr>
      </w:pPr>
      <w:r>
        <w:rPr>
          <w:rStyle w:val="Hyperlink.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pPr>
      <w:r>
        <w:rPr>
          <w:rStyle w:val="None"/>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pPr>
      <w:r>
        <w:rPr>
          <w:rStyle w:val="None"/>
          <w:rFonts w:ascii="Arial" w:hAnsi="Arial"/>
          <w:sz w:val="18"/>
          <w:szCs w:val="18"/>
          <w:rtl w:val="0"/>
          <w:lang w:val="en-US"/>
        </w:rPr>
        <w:t xml:space="preserve">2. 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pPr>
      <w:r>
        <w:rPr>
          <w:rStyle w:val="None"/>
          <w:rFonts w:ascii="Arial" w:hAnsi="Arial"/>
          <w:sz w:val="18"/>
          <w:szCs w:val="18"/>
          <w:rtl w:val="0"/>
          <w:lang w:val="en-US"/>
        </w:rPr>
        <w:t xml:space="preserve">3.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 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7.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8.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9.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pPr>
      <w:r>
        <w:rPr>
          <w:rStyle w:val="None"/>
          <w:rFonts w:ascii="Arial" w:hAnsi="Arial"/>
          <w:sz w:val="18"/>
          <w:szCs w:val="18"/>
          <w:rtl w:val="0"/>
          <w:lang w:val="en-US"/>
        </w:rPr>
        <w:t xml:space="preserve">10. 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11. 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13. 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16. 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17. 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22. 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23. 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24. 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25. Hundsberger, T., Braun, V., Weidmann, M., Leukel, P., Sauerborn, M., &amp; von Eichel-Streiber, C. (1997). Transcription </w:t>
        <w:tab/>
        <w:t xml:space="preserve">analysis </w:t>
      </w:r>
      <w:r>
        <w:rPr>
          <w:rStyle w:val="None"/>
          <w:rFonts w:ascii="Arial" w:hAnsi="Arial"/>
          <w:sz w:val="18"/>
          <w:szCs w:val="18"/>
          <w:rtl w:val="0"/>
          <w:lang w:val="en-US"/>
        </w:rPr>
        <w:t xml:space="preserve">of the genes tcdA-E of the pathogenicity locus of Clostridium difficile. </w:t>
      </w:r>
      <w:r>
        <w:rPr>
          <w:rStyle w:val="None"/>
          <w:rFonts w:ascii="Arial" w:hAnsi="Arial"/>
          <w:i w:val="1"/>
          <w:iCs w:val="1"/>
          <w:sz w:val="18"/>
          <w:szCs w:val="18"/>
          <w:rtl w:val="0"/>
          <w:lang w:val="en-US"/>
        </w:rPr>
        <w:t xml:space="preserve">European Journal of Biochemistry / </w:t>
        <w:tab/>
        <w:t>FEBS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fr-FR"/>
        </w:rPr>
        <w:t>26. Janoir, C., Den</w:t>
      </w:r>
      <w:r>
        <w:rPr>
          <w:rStyle w:val="None"/>
          <w:rFonts w:ascii="Arial" w:hAnsi="Arial" w:hint="default"/>
          <w:sz w:val="18"/>
          <w:szCs w:val="18"/>
          <w:rtl w:val="0"/>
          <w:lang w:val="fr-FR"/>
        </w:rPr>
        <w:t>è</w:t>
      </w:r>
      <w:r>
        <w:rPr>
          <w:rStyle w:val="None"/>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color w:val="000000"/>
          <w:sz w:val="18"/>
          <w:szCs w:val="18"/>
          <w:u w:color="000000"/>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color w:val="000000"/>
          <w:sz w:val="18"/>
          <w:szCs w:val="18"/>
          <w:u w:color="000000"/>
          <w:rtl w:val="0"/>
          <w:lang w:val="en-US"/>
        </w:rPr>
        <w:t>PLoS ONE</w:t>
      </w:r>
      <w:r>
        <w:rPr>
          <w:rStyle w:val="None"/>
          <w:rFonts w:ascii="Arial" w:hAnsi="Arial"/>
          <w:color w:val="000000"/>
          <w:sz w:val="18"/>
          <w:szCs w:val="18"/>
          <w:u w:color="000000"/>
          <w:rtl w:val="0"/>
          <w:lang w:val="en-US"/>
        </w:rPr>
        <w:t xml:space="preserve">, </w:t>
      </w:r>
      <w:r>
        <w:rPr>
          <w:rStyle w:val="None"/>
          <w:rFonts w:ascii="Arial" w:hAnsi="Arial"/>
          <w:i w:val="1"/>
          <w:iCs w:val="1"/>
          <w:color w:val="000000"/>
          <w:sz w:val="18"/>
          <w:szCs w:val="18"/>
          <w:u w:color="000000"/>
          <w:rtl w:val="0"/>
          <w:lang w:val="en-US"/>
        </w:rPr>
        <w:t>9</w:t>
      </w:r>
      <w:r>
        <w:rPr>
          <w:rStyle w:val="None"/>
          <w:rFonts w:ascii="Arial" w:hAnsi="Arial"/>
          <w:color w:val="000000"/>
          <w:sz w:val="18"/>
          <w:szCs w:val="18"/>
          <w:u w:color="000000"/>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color w:val="000000"/>
          <w:u w:color="000000"/>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color w:val="000000"/>
          <w:sz w:val="18"/>
          <w:szCs w:val="18"/>
          <w:u w:val="none" w:color="323232"/>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w:rFonts w:ascii="Arial" w:hAnsi="Arial"/>
          <w:i w:val="1"/>
          <w:iCs w:val="1"/>
          <w:color w:val="000000"/>
          <w:sz w:val="18"/>
          <w:szCs w:val="18"/>
          <w:u w:val="none" w:color="323232"/>
          <w:rtl w:val="0"/>
          <w:lang w:val="de-DE"/>
        </w:rPr>
        <w:t>PLoS ONE</w:t>
      </w:r>
      <w:r>
        <w:rPr>
          <w:rStyle w:val="None"/>
          <w:rFonts w:ascii="Arial" w:hAnsi="Arial"/>
          <w:color w:val="000000"/>
          <w:sz w:val="18"/>
          <w:szCs w:val="18"/>
          <w:u w:val="none" w:color="323232"/>
          <w:rtl w:val="0"/>
          <w:lang w:val="en-US"/>
        </w:rPr>
        <w:t xml:space="preserve">, 11(6). </w:t>
        <w:tab/>
        <w:t>http://dx.doi.org/10.1371/journal.pone.0158204</w:t>
      </w:r>
    </w:p>
    <w:p>
      <w:pPr>
        <w:pStyle w:val="Text body"/>
        <w:shd w:val="clear" w:color="auto" w:fill="ffffff"/>
        <w:ind w:left="480" w:hanging="480"/>
        <w:rPr>
          <w:rStyle w:val="None"/>
          <w:rFonts w:ascii="Arial" w:cs="Arial" w:hAnsi="Arial" w:eastAsia="Arial"/>
          <w:color w:val="000000"/>
          <w:sz w:val="18"/>
          <w:szCs w:val="18"/>
          <w:u w:color="000000"/>
        </w:rPr>
      </w:pPr>
    </w:p>
    <w:p>
      <w:pPr>
        <w:pStyle w:val="Text body"/>
        <w:shd w:val="clear" w:color="auto" w:fill="ffffff"/>
        <w:ind w:left="480" w:hanging="480"/>
        <w:rPr>
          <w:rStyle w:val="None"/>
          <w:rFonts w:ascii="Arial" w:cs="Arial" w:hAnsi="Arial" w:eastAsia="Arial"/>
          <w:sz w:val="18"/>
          <w:szCs w:val="18"/>
        </w:rPr>
      </w:pPr>
      <w:r>
        <w:rPr>
          <w:rStyle w:val="None"/>
          <w:rFonts w:ascii="Arial" w:hAnsi="Arial"/>
          <w:color w:val="000000"/>
          <w:sz w:val="18"/>
          <w:szCs w:val="18"/>
          <w:u w:color="000000"/>
          <w:rtl w:val="0"/>
          <w:lang w:val="en-US"/>
        </w:rPr>
        <w:t xml:space="preserve">31. Karasawa, T., Maegawa, T., Nojiri, T., Yamakawa, K., &amp; Nakamura, S. (1997). Effect of arginine on toxin production by </w:t>
      </w:r>
      <w:r>
        <w:rPr>
          <w:rStyle w:val="None"/>
          <w:rFonts w:ascii="Arial" w:hAnsi="Arial"/>
          <w:sz w:val="18"/>
          <w:szCs w:val="18"/>
          <w:rtl w:val="0"/>
          <w:lang w:val="en-US"/>
        </w:rPr>
        <w:t xml:space="preserve">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32. 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33. 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34. 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36. 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37. 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39. 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42. 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43.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44.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45. 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46. 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47.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48.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pPr>
      <w:r>
        <w:rPr>
          <w:rStyle w:val="None"/>
          <w:rFonts w:ascii="Arial" w:hAnsi="Arial"/>
          <w:sz w:val="18"/>
          <w:szCs w:val="18"/>
          <w:rtl w:val="0"/>
          <w:lang w:val="en-US"/>
        </w:rPr>
        <w:t>51. 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52. 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53. 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54. 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56.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57.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61. 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71. 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73. 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w:next w:val="Hyperlink.1"/>
    <w:rPr>
      <w:rFonts w:ascii="Arial" w:cs="Arial" w:hAnsi="Arial" w:eastAsia="Arial"/>
      <w:color w:val="000080"/>
      <w:sz w:val="22"/>
      <w:szCs w:val="22"/>
      <w:u w:val="single" w:color="000080"/>
    </w:rPr>
  </w:style>
  <w:style w:type="character" w:styleId="Hyperlink.2">
    <w:name w:val="Hyperlink.2"/>
    <w:basedOn w:val="None"/>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