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expression of genes for key sigma factors controlling metabolism and pathogenesis across antibiotic pretreatments.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Fonts w:ascii="Arial" w:cs="Arial" w:hAnsi="Arial" w:eastAsia="Arial"/>
          <w:sz w:val="22"/>
          <w:szCs w:val="22"/>
        </w:rPr>
      </w:pPr>
      <w:r>
        <w:rPr>
          <w:rFonts w:ascii="Arial" w:hAnsi="Arial"/>
          <w:i w:val="1"/>
          <w:iCs w:val="1"/>
          <w:sz w:val="22"/>
          <w:szCs w:val="22"/>
          <w:rtl w:val="0"/>
          <w:lang w:val="en-US"/>
        </w:rPr>
        <w:t>C. difficile</w:t>
      </w:r>
      <w:r>
        <w:rPr>
          <w:rFonts w:ascii="Arial" w:hAnsi="Arial"/>
          <w:sz w:val="22"/>
          <w:szCs w:val="22"/>
          <w:rtl w:val="0"/>
          <w:lang w:val="en-US"/>
        </w:rPr>
        <w:t xml:space="preserve"> sigma factors are the master regulators of transcription and a subset have been shown to respond to environmental nutrient concentrations (Antunes, 2012; Fimlaid, 2013; Bouillaut, 2015; Donnelly, 2016).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expressed in each condition, despite apparent differences in toxin and spore production (Fig. 3A). Canonically, </w:t>
      </w:r>
      <w:r>
        <w:rPr>
          <w:rFonts w:ascii="Arial" w:hAnsi="Arial"/>
          <w:i w:val="1"/>
          <w:iCs w:val="1"/>
          <w:sz w:val="22"/>
          <w:szCs w:val="22"/>
          <w:rtl w:val="0"/>
          <w:lang w:val="en-US"/>
        </w:rPr>
        <w:t>codY</w:t>
      </w:r>
      <w:r>
        <w:rPr>
          <w:rFonts w:ascii="Arial" w:hAnsi="Arial"/>
          <w:sz w:val="22"/>
          <w:szCs w:val="22"/>
          <w:rtl w:val="0"/>
          <w:lang w:val="en-US"/>
        </w:rPr>
        <w:t xml:space="preserve"> is a strong negative regulator of toxin production and sporulation and could demonstrate a more complex regulatory network as </w:t>
      </w:r>
      <w:r>
        <w:rPr>
          <w:rFonts w:ascii="Arial" w:hAnsi="Arial"/>
          <w:i w:val="1"/>
          <w:iCs w:val="1"/>
          <w:sz w:val="22"/>
          <w:szCs w:val="22"/>
          <w:rtl w:val="0"/>
          <w:lang w:val="en-US"/>
        </w:rPr>
        <w:t>C. difficile</w:t>
      </w:r>
      <w:r>
        <w:rPr>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Fonts w:ascii="Arial" w:hAnsi="Arial"/>
          <w:i w:val="1"/>
          <w:iCs w:val="1"/>
          <w:sz w:val="22"/>
          <w:szCs w:val="22"/>
          <w:rtl w:val="0"/>
          <w:lang w:val="en-US"/>
        </w:rPr>
        <w:t>sigE</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and </w:t>
      </w:r>
      <w:r>
        <w:rPr>
          <w:rFonts w:ascii="Arial" w:hAnsi="Arial"/>
          <w:i w:val="1"/>
          <w:iCs w:val="1"/>
          <w:sz w:val="22"/>
          <w:szCs w:val="22"/>
          <w:rtl w:val="0"/>
          <w:lang w:val="en-US"/>
        </w:rPr>
        <w:t xml:space="preserve">sigK, which are involved in sporulation and </w:t>
      </w:r>
      <w:r>
        <w:rPr>
          <w:rFonts w:ascii="Arial" w:hAnsi="Arial"/>
          <w:sz w:val="22"/>
          <w:szCs w:val="22"/>
          <w:rtl w:val="0"/>
          <w:lang w:val="en-US"/>
        </w:rPr>
        <w:t>were approximately 10-fold less expressed in cefoperazone than the others. This agrees with the measured differences in CFU due to spores (Fig. 2B) where cefoperazone pretreatment resulted in delayed sporulation.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3B). The gene list was derived from Saujet et. al., 2014 where the authors reviewed the complex cascade of regulation that occurs as </w:t>
      </w:r>
      <w:r>
        <w:rPr>
          <w:rFonts w:ascii="Arial" w:hAnsi="Arial"/>
          <w:i w:val="1"/>
          <w:iCs w:val="1"/>
          <w:sz w:val="22"/>
          <w:szCs w:val="22"/>
          <w:rtl w:val="0"/>
          <w:lang w:val="en-US"/>
        </w:rPr>
        <w:t>C. difficile</w:t>
      </w:r>
      <w:r>
        <w:rPr>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xml:space="preserve">), all associated with later sporulation stages (Permpoonpattan, 2013). These results further reinforce the connections previously made to the differences seen in spore-specific CFU quantification. 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3C).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regulating anti-sigma factor) and </w:t>
      </w:r>
      <w:r>
        <w:rPr>
          <w:rFonts w:ascii="Arial" w:hAnsi="Arial"/>
          <w:i w:val="1"/>
          <w:iCs w:val="1"/>
          <w:sz w:val="22"/>
          <w:szCs w:val="22"/>
          <w:rtl w:val="0"/>
          <w:lang w:val="en-US"/>
        </w:rPr>
        <w:t>tcdR</w:t>
      </w:r>
      <w:r>
        <w:rPr>
          <w:rFonts w:ascii="Arial" w:hAnsi="Arial"/>
          <w:sz w:val="22"/>
          <w:szCs w:val="22"/>
          <w:rtl w:val="0"/>
          <w:lang w:val="en-US"/>
        </w:rPr>
        <w:t xml:space="preserve"> (positive regulating sigma factor)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This was interesting as toxin activity was detectable in each condition, but only the negative regulator of toxin expression was seen implying a more complex regulation of toxin production than this mechanism alone.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the context of similar colonization, spore, and toxin levels, differential expression of genes for sigma factors and sporulation suggest that </w:t>
      </w:r>
      <w:r>
        <w:rPr>
          <w:rFonts w:ascii="Arial" w:hAnsi="Arial"/>
          <w:i w:val="1"/>
          <w:iCs w:val="1"/>
          <w:sz w:val="22"/>
          <w:szCs w:val="22"/>
          <w:rtl w:val="0"/>
          <w:lang w:val="en-US"/>
        </w:rPr>
        <w:t>C. difficile</w:t>
      </w:r>
      <w:r>
        <w:rPr>
          <w:rFonts w:ascii="Arial" w:hAnsi="Arial"/>
          <w:sz w:val="22"/>
          <w:szCs w:val="22"/>
          <w:rtl w:val="0"/>
          <w:lang w:val="en-US"/>
        </w:rPr>
        <w:t xml:space="preserve"> is adapting to environmental nutrient concentrations. To test this further, we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quantified the differential expression of genes in each gene set (Fig. 2). Although we observed overlap in the levels of expression of metabolic gene-sets, the largest differences were observed in carbohydrate metabolism. Among the genes classified as sugar transporters, those that are PTS transporters (Fig. 4H) were overrepresented in the clindamycin and strep</w:t>
      </w:r>
      <w:r>
        <w:rPr>
          <w:rFonts w:ascii="Arial" w:hAnsi="Arial"/>
          <w:sz w:val="22"/>
          <w:szCs w:val="22"/>
          <w:rtl w:val="0"/>
          <w:lang w:val="en-US"/>
        </w:rPr>
        <w:t>to</w:t>
      </w:r>
      <w:r>
        <w:rPr>
          <w:rFonts w:ascii="Arial" w:hAnsi="Arial"/>
          <w:sz w:val="22"/>
          <w:szCs w:val="22"/>
          <w:rtl w:val="0"/>
          <w:lang w:val="en-US"/>
        </w:rPr>
        <w:t>mycin-treated mice and ABC sugar transporters (Fig. 4I) were overrepresented in the cefoparazone-treated mice. Further differences in carbohydrate metabolism were visible when comparing the polysaccharide catabolism expression set (Fig. 4D) with genes associated with beta-glucoside utilization locus (</w:t>
      </w:r>
      <w:r>
        <w:rPr>
          <w:rFonts w:ascii="Arial" w:hAnsi="Arial"/>
          <w:i w:val="1"/>
          <w:iCs w:val="1"/>
          <w:sz w:val="22"/>
          <w:szCs w:val="22"/>
          <w:rtl w:val="0"/>
          <w:lang w:val="en-US"/>
        </w:rPr>
        <w:t>bgl</w:t>
      </w:r>
      <w:r>
        <w:rPr>
          <w:rFonts w:ascii="Arial" w:hAnsi="Arial"/>
          <w:sz w:val="22"/>
          <w:szCs w:val="22"/>
          <w:rtl w:val="0"/>
          <w:lang w:val="en-US"/>
        </w:rPr>
        <w:t xml:space="preserve"> operon), canonically linked with salicin or arbutin metabolism being overrepresented in the clindamycin-treated mice. Sugar alcohol catabolism genes were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Conversely, the expression of genes associated with amino acid catabolism were consistently expressed at relatively equal levels across the conditions (Fig. 4F). Short chain fatty acids (SCFAs) are the product of both amino acid and carbohydrate fermentation in </w:t>
      </w:r>
      <w:r>
        <w:rPr>
          <w:rFonts w:ascii="Arial" w:hAnsi="Arial"/>
          <w:i w:val="1"/>
          <w:iCs w:val="1"/>
          <w:sz w:val="22"/>
          <w:szCs w:val="22"/>
          <w:rtl w:val="0"/>
          <w:lang w:val="en-US"/>
        </w:rPr>
        <w:t>C. difficile</w:t>
      </w:r>
      <w:r>
        <w:rPr>
          <w:rFonts w:ascii="Arial" w:hAnsi="Arial"/>
          <w:sz w:val="22"/>
          <w:szCs w:val="22"/>
          <w:rtl w:val="0"/>
          <w:lang w:val="en-US"/>
        </w:rPr>
        <w:t xml:space="preserve">. Gene for XXXX were overrepresented in clindamycin-treated mice, while a gene for XXXX was not expressed in clindamycin-treated mice.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w:t>
      </w:r>
      <w:r>
        <w:rPr>
          <w:rFonts w:ascii="Arial" w:hAnsi="Arial"/>
          <w:sz w:val="22"/>
          <w:szCs w:val="22"/>
          <w:rtl w:val="0"/>
          <w:lang w:val="en-US"/>
        </w:rPr>
        <w:t xml:space="preserve"> availability across</w:t>
      </w:r>
      <w:r>
        <w:rPr>
          <w:rFonts w:ascii="Arial" w:hAnsi="Arial"/>
          <w:sz w:val="22"/>
          <w:szCs w:val="22"/>
          <w:rtl w:val="0"/>
          <w:lang w:val="en-US"/>
        </w:rPr>
        <w:t xml:space="preserve"> different susceptible environments.</w:t>
      </w:r>
    </w:p>
    <w:p>
      <w:pPr>
        <w:pStyle w:val="Default"/>
        <w:shd w:val="clear" w:color="auto" w:fill="ffffff"/>
        <w:spacing w:line="480" w:lineRule="auto"/>
        <w:rPr>
          <w:rFonts w:ascii="Arial" w:cs="Arial" w:hAnsi="Arial" w:eastAsia="Arial"/>
          <w:sz w:val="22"/>
          <w:szCs w:val="22"/>
        </w:rPr>
      </w:pPr>
      <w:r>
        <w:rPr>
          <w:rFonts w:ascii="Arial" w:hAnsi="Arial"/>
          <w:sz w:val="22"/>
          <w:szCs w:val="22"/>
          <w:rtl w:val="0"/>
          <w:lang w:val="en-US"/>
        </w:rPr>
        <w:t>cdf:CD630_03340</w:t>
        <w:tab/>
        <w:t>adhE; bifunctional acetaldehyde-CoA/alcohol dehydrogenase</w:t>
      </w:r>
    </w:p>
    <w:p>
      <w:pPr>
        <w:pStyle w:val="Default"/>
        <w:shd w:val="clear" w:color="auto" w:fill="ffffff"/>
        <w:spacing w:line="480" w:lineRule="auto"/>
        <w:rPr>
          <w:rFonts w:ascii="Arial" w:cs="Arial" w:hAnsi="Arial" w:eastAsia="Arial"/>
          <w:sz w:val="22"/>
          <w:szCs w:val="22"/>
        </w:rPr>
      </w:pPr>
      <w:r>
        <w:rPr>
          <w:rFonts w:ascii="Arial" w:hAnsi="Arial"/>
          <w:sz w:val="22"/>
          <w:szCs w:val="22"/>
          <w:rtl w:val="0"/>
          <w:lang w:val="en-US"/>
        </w:rPr>
        <w:t>cdf:CD630_24250</w:t>
        <w:tab/>
        <w:t>ptb; phosphate butyryltransferase</w:t>
      </w:r>
    </w:p>
    <w:p>
      <w:pPr>
        <w:pStyle w:val="Default"/>
        <w:shd w:val="clear" w:color="auto" w:fill="ffffff"/>
        <w:spacing w:line="480" w:lineRule="auto"/>
        <w:rPr>
          <w:rFonts w:ascii="Arial" w:cs="Arial" w:hAnsi="Arial" w:eastAsia="Arial"/>
          <w:sz w:val="22"/>
          <w:szCs w:val="22"/>
        </w:rPr>
      </w:pPr>
      <w:r>
        <w:rPr>
          <w:rFonts w:ascii="Arial" w:hAnsi="Arial"/>
          <w:sz w:val="22"/>
          <w:szCs w:val="22"/>
          <w:rtl w:val="0"/>
          <w:lang w:val="en-US"/>
        </w:rPr>
        <w:t>cdf:CD630_24260</w:t>
        <w:tab/>
        <w:t>buk1; butyrate kinase</w:t>
      </w:r>
    </w:p>
    <w:p>
      <w:pPr>
        <w:pStyle w:val="Default"/>
        <w:shd w:val="clear" w:color="auto" w:fill="ffffff"/>
        <w:spacing w:line="480" w:lineRule="auto"/>
        <w:rPr>
          <w:rFonts w:ascii="Arial" w:cs="Arial" w:hAnsi="Arial" w:eastAsia="Arial"/>
          <w:sz w:val="22"/>
          <w:szCs w:val="22"/>
        </w:rPr>
      </w:pPr>
      <w:r>
        <w:rPr>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These points all trend toward the center of the plotting area and show no apparent differences between any treatment group.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w:t>
      </w:r>
      <w:r>
        <w:rPr>
          <w:rFonts w:ascii="Arial" w:hAnsi="Arial"/>
          <w:i w:val="1"/>
          <w:iCs w:val="1"/>
          <w:sz w:val="22"/>
          <w:szCs w:val="22"/>
          <w:rtl w:val="0"/>
          <w:lang w:val="en-US"/>
        </w:rPr>
        <w:t>had</w:t>
      </w:r>
      <w:r>
        <w:rPr>
          <w:rFonts w:ascii="Arial" w:hAnsi="Arial"/>
          <w:sz w:val="22"/>
          <w:szCs w:val="22"/>
          <w:rtl w:val="0"/>
          <w:lang w:val="en-US"/>
        </w:rPr>
        <w:t>,</w:t>
      </w:r>
      <w:r>
        <w:rPr>
          <w:rFonts w:ascii="Arial" w:hAnsi="Arial"/>
          <w:i w:val="1"/>
          <w:iCs w:val="1"/>
          <w:sz w:val="22"/>
          <w:szCs w:val="22"/>
          <w:rtl w:val="0"/>
          <w:lang w:val="en-US"/>
        </w:rPr>
        <w:t xml:space="preserve"> </w:t>
      </w:r>
      <w:r>
        <w:rPr>
          <w:rFonts w:ascii="Arial" w:hAnsi="Arial"/>
          <w:sz w:val="22"/>
          <w:szCs w:val="22"/>
          <w:rtl w:val="0"/>
          <w:lang w:val="en-US"/>
        </w:rPr>
        <w:t xml:space="preserve">and </w:t>
      </w:r>
      <w:r>
        <w:rPr>
          <w:rFonts w:ascii="Arial" w:hAnsi="Arial"/>
          <w:i w:val="1"/>
          <w:iCs w:val="1"/>
          <w:sz w:val="22"/>
          <w:szCs w:val="22"/>
          <w:rtl w:val="0"/>
          <w:lang w:val="en-US"/>
        </w:rPr>
        <w:t xml:space="preserve">prd </w:t>
      </w:r>
      <w:r>
        <w:rPr>
          <w:rFonts w:ascii="Arial" w:hAnsi="Arial"/>
          <w:sz w:val="22"/>
          <w:szCs w:val="22"/>
          <w:rtl w:val="0"/>
          <w:lang w:val="en-US"/>
        </w:rPr>
        <w:t>operons)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Fonts w:ascii="Arial" w:hAnsi="Arial"/>
          <w:i w:val="1"/>
          <w:iCs w:val="1"/>
          <w:sz w:val="22"/>
          <w:szCs w:val="22"/>
          <w:rtl w:val="0"/>
          <w:lang w:val="en-US"/>
        </w:rPr>
        <w:t>C. difficile</w:t>
      </w:r>
      <w:r>
        <w:rPr>
          <w:rFonts w:ascii="Arial" w:hAnsi="Arial"/>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shd w:val="clear" w:color="auto" w:fill="00ffff"/>
          <w:rtl w:val="0"/>
          <w:lang w:val="en-US"/>
        </w:rPr>
        <w:t xml:space="preserve">To move beyond a static representation of the </w:t>
      </w:r>
      <w:r>
        <w:rPr>
          <w:rFonts w:ascii="Arial" w:hAnsi="Arial"/>
          <w:i w:val="1"/>
          <w:iCs w:val="1"/>
          <w:sz w:val="22"/>
          <w:szCs w:val="22"/>
          <w:shd w:val="clear" w:color="auto" w:fill="00ffff"/>
          <w:rtl w:val="0"/>
          <w:lang w:val="en-US"/>
        </w:rPr>
        <w:t>C. difficile</w:t>
      </w:r>
      <w:r>
        <w:rPr>
          <w:rFonts w:ascii="Arial" w:hAnsi="Arial"/>
          <w:sz w:val="22"/>
          <w:szCs w:val="22"/>
          <w:shd w:val="clear" w:color="auto" w:fill="00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In both cefoperazone and streptomycin treatment group, several Stickland fermentation intermediates, including propanoate and phosphonoacetate, were scored as highly important relative to scores from randomly assigned transcript abundances. In the clindamycin and gnotobiotic conditions, the mucus derived amino sugars N-acetylglucosamine and N-acetylneurminic acid and glycolysis intermediates scored highly. Well-studied enzyme cofactors, such as Fe2+, were consistently important. Several amino acids were scored highly including proline, threonine, cysteine, leucine, isoleucine, and valine. Many of which are know or suspected auxotrophies of </w:t>
      </w:r>
      <w:r>
        <w:rPr>
          <w:rFonts w:ascii="Arial" w:hAnsi="Arial"/>
          <w:i w:val="1"/>
          <w:iCs w:val="1"/>
          <w:sz w:val="22"/>
          <w:szCs w:val="22"/>
          <w:shd w:val="clear" w:color="auto" w:fill="00ffff"/>
          <w:rtl w:val="0"/>
          <w:lang w:val="en-US"/>
        </w:rPr>
        <w:t xml:space="preserve">C. difficile </w:t>
      </w:r>
      <w:r>
        <w:rPr>
          <w:rFonts w:ascii="Arial" w:hAnsi="Arial"/>
          <w:sz w:val="22"/>
          <w:szCs w:val="22"/>
          <w:shd w:val="clear" w:color="auto" w:fill="00ffff"/>
          <w:rtl w:val="0"/>
          <w:lang w:val="en-US"/>
        </w:rPr>
        <w:t xml:space="preserve">(Ho, 2015; Neumann-Schaal, 2015). </w:t>
      </w:r>
      <w:r>
        <w:rPr>
          <w:rFonts w:ascii="Arial" w:hAnsi="Arial"/>
          <w:i w:val="1"/>
          <w:iCs w:val="1"/>
          <w:sz w:val="22"/>
          <w:szCs w:val="22"/>
          <w:shd w:val="clear" w:color="auto" w:fill="00ffff"/>
          <w:rtl w:val="0"/>
          <w:lang w:val="en-US"/>
        </w:rPr>
        <w:t>C. difficile</w:t>
      </w:r>
      <w:r>
        <w:rPr>
          <w:rFonts w:ascii="Arial" w:hAnsi="Arial"/>
          <w:sz w:val="22"/>
          <w:szCs w:val="22"/>
          <w:shd w:val="clear" w:color="auto" w:fill="00ffff"/>
          <w:rtl w:val="0"/>
          <w:lang w:val="en-US"/>
        </w:rPr>
        <w:t xml:space="preserve"> is known to acquire these substrates from its environment to support its growth. The confirmation of previous results demonstrates that our importance-defining algorithm was robust and detects biologically relevant patterns of expression.</w:t>
      </w:r>
    </w:p>
    <w:p>
      <w:pPr>
        <w:pStyle w:val="Default"/>
        <w:shd w:val="clear" w:color="auto" w:fill="ffffff"/>
        <w:spacing w:line="480" w:lineRule="auto"/>
        <w:jc w:val="both"/>
      </w:pPr>
      <w:r>
        <w:rPr>
          <w:rFonts w:ascii="Arial" w:cs="Arial" w:hAnsi="Arial" w:eastAsia="Arial"/>
          <w:sz w:val="22"/>
          <w:szCs w:val="22"/>
          <w:rtl w:val="0"/>
        </w:rPr>
        <w:tab/>
        <w:t xml:space="preserve">We sought to identify the core metabolites that are essential to </w:t>
      </w:r>
      <w:r>
        <w:rPr>
          <w:rFonts w:ascii="Arial" w:hAnsi="Arial"/>
          <w:i w:val="1"/>
          <w:iCs w:val="1"/>
          <w:sz w:val="22"/>
          <w:szCs w:val="22"/>
          <w:rtl w:val="0"/>
          <w:lang w:val="en-US"/>
        </w:rPr>
        <w:t>C. difficile</w:t>
      </w:r>
      <w:r>
        <w:rPr>
          <w:rFonts w:ascii="Arial" w:hAnsi="Arial"/>
          <w:sz w:val="22"/>
          <w:szCs w:val="22"/>
          <w:rtl w:val="0"/>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from each treatment group to uncover patterns of unique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(Fig. 5B).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C. difficile</w:t>
      </w:r>
      <w:r>
        <w:rPr>
          <w:rFonts w:ascii="Arial" w:hAnsi="Arial"/>
          <w:sz w:val="22"/>
          <w:szCs w:val="22"/>
          <w:rtl w:val="0"/>
          <w:lang w:val="en-US"/>
        </w:rPr>
        <w:t xml:space="preserve">. This included D-fructose, mannitol, N-acetylneuraminic acid, salicin, and D-sorbitol (Ng, 2013; Theriot, 2014).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networks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C. difficile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5C).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b w:val="0"/>
          <w:bCs w:val="0"/>
          <w:i w:val="0"/>
          <w:iCs w:val="0"/>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3D).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Fonts w:ascii="Arial" w:hAnsi="Arial"/>
          <w:i w:val="1"/>
          <w:iCs w:val="1"/>
          <w:sz w:val="22"/>
          <w:szCs w:val="22"/>
          <w:rtl w:val="0"/>
          <w:lang w:val="en-US"/>
        </w:rPr>
        <w:t>C. difficile</w:t>
      </w:r>
      <w:r>
        <w:rPr>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Materials and Methods</w:t>
      </w:r>
    </w:p>
    <w:p>
      <w:pPr>
        <w:pStyle w:val="Default"/>
        <w:shd w:val="clear" w:color="auto" w:fill="ffffff"/>
        <w:spacing w:line="480" w:lineRule="auto"/>
        <w:jc w:val="both"/>
      </w:pPr>
      <w:r>
        <w:rPr>
          <w:rFonts w:ascii="Arial" w:hAnsi="Arial"/>
          <w:b w:val="1"/>
          <w:bCs w:val="1"/>
          <w:sz w:val="22"/>
          <w:szCs w:val="22"/>
          <w:rtl w:val="0"/>
          <w:lang w:val="en-US"/>
        </w:rPr>
        <w:t xml:space="preserve">Animal care and antibiotic administration. </w:t>
      </w:r>
      <w:r>
        <w:rPr>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infection and necropsy. </w:t>
      </w:r>
      <w:r>
        <w:rPr>
          <w:rFonts w:ascii="Arial" w:hAnsi="Arial"/>
          <w:i w:val="1"/>
          <w:iCs w:val="1"/>
          <w:sz w:val="22"/>
          <w:szCs w:val="22"/>
          <w:rtl w:val="0"/>
          <w:lang w:val="en-US"/>
        </w:rPr>
        <w:t>C. difficile</w:t>
      </w:r>
      <w:r>
        <w:rPr>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3</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spores were administered to mice via oral gavage in </w:t>
      </w:r>
      <w:r>
        <w:rPr>
          <w:rFonts w:ascii="Arial" w:hAnsi="Arial" w:hint="default"/>
          <w:sz w:val="22"/>
          <w:szCs w:val="22"/>
          <w:rtl w:val="0"/>
          <w:lang w:val="en-US"/>
        </w:rPr>
        <w:t>×</w:t>
      </w:r>
      <w:r>
        <w:rPr>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Fonts w:ascii="Arial" w:hAnsi="Arial" w:hint="default"/>
          <w:sz w:val="22"/>
          <w:szCs w:val="22"/>
          <w:rtl w:val="0"/>
          <w:lang w:val="en-US"/>
        </w:rPr>
        <w:t>μ</w:t>
      </w:r>
      <w:r>
        <w:rPr>
          <w:rFonts w:ascii="Arial" w:hAnsi="Arial"/>
          <w:sz w:val="22"/>
          <w:szCs w:val="22"/>
          <w:rtl w:val="0"/>
          <w:lang w:val="en-US"/>
        </w:rPr>
        <w:t xml:space="preserve">l </w:t>
      </w:r>
      <w:r>
        <w:rPr>
          <w:rFonts w:ascii="Arial" w:hAnsi="Arial" w:hint="default"/>
          <w:sz w:val="22"/>
          <w:szCs w:val="22"/>
          <w:rtl w:val="0"/>
          <w:lang w:val="en-US"/>
        </w:rPr>
        <w:t>×</w:t>
      </w:r>
      <w:r>
        <w:rPr>
          <w:rFonts w:ascii="Arial" w:hAnsi="Arial"/>
          <w:sz w:val="22"/>
          <w:szCs w:val="22"/>
          <w:rtl w:val="0"/>
          <w:lang w:val="en-US"/>
        </w:rPr>
        <w:t xml:space="preserve">1 PBS at the same time as those mice administered </w:t>
      </w:r>
      <w:r>
        <w:rPr>
          <w:rFonts w:ascii="Arial" w:hAnsi="Arial"/>
          <w:i w:val="1"/>
          <w:iCs w:val="1"/>
          <w:sz w:val="22"/>
          <w:szCs w:val="22"/>
          <w:rtl w:val="0"/>
          <w:lang w:val="en-US"/>
        </w:rPr>
        <w:t>C. difficile</w:t>
      </w:r>
      <w:r>
        <w:rPr>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Fonts w:ascii="Arial" w:hAnsi="Arial" w:hint="default"/>
          <w:sz w:val="22"/>
          <w:szCs w:val="22"/>
          <w:rtl w:val="0"/>
          <w:lang w:val="en-US"/>
        </w:rPr>
        <w:t>μ</w:t>
      </w:r>
      <w:r>
        <w:rPr>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Fonts w:ascii="Arial" w:hAnsi="Arial" w:hint="default"/>
          <w:sz w:val="22"/>
          <w:szCs w:val="22"/>
          <w:rtl w:val="0"/>
          <w:lang w:val="en-US"/>
        </w:rPr>
        <w:t xml:space="preserve">° </w:t>
      </w:r>
      <w:r>
        <w:rPr>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cultivation and quantification. </w:t>
      </w:r>
      <w:r>
        <w:rPr>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Fonts w:ascii="Arial" w:hAnsi="Arial" w:hint="default"/>
          <w:sz w:val="22"/>
          <w:szCs w:val="22"/>
          <w:rtl w:val="0"/>
          <w:lang w:val="en-US"/>
        </w:rPr>
        <w:t xml:space="preserve">° </w:t>
      </w:r>
      <w:r>
        <w:rPr>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Fonts w:ascii="Arial" w:hAnsi="Arial" w:hint="default"/>
          <w:sz w:val="22"/>
          <w:szCs w:val="22"/>
          <w:rtl w:val="0"/>
          <w:lang w:val="en-US"/>
        </w:rPr>
        <w:t xml:space="preserve">° </w:t>
      </w:r>
      <w:r>
        <w:rPr>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Fonts w:ascii="Arial" w:hAnsi="Arial" w:hint="default"/>
          <w:sz w:val="22"/>
          <w:szCs w:val="22"/>
          <w:rtl w:val="0"/>
          <w:lang w:val="en-US"/>
        </w:rPr>
        <w:t xml:space="preserve">° </w:t>
      </w:r>
      <w:r>
        <w:rPr>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Measurement of residual antibiotics in cecal content.</w:t>
      </w:r>
      <w:r>
        <w:rPr>
          <w:rFonts w:ascii="Arial" w:hAnsi="Arial"/>
          <w:sz w:val="22"/>
          <w:szCs w:val="22"/>
          <w:rtl w:val="0"/>
          <w:lang w:val="en-US"/>
        </w:rPr>
        <w:t xml:space="preserve">  Disk diffusion assays were performed using separate, newly plated lawns of </w:t>
      </w:r>
      <w:r>
        <w:rPr>
          <w:rFonts w:ascii="Arial" w:hAnsi="Arial"/>
          <w:i w:val="1"/>
          <w:iCs w:val="1"/>
          <w:sz w:val="22"/>
          <w:szCs w:val="22"/>
          <w:rtl w:val="0"/>
          <w:lang w:val="en-US"/>
        </w:rPr>
        <w:t>Clostridium difficile</w:t>
      </w:r>
      <w:r>
        <w:rPr>
          <w:rFonts w:ascii="Arial" w:hAnsi="Arial"/>
          <w:sz w:val="22"/>
          <w:szCs w:val="22"/>
          <w:rtl w:val="0"/>
          <w:lang w:val="en-US"/>
        </w:rPr>
        <w:t xml:space="preserve"> str. 630 and </w:t>
      </w:r>
      <w:r>
        <w:rPr>
          <w:rFonts w:ascii="Arial" w:hAnsi="Arial"/>
          <w:i w:val="1"/>
          <w:iCs w:val="1"/>
          <w:sz w:val="22"/>
          <w:szCs w:val="22"/>
          <w:rtl w:val="0"/>
          <w:lang w:val="en-US"/>
        </w:rPr>
        <w:t>Bifidobacterium longum</w:t>
      </w:r>
      <w:r>
        <w:rPr>
          <w:rFonts w:ascii="Arial" w:hAnsi="Arial"/>
          <w:sz w:val="22"/>
          <w:szCs w:val="22"/>
          <w:rtl w:val="0"/>
          <w:lang w:val="en-US"/>
        </w:rPr>
        <w:t xml:space="preserve"> subspec. </w:t>
      </w:r>
      <w:r>
        <w:rPr>
          <w:rFonts w:ascii="Arial" w:hAnsi="Arial"/>
          <w:i w:val="1"/>
          <w:iCs w:val="1"/>
          <w:sz w:val="22"/>
          <w:szCs w:val="22"/>
          <w:rtl w:val="0"/>
          <w:lang w:val="en-US"/>
        </w:rPr>
        <w:t>longum</w:t>
      </w:r>
      <w:r>
        <w:rPr>
          <w:rFonts w:ascii="Arial" w:hAnsi="Arial"/>
          <w:sz w:val="22"/>
          <w:szCs w:val="22"/>
          <w:rtl w:val="0"/>
          <w:lang w:val="en-US"/>
        </w:rPr>
        <w:t xml:space="preserve"> on BHIS agar. 500 </w:t>
      </w:r>
      <w:r>
        <w:rPr>
          <w:rFonts w:ascii="Arial" w:hAnsi="Arial" w:hint="default"/>
          <w:sz w:val="22"/>
          <w:szCs w:val="22"/>
          <w:rtl w:val="0"/>
          <w:lang w:val="en-US"/>
        </w:rPr>
        <w:t>μ</w:t>
      </w:r>
      <w:r>
        <w:rPr>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Fonts w:ascii="Arial" w:hAnsi="Arial" w:hint="default"/>
          <w:sz w:val="22"/>
          <w:szCs w:val="22"/>
          <w:rtl w:val="0"/>
          <w:lang w:val="en-US"/>
        </w:rPr>
        <w:t>μ</w:t>
      </w:r>
      <w:r>
        <w:rPr>
          <w:rFonts w:ascii="Arial" w:hAnsi="Arial"/>
          <w:sz w:val="22"/>
          <w:szCs w:val="22"/>
          <w:rtl w:val="0"/>
          <w:lang w:val="en-US"/>
        </w:rPr>
        <w:t>l supernatant from spun cecal content and added to plated bacteria in triplicate. Plates were anaerobically incubated overnight at 37</w:t>
      </w:r>
      <w:r>
        <w:rPr>
          <w:rFonts w:ascii="Arial" w:hAnsi="Arial" w:hint="default"/>
          <w:sz w:val="22"/>
          <w:szCs w:val="22"/>
          <w:rtl w:val="0"/>
          <w:lang w:val="en-US"/>
        </w:rPr>
        <w:t xml:space="preserve">° </w:t>
      </w:r>
      <w:r>
        <w:rPr>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toxin titer assay.</w:t>
      </w:r>
      <w:r>
        <w:rPr>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5</w:t>
      </w:r>
      <w:r>
        <w:rPr>
          <w:rFonts w:ascii="Arial" w:hAnsi="Arial"/>
          <w:sz w:val="22"/>
          <w:szCs w:val="22"/>
          <w:rtl w:val="0"/>
          <w:lang w:val="en-US"/>
        </w:rPr>
        <w:t xml:space="preserve"> cells were seeded in each well of a 96-well plate and incubated for 4 hours. Filtered cecal content was serially diluted 1:10 in </w:t>
      </w:r>
      <w:r>
        <w:rPr>
          <w:rFonts w:ascii="Arial" w:hAnsi="Arial" w:hint="default"/>
          <w:sz w:val="22"/>
          <w:szCs w:val="22"/>
          <w:rtl w:val="0"/>
          <w:lang w:val="en-US"/>
        </w:rPr>
        <w:t>×</w:t>
      </w:r>
      <w:r>
        <w:rPr>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Fonts w:ascii="Arial" w:hAnsi="Arial" w:hint="default"/>
          <w:sz w:val="22"/>
          <w:szCs w:val="22"/>
          <w:rtl w:val="0"/>
          <w:lang w:val="en-US"/>
        </w:rPr>
        <w:t xml:space="preserve">° </w:t>
      </w:r>
      <w:r>
        <w:rPr>
          <w:rFonts w:ascii="Arial" w:hAnsi="Arial"/>
          <w:sz w:val="22"/>
          <w:szCs w:val="22"/>
          <w:rtl w:val="0"/>
          <w:lang w:val="en-US"/>
        </w:rPr>
        <w:t xml:space="preserve">C. Plates were viewed after 24 hours at </w:t>
      </w:r>
      <w:r>
        <w:rPr>
          <w:rFonts w:ascii="Arial" w:hAnsi="Arial" w:hint="default"/>
          <w:sz w:val="22"/>
          <w:szCs w:val="22"/>
          <w:rtl w:val="0"/>
          <w:lang w:val="en-US"/>
        </w:rPr>
        <w:t>×</w:t>
      </w:r>
      <w:r>
        <w:rPr>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and library preparation.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p>
    <w:p>
      <w:pPr>
        <w:pStyle w:val="Default"/>
        <w:shd w:val="clear" w:color="auto" w:fill="ffffff"/>
        <w:spacing w:line="480" w:lineRule="auto"/>
        <w:jc w:val="both"/>
      </w:pPr>
      <w:r>
        <w:rPr>
          <w:rStyle w:val="None"/>
          <w:rFonts w:ascii="Arial" w:cs="Arial" w:hAnsi="Arial" w:eastAsia="Arial"/>
          <w:sz w:val="22"/>
          <w:szCs w:val="22"/>
          <w:rtl w:val="0"/>
        </w:rPr>
        <w:tab/>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leaving ~150,000 reads per sample for final analysis. The remaining mappings were converted to idxstats format using Samtools (Li, 2009) and the read counts per gene were tabulated. Discordant pair mappings were discarded and counts were then normalized to read length and gene length. Each collection of reads was then 1000-fold iteratively subsampled to 97,930 reads to generate bootstrapped medians for each gene.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package in R.</w:t>
      </w:r>
    </w:p>
    <w:p>
      <w:pPr>
        <w:pStyle w:val="Default"/>
        <w:shd w:val="clear" w:color="auto" w:fill="ffffff"/>
        <w:spacing w:line="480" w:lineRule="auto"/>
        <w:jc w:val="both"/>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18 hours after infection. </w:t>
      </w:r>
      <w:r>
        <w:rPr>
          <w:rStyle w:val="None"/>
          <w:rFonts w:ascii="Arial" w:hAnsi="Arial"/>
          <w:sz w:val="22"/>
          <w:szCs w:val="22"/>
          <w:rtl w:val="0"/>
          <w:lang w:val="en-US"/>
        </w:rPr>
        <w:t xml:space="preserve"> (n = 9 per treatment group).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limit of detection,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subsampled gene abundances, shown with 95% confidence interval.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Transcript recruitment to pathogenicity loci, including both the standard PaLoc genes as well as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but not the genes for binary toxin as they are absent in str. 630.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A)</w:t>
      </w:r>
      <w:r>
        <w:rPr>
          <w:rStyle w:val="None"/>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through </w:t>
      </w:r>
      <w:r>
        <w:rPr>
          <w:rStyle w:val="None"/>
          <w:rFonts w:ascii="Arial" w:hAnsi="Arial"/>
          <w:b w:val="1"/>
          <w:bCs w:val="1"/>
          <w:sz w:val="22"/>
          <w:szCs w:val="22"/>
          <w:rtl w:val="0"/>
          <w:lang w:val="en-US"/>
        </w:rPr>
        <w:t>I)</w:t>
      </w:r>
      <w:r>
        <w:rPr>
          <w:rStyle w:val="None"/>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exome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6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Selmer, T., &amp; Andrei, P. I. (2001). p-hydroxyphenylacetate decarboxylase from Clostridium difficile: A novel glycyl radical enzyme catalysing the formation of p-cresol. European Journal of Biochemistry, 268(5), 1363</w:t>
      </w:r>
      <w:r>
        <w:rPr>
          <w:rStyle w:val="None"/>
          <w:rFonts w:ascii="Arial" w:hAnsi="Arial" w:hint="default"/>
          <w:sz w:val="18"/>
          <w:szCs w:val="18"/>
          <w:rtl w:val="0"/>
          <w:lang w:val="en-US"/>
        </w:rPr>
        <w:t>–</w:t>
      </w:r>
      <w:r>
        <w:rPr>
          <w:rStyle w:val="None"/>
          <w:rFonts w:ascii="Arial" w:hAnsi="Arial"/>
          <w:sz w:val="18"/>
          <w:szCs w:val="18"/>
          <w:rtl w:val="0"/>
          <w:lang w:val="en-US"/>
        </w:rPr>
        <w:t xml:space="preserve">1372. http://doi.org/10.1046/j.1432-1327.2001.02001.xSonger,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character" w:styleId="None">
    <w:name w:val="None"/>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