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Title</w:t>
      </w:r>
    </w:p>
    <w:p>
      <w:pPr>
        <w:pStyle w:val="Default"/>
        <w:spacing w:line="480" w:lineRule="auto"/>
        <w:jc w:val="both"/>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Authors</w:t>
      </w:r>
    </w:p>
    <w:p>
      <w:pPr>
        <w:pStyle w:val="Default"/>
        <w:spacing w:line="480" w:lineRule="auto"/>
        <w:jc w:val="both"/>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Affiliations</w:t>
      </w:r>
    </w:p>
    <w:p>
      <w:pPr>
        <w:pStyle w:val="Default"/>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Abstract</w:t>
      </w:r>
    </w:p>
    <w:p>
      <w:pPr>
        <w:pStyle w:val="Default"/>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and host derived amino sugars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Introduction</w:t>
      </w:r>
    </w:p>
    <w:p>
      <w:pPr>
        <w:pStyle w:val="Default"/>
        <w:spacing w:line="480" w:lineRule="auto"/>
        <w:jc w:val="both"/>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pacing w:line="480" w:lineRule="auto"/>
        <w:jc w:val="both"/>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val="1"/>
          <w:iCs w:val="1"/>
          <w:sz w:val="22"/>
          <w:szCs w:val="22"/>
          <w:rtl w:val="0"/>
          <w:lang w:val="en-US"/>
        </w:rPr>
        <w:t>P</w:t>
      </w:r>
      <w:r>
        <w:rPr>
          <w:rFonts w:ascii="Arial" w:hAnsi="Arial"/>
          <w:sz w:val="22"/>
          <w:szCs w:val="22"/>
          <w:rtl w:val="0"/>
          <w:lang w:val="en-US"/>
        </w:rPr>
        <w:t xml:space="preserve"> &gt; 0.05; Fig. 2a). All antibiotic treated specific pathogen free (SPF) and germ free (GF)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 per gram of content, while untreated SPF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w:t>
      </w:r>
      <w:r>
        <w:rPr>
          <w:rFonts w:ascii="Arial" w:hAnsi="Arial"/>
          <w:i w:val="1"/>
          <w:iCs w:val="1"/>
          <w:sz w:val="22"/>
          <w:szCs w:val="22"/>
          <w:rtl w:val="0"/>
          <w:lang w:val="en-US"/>
        </w:rPr>
        <w:t>P</w:t>
      </w:r>
      <w:r>
        <w:rPr>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val="1"/>
          <w:iCs w:val="1"/>
          <w:sz w:val="22"/>
          <w:szCs w:val="22"/>
          <w:rtl w:val="0"/>
          <w:lang w:val="en-US"/>
        </w:rPr>
        <w:t>P</w:t>
      </w:r>
      <w:r>
        <w:rPr>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GF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GF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GF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GF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total expression for all </w:t>
      </w:r>
      <w:r>
        <w:rPr>
          <w:rFonts w:ascii="Arial" w:hAnsi="Arial"/>
          <w:sz w:val="22"/>
          <w:szCs w:val="22"/>
          <w:rtl w:val="0"/>
          <w:lang w:val="en-US"/>
        </w:rPr>
        <w:t xml:space="preserve">KEGG </w:t>
      </w:r>
      <w:r>
        <w:rPr>
          <w:rFonts w:ascii="Arial" w:hAnsi="Arial"/>
          <w:sz w:val="22"/>
          <w:szCs w:val="22"/>
          <w:rtl w:val="0"/>
          <w:lang w:val="en-US"/>
        </w:rPr>
        <w:t xml:space="preserve">annotated genes </w:t>
      </w:r>
      <w:r>
        <w:rPr>
          <w:rFonts w:ascii="Arial" w:hAnsi="Arial"/>
          <w:sz w:val="22"/>
          <w:szCs w:val="22"/>
          <w:rtl w:val="0"/>
          <w:lang w:val="en-US"/>
        </w:rPr>
        <w:t xml:space="preserve">in the </w:t>
      </w:r>
      <w:r>
        <w:rPr>
          <w:rFonts w:ascii="Arial" w:hAnsi="Arial"/>
          <w:i w:val="1"/>
          <w:iCs w:val="1"/>
          <w:sz w:val="22"/>
          <w:szCs w:val="22"/>
          <w:rtl w:val="0"/>
          <w:lang w:val="en-US"/>
        </w:rPr>
        <w:t>C. difficile</w:t>
      </w:r>
      <w:r>
        <w:rPr>
          <w:rFonts w:ascii="Arial" w:hAnsi="Arial"/>
          <w:sz w:val="22"/>
          <w:szCs w:val="22"/>
          <w:rtl w:val="0"/>
          <w:lang w:val="en-US"/>
        </w:rPr>
        <w:t xml:space="preserve"> str. 630 genome</w:t>
      </w:r>
      <w:r>
        <w:rPr>
          <w:rFonts w:ascii="Arial" w:hAnsi="Arial"/>
          <w:sz w:val="22"/>
          <w:szCs w:val="22"/>
          <w:rtl w:val="0"/>
          <w:lang w:val="en-US"/>
        </w:rPr>
        <w:t xml:space="preserve"> (Fig. </w:t>
      </w:r>
      <w:r>
        <w:rPr>
          <w:rFonts w:ascii="Arial" w:hAnsi="Arial"/>
          <w:sz w:val="22"/>
          <w:szCs w:val="22"/>
          <w:rtl w:val="0"/>
          <w:lang w:val="en-US"/>
        </w:rPr>
        <w:t>S1a</w:t>
      </w:r>
      <w:r>
        <w:rPr>
          <w:rFonts w:ascii="Arial" w:hAnsi="Arial"/>
          <w:sz w:val="22"/>
          <w:szCs w:val="22"/>
          <w:rtl w:val="0"/>
          <w:lang w:val="en-US"/>
        </w:rPr>
        <w:t xml:space="preserve">). </w:t>
      </w:r>
      <w:r>
        <w:rPr>
          <w:rFonts w:ascii="Arial" w:hAnsi="Arial"/>
          <w:sz w:val="22"/>
          <w:szCs w:val="22"/>
          <w:rtl w:val="0"/>
          <w:lang w:val="en-US"/>
        </w:rPr>
        <w:t xml:space="preserve">We then focused on general differences in carbohydrate </w:t>
      </w:r>
      <w:r>
        <w:rPr>
          <w:rFonts w:ascii="Arial" w:hAnsi="Arial"/>
          <w:sz w:val="22"/>
          <w:szCs w:val="22"/>
          <w:rtl w:val="0"/>
          <w:lang w:val="en-US"/>
        </w:rPr>
        <w:t xml:space="preserve">(Fig. </w:t>
      </w:r>
      <w:r>
        <w:rPr>
          <w:rFonts w:ascii="Arial" w:hAnsi="Arial"/>
          <w:sz w:val="22"/>
          <w:szCs w:val="22"/>
          <w:rtl w:val="0"/>
          <w:lang w:val="en-US"/>
        </w:rPr>
        <w:t>S1b</w:t>
      </w:r>
      <w:r>
        <w:rPr>
          <w:rFonts w:ascii="Arial" w:hAnsi="Arial"/>
          <w:sz w:val="22"/>
          <w:szCs w:val="22"/>
          <w:rtl w:val="0"/>
          <w:lang w:val="en-US"/>
        </w:rPr>
        <w:t>)</w:t>
      </w:r>
      <w:r>
        <w:rPr>
          <w:rFonts w:ascii="Arial" w:hAnsi="Arial"/>
          <w:sz w:val="22"/>
          <w:szCs w:val="22"/>
          <w:rtl w:val="0"/>
          <w:lang w:val="en-US"/>
        </w:rPr>
        <w:t xml:space="preserve"> and amino acid </w:t>
      </w:r>
      <w:r>
        <w:rPr>
          <w:rFonts w:ascii="Arial" w:hAnsi="Arial"/>
          <w:sz w:val="22"/>
          <w:szCs w:val="22"/>
          <w:rtl w:val="0"/>
          <w:lang w:val="en-US"/>
        </w:rPr>
        <w:t xml:space="preserve">(Fig. </w:t>
      </w:r>
      <w:r>
        <w:rPr>
          <w:rFonts w:ascii="Arial" w:hAnsi="Arial"/>
          <w:sz w:val="22"/>
          <w:szCs w:val="22"/>
          <w:rtl w:val="0"/>
          <w:lang w:val="en-US"/>
        </w:rPr>
        <w:t>S1c</w:t>
      </w:r>
      <w:r>
        <w:rPr>
          <w:rFonts w:ascii="Arial" w:hAnsi="Arial"/>
          <w:sz w:val="22"/>
          <w:szCs w:val="22"/>
          <w:rtl w:val="0"/>
          <w:lang w:val="en-US"/>
        </w:rPr>
        <w:t>)</w:t>
      </w:r>
      <w:r>
        <w:rPr>
          <w:rFonts w:ascii="Arial" w:hAnsi="Arial"/>
          <w:sz w:val="22"/>
          <w:szCs w:val="22"/>
          <w:rtl w:val="0"/>
          <w:lang w:val="en-US"/>
        </w:rPr>
        <w:t xml:space="preserve"> metabolism in order to asses for apparent differences in the utilization of carbon sources by </w:t>
      </w:r>
      <w:r>
        <w:rPr>
          <w:rFonts w:ascii="Arial" w:hAnsi="Arial"/>
          <w:i w:val="1"/>
          <w:iCs w:val="1"/>
          <w:sz w:val="22"/>
          <w:szCs w:val="22"/>
          <w:rtl w:val="0"/>
          <w:lang w:val="en-US"/>
        </w:rPr>
        <w:t>C. difficile</w:t>
      </w:r>
      <w:r>
        <w:rPr>
          <w:rFonts w:ascii="Arial" w:hAnsi="Arial"/>
          <w:sz w:val="22"/>
          <w:szCs w:val="22"/>
          <w:rtl w:val="0"/>
          <w:lang w:val="en-US"/>
        </w:rPr>
        <w:t xml:space="preserve"> 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 </w:t>
      </w:r>
      <w:r>
        <w:rPr>
          <w:rFonts w:ascii="Arial" w:hAnsi="Arial"/>
          <w:i w:val="1"/>
          <w:iCs w:val="1"/>
          <w:sz w:val="22"/>
          <w:szCs w:val="22"/>
          <w:rtl w:val="0"/>
          <w:lang w:val="en-US"/>
        </w:rPr>
        <w:t>C. difficile</w:t>
      </w:r>
      <w:r>
        <w:rPr>
          <w:rFonts w:ascii="Arial" w:hAnsi="Arial"/>
          <w:sz w:val="22"/>
          <w:szCs w:val="22"/>
          <w:rtl w:val="0"/>
          <w:lang w:val="en-US"/>
        </w:rPr>
        <w:t xml:space="preserve"> metabolism </w:t>
      </w:r>
      <w:r>
        <w:rPr>
          <w:rFonts w:ascii="Arial" w:hAnsi="Arial"/>
          <w:sz w:val="22"/>
          <w:szCs w:val="22"/>
          <w:rtl w:val="0"/>
          <w:lang w:val="en-US"/>
        </w:rPr>
        <w:t>(Table S1)</w:t>
      </w:r>
      <w:r>
        <w:rPr>
          <w:rFonts w:ascii="Arial" w:hAnsi="Arial"/>
          <w:sz w:val="22"/>
          <w:szCs w:val="22"/>
          <w:rtl w:val="0"/>
          <w:lang w:val="en-US"/>
        </w:rPr>
        <w:t xml:space="preserve">. Also, to more effectively compare between colonized states, we calculated the </w:t>
      </w:r>
      <w:r>
        <w:rPr>
          <w:rFonts w:ascii="Arial" w:hAnsi="Arial"/>
          <w:sz w:val="22"/>
          <w:szCs w:val="22"/>
          <w:rtl w:val="0"/>
          <w:lang w:val="en-US"/>
        </w:rPr>
        <w:t>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Structure of g</w:t>
      </w:r>
      <w:r>
        <w:rPr>
          <w:rFonts w:ascii="Arial" w:hAnsi="Arial"/>
          <w:b w:val="1"/>
          <w:bCs w:val="1"/>
          <w:sz w:val="22"/>
          <w:szCs w:val="22"/>
          <w:rtl w:val="0"/>
          <w:lang w:val="en-US"/>
        </w:rPr>
        <w:t xml:space="preserve">enome-scale </w:t>
      </w:r>
      <w:r>
        <w:rPr>
          <w:rFonts w:ascii="Arial" w:hAnsi="Arial"/>
          <w:b w:val="1"/>
          <w:bCs w:val="1"/>
          <w:sz w:val="22"/>
          <w:szCs w:val="22"/>
          <w:rtl w:val="0"/>
          <w:lang w:val="en-US"/>
        </w:rPr>
        <w:t>b</w:t>
      </w:r>
      <w:r>
        <w:rPr>
          <w:rFonts w:ascii="Arial" w:hAnsi="Arial"/>
          <w:b w:val="1"/>
          <w:bCs w:val="1"/>
          <w:sz w:val="22"/>
          <w:szCs w:val="22"/>
          <w:rtl w:val="0"/>
          <w:lang w:val="en-US"/>
        </w:rPr>
        <w:t>ipartite metabolic models underscore known bacterial metabolism.</w:t>
      </w:r>
    </w:p>
    <w:p>
      <w:pPr>
        <w:pStyle w:val="Default"/>
        <w:spacing w:line="480" w:lineRule="auto"/>
        <w:ind w:firstLine="709"/>
        <w:jc w:val="both"/>
      </w:pPr>
      <w:r>
        <w:rPr>
          <w:rFonts w:ascii="Arial" w:hAnsi="Arial"/>
          <w:sz w:val="22"/>
          <w:szCs w:val="22"/>
          <w:rtl w:val="0"/>
          <w:lang w:val="en-US"/>
        </w:rPr>
        <w:t xml:space="preserve">To further investigate which metabolites are differentially utilized between conditions,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sz w:val="22"/>
          <w:szCs w:val="22"/>
          <w:shd w:val="clear" w:color="auto" w:fill="ffffff"/>
          <w:rtl w:val="0"/>
          <w:lang w:val="en-US"/>
        </w:rPr>
        <w:t xml:space="preserve">Metabolite importance algorithm reveals adaptive nutritional strategies of </w:t>
      </w:r>
      <w:r>
        <w:rPr>
          <w:rFonts w:ascii="Arial" w:hAnsi="Arial"/>
          <w:b w:val="1"/>
          <w:bCs w:val="1"/>
          <w:i w:val="1"/>
          <w:iCs w:val="1"/>
          <w:sz w:val="22"/>
          <w:szCs w:val="22"/>
          <w:shd w:val="clear" w:color="auto" w:fill="ffffff"/>
          <w:rtl w:val="0"/>
          <w:lang w:val="en-US"/>
        </w:rPr>
        <w:t xml:space="preserve">C. difficile </w:t>
      </w:r>
      <w:r>
        <w:rPr>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Fonts w:ascii="Arial" w:hAnsi="Arial"/>
          <w:rtl w:val="0"/>
          <w:lang w:val="en-US"/>
        </w:rPr>
        <w:t>We t</w:t>
      </w:r>
      <w:r>
        <w:rPr>
          <w:rFonts w:ascii="Arial" w:hAnsi="Arial"/>
          <w:sz w:val="22"/>
          <w:szCs w:val="22"/>
          <w:shd w:val="clear" w:color="auto" w:fill="ffffff"/>
          <w:rtl w:val="0"/>
          <w:lang w:val="en-US"/>
        </w:rPr>
        <w:t xml:space="preserve">hen applied these methods to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transcriptomic data collected from the </w:t>
      </w:r>
      <w:r>
        <w:rPr>
          <w:rFonts w:ascii="Arial" w:hAnsi="Arial"/>
          <w:i w:val="1"/>
          <w:iCs w:val="1"/>
          <w:sz w:val="22"/>
          <w:szCs w:val="22"/>
          <w:shd w:val="clear" w:color="auto" w:fill="ffffff"/>
          <w:rtl w:val="0"/>
          <w:lang w:val="en-US"/>
        </w:rPr>
        <w:t>in vivo</w:t>
      </w:r>
      <w:r>
        <w:rPr>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w:t>
      </w:r>
      <w:r>
        <w:rPr>
          <w:rFonts w:ascii="Arial" w:hAnsi="Arial"/>
          <w:sz w:val="22"/>
          <w:szCs w:val="22"/>
          <w:rtl w:val="0"/>
          <w:lang w:val="en-US"/>
        </w:rPr>
        <w:t>2</w:t>
      </w:r>
      <w:r>
        <w:rPr>
          <w:rFonts w:ascii="Arial" w:hAnsi="Arial"/>
          <w:sz w:val="22"/>
          <w:szCs w:val="22"/>
          <w:rtl w:val="0"/>
          <w:lang w:val="en-US"/>
        </w:rPr>
        <w:t xml:space="preserve">)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and salicin. Furthermore, in GF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Fonts w:ascii="Arial" w:hAnsi="Arial"/>
          <w:b w:val="1"/>
          <w:bCs w:val="1"/>
          <w:sz w:val="22"/>
          <w:szCs w:val="22"/>
          <w:rtl w:val="0"/>
          <w:lang w:val="en-US"/>
        </w:rPr>
        <w:t xml:space="preserve">Important carbon sources </w:t>
      </w:r>
      <w:r>
        <w:rPr>
          <w:rFonts w:ascii="Arial" w:hAnsi="Arial"/>
          <w:b w:val="1"/>
          <w:bCs w:val="1"/>
          <w:i w:val="1"/>
          <w:iCs w:val="1"/>
          <w:sz w:val="22"/>
          <w:szCs w:val="22"/>
          <w:rtl w:val="0"/>
          <w:lang w:val="en-US"/>
        </w:rPr>
        <w:t>in vivo</w:t>
      </w:r>
      <w:r>
        <w:rPr>
          <w:rFonts w:ascii="Arial" w:hAnsi="Arial"/>
          <w:b w:val="1"/>
          <w:bCs w:val="1"/>
          <w:sz w:val="22"/>
          <w:szCs w:val="22"/>
          <w:rtl w:val="0"/>
          <w:lang w:val="en-US"/>
        </w:rPr>
        <w:t xml:space="preserve">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differential 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pacing w:line="480" w:lineRule="auto"/>
        <w:ind w:firstLine="709"/>
        <w:jc w:val="both"/>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(Fig. 6c).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Fonts w:ascii="Arial" w:hAnsi="Arial"/>
          <w:sz w:val="22"/>
          <w:szCs w:val="22"/>
          <w:vertAlign w:val="subscript"/>
          <w:rtl w:val="0"/>
          <w:lang w:val="en-US"/>
        </w:rPr>
        <w:t xml:space="preserve">600 </w:t>
      </w:r>
      <w:r>
        <w:rPr>
          <w:rFonts w:ascii="Arial" w:hAnsi="Arial"/>
          <w:sz w:val="22"/>
          <w:szCs w:val="22"/>
          <w:rtl w:val="0"/>
          <w:lang w:val="en-US"/>
        </w:rPr>
        <w:t xml:space="preserve">= 0.212). </w:t>
      </w:r>
    </w:p>
    <w:p>
      <w:pPr>
        <w:pStyle w:val="Default"/>
        <w:spacing w:line="480" w:lineRule="auto"/>
        <w:ind w:firstLine="709"/>
        <w:jc w:val="both"/>
      </w:pPr>
      <w:r>
        <w:rPr>
          <w:rFonts w:ascii="Arial" w:hAnsi="Arial"/>
          <w:sz w:val="22"/>
          <w:szCs w:val="22"/>
          <w:rtl w:val="0"/>
          <w:lang w:val="en-US"/>
        </w:rPr>
        <w:t xml:space="preserve">As previously stated, </w:t>
      </w:r>
      <w:bookmarkStart w:name="_DdeLink__1342_1088560619" w:id="1"/>
      <w:r>
        <w:rPr>
          <w:rFonts w:ascii="Arial" w:hAnsi="Arial"/>
          <w:sz w:val="22"/>
          <w:szCs w:val="22"/>
          <w:rtl w:val="0"/>
          <w:lang w:val="en-US"/>
        </w:rPr>
        <w:t>N-acetyl-D-glucosamine</w:t>
      </w:r>
      <w:bookmarkEnd w:id="1"/>
      <w:r>
        <w:rPr>
          <w:rFonts w:ascii="Arial" w:hAnsi="Arial"/>
          <w:sz w:val="22"/>
          <w:szCs w:val="22"/>
          <w:rtl w:val="0"/>
          <w:lang w:val="en-US"/>
        </w:rPr>
        <w:t xml:space="preserve"> was shown to be important to C. difficile in each condition tested. When tested for improved growth, significantly more growth (Max 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774</w:t>
      </w:r>
      <w:r>
        <w:rPr>
          <w:rFonts w:ascii="Arial" w:hAnsi="Arial"/>
          <w:sz w:val="22"/>
          <w:szCs w:val="22"/>
          <w:rtl w:val="0"/>
          <w:lang w:val="en-US"/>
        </w:rPr>
        <w:t>) was observed compared to no carbohydrate controls (</w:t>
      </w:r>
      <w:r>
        <w:rPr>
          <w:rFonts w:ascii="Arial" w:hAnsi="Arial"/>
          <w:i w:val="1"/>
          <w:iCs w:val="1"/>
          <w:sz w:val="22"/>
          <w:szCs w:val="22"/>
          <w:rtl w:val="0"/>
          <w:lang w:val="en-US"/>
        </w:rPr>
        <w:t>P</w:t>
      </w:r>
      <w:r>
        <w:rPr>
          <w:rFonts w:ascii="Arial" w:hAnsi="Arial"/>
          <w:sz w:val="22"/>
          <w:szCs w:val="22"/>
          <w:rtl w:val="0"/>
          <w:lang w:val="en-US"/>
        </w:rPr>
        <w:t xml:space="preserve"> &lt;&lt; 0.001). This provided evidence that</w:t>
      </w:r>
      <w:r>
        <w:rPr>
          <w:rtl w:val="0"/>
          <w:lang w:val="en-US"/>
        </w:rPr>
        <w:t xml:space="preserve"> </w:t>
      </w:r>
      <w:r>
        <w:rPr>
          <w:rFonts w:ascii="Arial" w:hAnsi="Arial"/>
          <w:sz w:val="22"/>
          <w:szCs w:val="22"/>
          <w:rtl w:val="0"/>
          <w:lang w:val="en-US"/>
        </w:rPr>
        <w:t xml:space="preserve">N-acetyl-D-glucosamine, derived from the host mucus layer, may be a central component of the </w:t>
      </w:r>
      <w:r>
        <w:rPr>
          <w:rFonts w:ascii="Arial" w:hAnsi="Arial"/>
          <w:i w:val="1"/>
          <w:iCs w:val="1"/>
          <w:sz w:val="22"/>
          <w:szCs w:val="22"/>
          <w:rtl w:val="0"/>
          <w:lang w:val="en-US"/>
        </w:rPr>
        <w:t>C. difficile</w:t>
      </w:r>
      <w:r>
        <w:rPr>
          <w:rFonts w:ascii="Arial" w:hAnsi="Arial"/>
          <w:sz w:val="22"/>
          <w:szCs w:val="22"/>
          <w:rtl w:val="0"/>
          <w:lang w:val="en-US"/>
        </w:rPr>
        <w:t xml:space="preserve"> nutritional niche during infection. Trehalose was also shown to be significant in each environment tested, and supported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(Max OD</w:t>
      </w:r>
      <w:r>
        <w:rPr>
          <w:rFonts w:ascii="Arial" w:hAnsi="Arial"/>
          <w:sz w:val="22"/>
          <w:szCs w:val="22"/>
          <w:vertAlign w:val="subscript"/>
          <w:rtl w:val="0"/>
          <w:lang w:val="en-US"/>
        </w:rPr>
        <w:t xml:space="preserve">600 </w:t>
      </w:r>
      <w:r>
        <w:rPr>
          <w:rFonts w:ascii="Arial" w:hAnsi="Arial"/>
          <w:sz w:val="22"/>
          <w:szCs w:val="22"/>
          <w:rtl w:val="0"/>
          <w:lang w:val="en-US"/>
        </w:rPr>
        <w:t>= 0.</w:t>
      </w:r>
      <w:r>
        <w:rPr>
          <w:rFonts w:ascii="Arial" w:hAnsi="Arial"/>
          <w:sz w:val="22"/>
          <w:szCs w:val="22"/>
          <w:rtl w:val="0"/>
          <w:lang w:val="en-US"/>
        </w:rPr>
        <w:t>559</w:t>
      </w:r>
      <w:r>
        <w:rPr>
          <w:rFonts w:ascii="Arial" w:hAnsi="Arial"/>
          <w:sz w:val="22"/>
          <w:szCs w:val="22"/>
          <w:rtl w:val="0"/>
          <w:lang w:val="en-US"/>
        </w:rPr>
        <w:t xml:space="preserve">). Furthermore, at least one carbohydrate highlighted as distinctly more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control wells (</w:t>
      </w:r>
      <w:r>
        <w:rPr>
          <w:rFonts w:ascii="Arial" w:hAnsi="Arial"/>
          <w:i w:val="1"/>
          <w:iCs w:val="1"/>
          <w:sz w:val="22"/>
          <w:szCs w:val="22"/>
          <w:rtl w:val="0"/>
          <w:lang w:val="en-US"/>
        </w:rPr>
        <w:t>P</w:t>
      </w:r>
      <w:r>
        <w:rPr>
          <w:rFonts w:ascii="Arial" w:hAnsi="Arial"/>
          <w:sz w:val="22"/>
          <w:szCs w:val="22"/>
          <w:rtl w:val="0"/>
          <w:lang w:val="en-US"/>
        </w:rPr>
        <w:t xml:space="preserve"> &lt;&lt; 0.001). This included D-fructose (streptomycin; Max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Max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Max OD</w:t>
      </w:r>
      <w:r>
        <w:rPr>
          <w:rFonts w:ascii="Arial" w:hAnsi="Arial"/>
          <w:sz w:val="22"/>
          <w:szCs w:val="22"/>
          <w:vertAlign w:val="subscript"/>
          <w:rtl w:val="0"/>
          <w:lang w:val="en-US"/>
        </w:rPr>
        <w:t xml:space="preserve">600 </w:t>
      </w:r>
      <w:r>
        <w:rPr>
          <w:rFonts w:ascii="Arial" w:hAnsi="Arial"/>
          <w:sz w:val="22"/>
          <w:szCs w:val="22"/>
          <w:rtl w:val="0"/>
          <w:lang w:val="en-US"/>
        </w:rPr>
        <w:t>= 0.869), and N-acetylneuraminate (GF; Max OD</w:t>
      </w:r>
      <w:r>
        <w:rPr>
          <w:rFonts w:ascii="Arial" w:hAnsi="Arial"/>
          <w:sz w:val="22"/>
          <w:szCs w:val="22"/>
          <w:vertAlign w:val="subscript"/>
          <w:rtl w:val="0"/>
          <w:lang w:val="en-US"/>
        </w:rPr>
        <w:t xml:space="preserve">600 </w:t>
      </w:r>
      <w:r>
        <w:rPr>
          <w:rFonts w:ascii="Arial" w:hAnsi="Arial"/>
          <w:sz w:val="22"/>
          <w:szCs w:val="22"/>
          <w:rtl w:val="0"/>
          <w:lang w:val="en-US"/>
        </w:rPr>
        <w:t xml:space="preserve">= 0.439). Because it was not possible to test aminofructose directly, we instead chose to test fructose, </w:t>
      </w:r>
      <w:r>
        <w:rPr>
          <w:rFonts w:ascii="Arial" w:hAnsi="Arial"/>
          <w:sz w:val="22"/>
          <w:szCs w:val="22"/>
          <w:rtl w:val="0"/>
          <w:lang w:val="en-US"/>
        </w:rPr>
        <w:t>an</w:t>
      </w:r>
      <w:r>
        <w:rPr>
          <w:rFonts w:ascii="Arial" w:hAnsi="Arial"/>
          <w:sz w:val="22"/>
          <w:szCs w:val="22"/>
          <w:rtl w:val="0"/>
          <w:lang w:val="en-US"/>
        </w:rPr>
        <w:t xml:space="preserve"> immediate breakdown byproduct of aminofructose catabolism. </w:t>
      </w:r>
      <w:r>
        <w:rPr>
          <w:rFonts w:ascii="Arial" w:hAnsi="Arial"/>
          <w:sz w:val="22"/>
          <w:szCs w:val="22"/>
          <w:rtl w:val="0"/>
          <w:lang w:val="en-US"/>
        </w:rPr>
        <w:t xml:space="preserve">We also tested both starch and acetate for the ability to support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but neither should any improvement over No Carbohydrate control (Fig. S3). </w:t>
      </w:r>
      <w:r>
        <w:rPr>
          <w:rFonts w:ascii="Arial" w:hAnsi="Arial"/>
          <w:sz w:val="22"/>
          <w:szCs w:val="22"/>
          <w:rtl w:val="0"/>
          <w:lang w:val="en-US"/>
        </w:rPr>
        <w:t>Maximum growth rate analysis for each carbohydrate also indicates potential hierarchy of growth nutrient preference (Table S4). The progression is as follows: D-fructose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sz w:val="22"/>
          <w:szCs w:val="22"/>
          <w:rtl w:val="0"/>
          <w:lang w:val="en-US"/>
        </w:rPr>
        <w:t xml:space="preserve">= </w:t>
      </w:r>
      <w:r>
        <w:rPr>
          <w:rFonts w:ascii="Arial" w:hAnsi="Arial"/>
          <w:sz w:val="22"/>
          <w:szCs w:val="22"/>
          <w:rtl w:val="0"/>
          <w:lang w:val="en-US"/>
        </w:rPr>
        <w:t>0.089</w:t>
      </w:r>
      <w:r>
        <w:rPr>
          <w:rFonts w:ascii="Arial" w:hAnsi="Arial"/>
          <w:sz w:val="22"/>
          <w:szCs w:val="22"/>
          <w:rtl w:val="0"/>
          <w:lang w:val="en-US"/>
        </w:rPr>
        <w:t>), N-acetyl-D-glucosamine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sz w:val="22"/>
          <w:szCs w:val="22"/>
          <w:rtl w:val="0"/>
          <w:lang w:val="en-US"/>
        </w:rPr>
        <w:t xml:space="preserve">= </w:t>
      </w:r>
      <w:r>
        <w:rPr>
          <w:rFonts w:ascii="Arial" w:hAnsi="Arial"/>
          <w:sz w:val="22"/>
          <w:szCs w:val="22"/>
          <w:rtl w:val="0"/>
          <w:lang w:val="en-US"/>
        </w:rPr>
        <w:t>0.085</w:t>
      </w:r>
      <w:r>
        <w:rPr>
          <w:rFonts w:ascii="Arial" w:hAnsi="Arial"/>
          <w:sz w:val="22"/>
          <w:szCs w:val="22"/>
          <w:rtl w:val="0"/>
          <w:lang w:val="en-US"/>
        </w:rPr>
        <w:t>), salicin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sz w:val="22"/>
          <w:szCs w:val="22"/>
          <w:rtl w:val="0"/>
          <w:lang w:val="en-US"/>
        </w:rPr>
        <w:t>= 0.</w:t>
      </w:r>
      <w:r>
        <w:rPr>
          <w:rFonts w:ascii="Arial" w:hAnsi="Arial"/>
          <w:sz w:val="22"/>
          <w:szCs w:val="22"/>
          <w:rtl w:val="0"/>
          <w:lang w:val="en-US"/>
        </w:rPr>
        <w:t>077</w:t>
      </w:r>
      <w:r>
        <w:rPr>
          <w:rFonts w:ascii="Arial" w:hAnsi="Arial"/>
          <w:sz w:val="22"/>
          <w:szCs w:val="22"/>
          <w:rtl w:val="0"/>
          <w:lang w:val="en-US"/>
        </w:rPr>
        <w:t>), trehalose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sz w:val="22"/>
          <w:szCs w:val="22"/>
          <w:rtl w:val="0"/>
          <w:lang w:val="en-US"/>
        </w:rPr>
        <w:t>= 0.</w:t>
      </w:r>
      <w:r>
        <w:rPr>
          <w:rFonts w:ascii="Arial" w:hAnsi="Arial"/>
          <w:sz w:val="22"/>
          <w:szCs w:val="22"/>
          <w:rtl w:val="0"/>
          <w:lang w:val="en-US"/>
        </w:rPr>
        <w:t>044</w:t>
      </w:r>
      <w:r>
        <w:rPr>
          <w:rFonts w:ascii="Arial" w:hAnsi="Arial"/>
          <w:sz w:val="22"/>
          <w:szCs w:val="22"/>
          <w:rtl w:val="0"/>
          <w:lang w:val="en-US"/>
        </w:rPr>
        <w:t>), mannitol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sz w:val="22"/>
          <w:szCs w:val="22"/>
          <w:rtl w:val="0"/>
          <w:lang w:val="en-US"/>
        </w:rPr>
        <w:t>= 0.</w:t>
      </w:r>
      <w:r>
        <w:rPr>
          <w:rFonts w:ascii="Arial" w:hAnsi="Arial"/>
          <w:sz w:val="22"/>
          <w:szCs w:val="22"/>
          <w:rtl w:val="0"/>
          <w:lang w:val="en-US"/>
        </w:rPr>
        <w:t>044</w:t>
      </w:r>
      <w:r>
        <w:rPr>
          <w:rFonts w:ascii="Arial" w:hAnsi="Arial"/>
          <w:sz w:val="22"/>
          <w:szCs w:val="22"/>
          <w:rtl w:val="0"/>
          <w:lang w:val="en-US"/>
        </w:rPr>
        <w:t xml:space="preserve">), and </w:t>
      </w:r>
      <w:r>
        <w:rPr>
          <w:rFonts w:ascii="Arial" w:hAnsi="Arial"/>
          <w:sz w:val="22"/>
          <w:szCs w:val="22"/>
          <w:rtl w:val="0"/>
          <w:lang w:val="en-US"/>
        </w:rPr>
        <w:t>finally</w:t>
      </w:r>
      <w:r>
        <w:rPr>
          <w:rFonts w:ascii="Arial" w:hAnsi="Arial"/>
          <w:sz w:val="22"/>
          <w:szCs w:val="22"/>
          <w:rtl w:val="0"/>
          <w:lang w:val="en-US"/>
        </w:rPr>
        <w:t xml:space="preserve"> N-acetylneuriminate (</w:t>
      </w:r>
      <w:r>
        <w:rPr>
          <w:rFonts w:ascii="Arial" w:hAnsi="Arial"/>
          <w:sz w:val="22"/>
          <w:szCs w:val="22"/>
          <w:rtl w:val="0"/>
          <w:lang w:val="en-US"/>
        </w:rPr>
        <w:t>slope</w:t>
      </w:r>
      <w:r>
        <w:rPr>
          <w:rFonts w:ascii="Arial" w:hAnsi="Arial"/>
          <w:i w:val="1"/>
          <w:iCs w:val="1"/>
          <w:sz w:val="22"/>
          <w:szCs w:val="22"/>
          <w:rtl w:val="0"/>
          <w:lang w:val="en-US"/>
        </w:rPr>
        <w:t xml:space="preserve"> </w:t>
      </w:r>
      <w:r>
        <w:rPr>
          <w:rFonts w:ascii="Arial" w:hAnsi="Arial"/>
          <w:i w:val="1"/>
          <w:iCs w:val="1"/>
          <w:sz w:val="22"/>
          <w:szCs w:val="22"/>
          <w:rtl w:val="0"/>
          <w:lang w:val="en-US"/>
        </w:rPr>
        <w:t xml:space="preserve">= </w:t>
      </w:r>
      <w:r>
        <w:rPr>
          <w:rFonts w:ascii="Arial" w:hAnsi="Arial"/>
          <w:sz w:val="22"/>
          <w:szCs w:val="22"/>
          <w:rtl w:val="0"/>
          <w:lang w:val="en-US"/>
        </w:rPr>
        <w:t>0.</w:t>
      </w:r>
      <w:r>
        <w:rPr>
          <w:rFonts w:ascii="Arial" w:hAnsi="Arial"/>
          <w:sz w:val="22"/>
          <w:szCs w:val="22"/>
          <w:rtl w:val="0"/>
          <w:lang w:val="en-US"/>
        </w:rPr>
        <w:t>024</w:t>
      </w:r>
      <w:r>
        <w:rPr>
          <w:rFonts w:ascii="Arial" w:hAnsi="Arial"/>
          <w:sz w:val="22"/>
          <w:szCs w:val="22"/>
          <w:rtl w:val="0"/>
          <w:lang w:val="en-US"/>
        </w:rPr>
        <w:t xml:space="preserve">). This suggests that </w:t>
      </w:r>
      <w:r>
        <w:rPr>
          <w:rFonts w:ascii="Arial" w:hAnsi="Arial"/>
          <w:i w:val="1"/>
          <w:iCs w:val="1"/>
          <w:sz w:val="22"/>
          <w:szCs w:val="22"/>
          <w:rtl w:val="0"/>
          <w:lang w:val="en-US"/>
        </w:rPr>
        <w:t>C. difficile</w:t>
      </w:r>
      <w:r>
        <w:rPr>
          <w:rFonts w:ascii="Arial" w:hAnsi="Arial"/>
          <w:sz w:val="22"/>
          <w:szCs w:val="22"/>
          <w:rtl w:val="0"/>
          <w:lang w:val="en-US"/>
        </w:rPr>
        <w:t xml:space="preserve"> is most well-suited to metabolize the nutrient source that is most likely to be present in all susceptible mammalian GI tracts. Together,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nutritional strategy to carbohydrate availability during infection and may suggest a hierarchy of nutrient preference.</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Discussion</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 xml:space="preserve">Collectively, our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can adapt its metabolism to the available niche landscape across susceptible gut environments. We showed that mice treated with different antibiotics harbor distinct microbial communities and that when </w:t>
      </w:r>
      <w:r>
        <w:rPr>
          <w:rFonts w:ascii="Arial" w:hAnsi="Arial"/>
          <w:i w:val="1"/>
          <w:iCs w:val="1"/>
          <w:sz w:val="22"/>
          <w:szCs w:val="22"/>
          <w:rtl w:val="0"/>
          <w:lang w:val="en-US"/>
        </w:rPr>
        <w:t>C. difficile</w:t>
      </w:r>
      <w:r>
        <w:rPr>
          <w:rFonts w:ascii="Arial" w:hAnsi="Arial"/>
          <w:sz w:val="22"/>
          <w:szCs w:val="22"/>
          <w:rtl w:val="0"/>
          <w:lang w:val="en-US"/>
        </w:rPr>
        <w:t xml:space="preserve"> colonizes these communities it alters its gene expression. Mapping this gene expression onto a metabolic network model for </w:t>
      </w:r>
      <w:r>
        <w:rPr>
          <w:rFonts w:ascii="Arial" w:hAnsi="Arial"/>
          <w:i w:val="1"/>
          <w:iCs w:val="1"/>
          <w:sz w:val="22"/>
          <w:szCs w:val="22"/>
          <w:rtl w:val="0"/>
          <w:lang w:val="en-US"/>
        </w:rPr>
        <w:t>C. difficile</w:t>
      </w:r>
      <w:r>
        <w:rPr>
          <w:rFonts w:ascii="Arial" w:hAnsi="Arial"/>
          <w:sz w:val="22"/>
          <w:szCs w:val="22"/>
          <w:rtl w:val="0"/>
          <w:lang w:val="en-US"/>
        </w:rPr>
        <w:t xml:space="preserve"> allowed us to quantify the importance of different metabolites acquired from its environment. That the most important metabolites differed between antibiotic treatment groups indicated a shift in </w:t>
      </w:r>
      <w:r>
        <w:rPr>
          <w:rFonts w:ascii="Arial" w:hAnsi="Arial"/>
          <w:i w:val="1"/>
          <w:iCs w:val="1"/>
          <w:sz w:val="22"/>
          <w:szCs w:val="22"/>
          <w:rtl w:val="0"/>
          <w:lang w:val="en-US"/>
        </w:rPr>
        <w:t>C. difficile</w:t>
      </w:r>
      <w:r>
        <w:rPr>
          <w:rFonts w:ascii="Arial" w:hAnsi="Arial"/>
          <w:sz w:val="22"/>
          <w:szCs w:val="22"/>
          <w:rtl w:val="0"/>
          <w:lang w:val="en-US"/>
        </w:rPr>
        <w:t xml:space="preserve"> metabolism. Furthermore, we validated these results by growing </w:t>
      </w:r>
      <w:r>
        <w:rPr>
          <w:rFonts w:ascii="Arial" w:hAnsi="Arial"/>
          <w:i w:val="1"/>
          <w:iCs w:val="1"/>
          <w:sz w:val="22"/>
          <w:szCs w:val="22"/>
          <w:rtl w:val="0"/>
          <w:lang w:val="en-US"/>
        </w:rPr>
        <w:t>C. difficile</w:t>
      </w:r>
      <w:r>
        <w:rPr>
          <w:rFonts w:ascii="Arial" w:hAnsi="Arial"/>
          <w:sz w:val="22"/>
          <w:szCs w:val="22"/>
          <w:rtl w:val="0"/>
          <w:lang w:val="en-US"/>
        </w:rPr>
        <w:t xml:space="preserve"> in media where important metabolites were the sole carbohydrate and observed robust growth. These results give insight to the adaptive strategies that </w:t>
      </w:r>
      <w:r>
        <w:rPr>
          <w:rFonts w:ascii="Arial" w:hAnsi="Arial"/>
          <w:i w:val="1"/>
          <w:iCs w:val="1"/>
          <w:sz w:val="22"/>
          <w:szCs w:val="22"/>
          <w:rtl w:val="0"/>
          <w:lang w:val="en-US"/>
        </w:rPr>
        <w:t>C. difficile</w:t>
      </w:r>
      <w:r>
        <w:rPr>
          <w:rFonts w:ascii="Arial" w:hAnsi="Arial"/>
          <w:sz w:val="22"/>
          <w:szCs w:val="22"/>
          <w:rtl w:val="0"/>
          <w:lang w:val="en-US"/>
        </w:rPr>
        <w:t xml:space="preserve"> can use to colonize diverse human microbiota.</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By integrating multiple levels of data into a transcriptome-enabled, genome-scale model of </w:t>
      </w:r>
      <w:r>
        <w:rPr>
          <w:rFonts w:ascii="Arial" w:hAnsi="Arial"/>
          <w:i w:val="1"/>
          <w:iCs w:val="1"/>
          <w:sz w:val="22"/>
          <w:szCs w:val="22"/>
          <w:rtl w:val="0"/>
          <w:lang w:val="en-US"/>
        </w:rPr>
        <w:t>C. difficile</w:t>
      </w:r>
      <w:r>
        <w:rPr>
          <w:rFonts w:ascii="Arial" w:hAnsi="Arial"/>
          <w:sz w:val="22"/>
          <w:szCs w:val="22"/>
          <w:rtl w:val="0"/>
          <w:lang w:val="en-US"/>
        </w:rPr>
        <w:t xml:space="preserve"> metabolism we are able to obtain a deeper understanding of the pathogen</w:t>
      </w:r>
      <w:r>
        <w:rPr>
          <w:rFonts w:ascii="Arial" w:hAnsi="Arial" w:hint="default"/>
          <w:sz w:val="22"/>
          <w:szCs w:val="22"/>
          <w:rtl w:val="0"/>
          <w:lang w:val="en-US"/>
        </w:rPr>
        <w:t>’</w:t>
      </w:r>
      <w:r>
        <w:rPr>
          <w:rFonts w:ascii="Arial" w:hAnsi="Arial"/>
          <w:sz w:val="22"/>
          <w:szCs w:val="22"/>
          <w:rtl w:val="0"/>
          <w:lang w:val="en-US"/>
        </w:rPr>
        <w:t xml:space="preserve">s behavior in different contexts of infection. Comparative studies on gene content alone were able to identify core genomic elements and putative colonization factors (Janvilisri, 2009; Scaria, 2015),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 (Janoir, 2013),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 (Kim, 2005). Our approach focuses more toward uncovering those resources that are acquired from the environment. Using standard transcriptomic analysis (non network-based) to asses the importance of a substrate to an organism is subject to </w:t>
      </w:r>
      <w:r>
        <w:rPr>
          <w:rFonts w:ascii="Arial" w:hAnsi="Arial"/>
          <w:sz w:val="22"/>
          <w:szCs w:val="22"/>
          <w:shd w:val="clear" w:color="auto" w:fill="ffffff"/>
          <w:rtl w:val="0"/>
          <w:lang w:val="en-US"/>
        </w:rPr>
        <w:t>subtle changes in transcription of single genes for enzymes that utilize a given metabolite as can result in poor signal-to-noise ratio and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w:t>
      </w:r>
      <w:r>
        <w:rPr>
          <w:rFonts w:ascii="Arial" w:hAnsi="Arial" w:hint="default"/>
          <w:sz w:val="22"/>
          <w:szCs w:val="22"/>
          <w:shd w:val="clear" w:color="auto" w:fill="ffffff"/>
          <w:rtl w:val="0"/>
          <w:lang w:val="en-US"/>
        </w:rPr>
        <w:t>’</w:t>
      </w:r>
      <w:r>
        <w:rPr>
          <w:rFonts w:ascii="Arial" w:hAnsi="Arial"/>
          <w:sz w:val="22"/>
          <w:szCs w:val="22"/>
          <w:shd w:val="clear" w:color="auto" w:fill="ffffff"/>
          <w:rtl w:val="0"/>
          <w:lang w:val="en-US"/>
        </w:rPr>
        <w:t xml:space="preserve">s environment. For example, a traditional transcriptomic analysis indicated that sorbitol is the most likely carbon source of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Our results are also supported </w:t>
      </w:r>
      <w:r>
        <w:rPr>
          <w:rFonts w:ascii="Arial" w:hAnsi="Arial"/>
          <w:sz w:val="22"/>
          <w:szCs w:val="22"/>
          <w:rtl w:val="0"/>
          <w:lang w:val="en-US"/>
        </w:rPr>
        <w:t xml:space="preserve">previous mass spectrometry-based efforts </w:t>
      </w:r>
      <w:r>
        <w:rPr>
          <w:rFonts w:ascii="Arial" w:hAnsi="Arial"/>
          <w:sz w:val="22"/>
          <w:szCs w:val="22"/>
          <w:rtl w:val="0"/>
          <w:lang w:val="en-US"/>
        </w:rPr>
        <w:t>analyzing the metabolome</w:t>
      </w:r>
      <w:r>
        <w:rPr>
          <w:rFonts w:ascii="Arial" w:hAnsi="Arial"/>
          <w:sz w:val="22"/>
          <w:szCs w:val="22"/>
          <w:rtl w:val="0"/>
          <w:lang w:val="en-US"/>
        </w:rPr>
        <w:t xml:space="preserve"> </w:t>
      </w:r>
      <w:r>
        <w:rPr>
          <w:rFonts w:ascii="Arial" w:hAnsi="Arial"/>
          <w:sz w:val="22"/>
          <w:szCs w:val="22"/>
          <w:rtl w:val="0"/>
          <w:lang w:val="en-US"/>
        </w:rPr>
        <w:t xml:space="preserve">from mouse </w:t>
      </w:r>
      <w:r>
        <w:rPr>
          <w:rFonts w:ascii="Arial" w:hAnsi="Arial"/>
          <w:sz w:val="22"/>
          <w:szCs w:val="22"/>
          <w:rtl w:val="0"/>
          <w:lang w:val="en-US"/>
        </w:rPr>
        <w:t xml:space="preserve">intestinal content </w:t>
      </w:r>
      <w:r>
        <w:rPr>
          <w:rFonts w:ascii="Arial" w:hAnsi="Arial"/>
          <w:sz w:val="22"/>
          <w:szCs w:val="22"/>
          <w:rtl w:val="0"/>
          <w:lang w:val="en-US"/>
        </w:rPr>
        <w:t>treated under similar conditions to those used in the current study</w:t>
      </w:r>
      <w:r>
        <w:rPr>
          <w:rFonts w:ascii="Arial" w:hAnsi="Arial"/>
          <w:sz w:val="22"/>
          <w:szCs w:val="22"/>
          <w:rtl w:val="0"/>
          <w:lang w:val="en-US"/>
        </w:rPr>
        <w:t>. These investigation</w:t>
      </w:r>
      <w:r>
        <w:rPr>
          <w:rFonts w:ascii="Arial" w:hAnsi="Arial"/>
          <w:sz w:val="22"/>
          <w:szCs w:val="22"/>
          <w:rtl w:val="0"/>
          <w:lang w:val="en-US"/>
        </w:rPr>
        <w:t>s</w:t>
      </w:r>
      <w:r>
        <w:rPr>
          <w:rFonts w:ascii="Arial" w:hAnsi="Arial"/>
          <w:sz w:val="22"/>
          <w:szCs w:val="22"/>
          <w:rtl w:val="0"/>
          <w:lang w:val="en-US"/>
        </w:rPr>
        <w:t xml:space="preserve"> reveal that </w:t>
      </w:r>
      <w:r>
        <w:rPr>
          <w:rFonts w:ascii="Arial" w:hAnsi="Arial"/>
          <w:sz w:val="22"/>
          <w:szCs w:val="22"/>
          <w:rtl w:val="0"/>
          <w:lang w:val="en-US"/>
        </w:rPr>
        <w:t>several</w:t>
      </w:r>
      <w:r>
        <w:rPr>
          <w:rFonts w:ascii="Arial" w:hAnsi="Arial"/>
          <w:sz w:val="22"/>
          <w:szCs w:val="22"/>
          <w:rtl w:val="0"/>
          <w:lang w:val="en-US"/>
        </w:rPr>
        <w:t xml:space="preserve">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6a</w:t>
      </w:r>
      <w:r>
        <w:rPr>
          <w:rFonts w:ascii="Arial" w:hAnsi="Arial"/>
          <w:sz w:val="22"/>
          <w:szCs w:val="22"/>
          <w:rtl w:val="0"/>
          <w:lang w:val="en-US"/>
        </w:rPr>
        <w:t xml:space="preserve"> </w:t>
      </w:r>
      <w:r>
        <w:rPr>
          <w:rFonts w:ascii="Arial" w:hAnsi="Arial"/>
          <w:sz w:val="22"/>
          <w:szCs w:val="22"/>
          <w:rtl w:val="0"/>
          <w:lang w:val="en-US"/>
        </w:rPr>
        <w:t>&amp;</w:t>
      </w:r>
      <w:r>
        <w:rPr>
          <w:rFonts w:ascii="Arial" w:hAnsi="Arial"/>
          <w:sz w:val="22"/>
          <w:szCs w:val="22"/>
          <w:rtl w:val="0"/>
          <w:lang w:val="en-US"/>
        </w:rPr>
        <w:t xml:space="preserve"> 6</w:t>
      </w:r>
      <w:r>
        <w:rPr>
          <w:rFonts w:ascii="Arial" w:hAnsi="Arial"/>
          <w:sz w:val="22"/>
          <w:szCs w:val="22"/>
          <w:rtl w:val="0"/>
          <w:lang w:val="en-US"/>
        </w:rPr>
        <w:t xml:space="preserve">b), are increased in the gastrointestinal tract of mice in the corresponding treatment group. </w:t>
      </w:r>
      <w:r>
        <w:rPr>
          <w:rFonts w:ascii="Arial" w:hAnsi="Arial"/>
          <w:sz w:val="22"/>
          <w:szCs w:val="22"/>
          <w:rtl w:val="0"/>
          <w:lang w:val="en-US"/>
        </w:rPr>
        <w:t>One recent study found that</w:t>
      </w:r>
      <w:r>
        <w:rPr>
          <w:rFonts w:ascii="Arial" w:hAnsi="Arial"/>
          <w:sz w:val="22"/>
          <w:szCs w:val="22"/>
          <w:rtl w:val="0"/>
          <w:lang w:val="en-US"/>
        </w:rPr>
        <w:t xml:space="preserv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w:t>
      </w:r>
      <w:r>
        <w:rPr>
          <w:rFonts w:ascii="Arial" w:hAnsi="Arial"/>
          <w:sz w:val="22"/>
          <w:szCs w:val="22"/>
          <w:rtl w:val="0"/>
          <w:lang w:val="en-US"/>
        </w:rPr>
        <w:t xml:space="preserve"> (</w:t>
      </w:r>
      <w:r>
        <w:rPr>
          <w:rFonts w:ascii="Arial" w:hAnsi="Arial"/>
          <w:sz w:val="22"/>
          <w:szCs w:val="22"/>
          <w:rtl w:val="0"/>
          <w:lang w:val="en-US"/>
        </w:rPr>
        <w:t>Theriot, 2013</w:t>
      </w:r>
      <w:r>
        <w:rPr>
          <w:rFonts w:ascii="Arial" w:hAnsi="Arial"/>
          <w:sz w:val="22"/>
          <w:szCs w:val="22"/>
          <w:rtl w:val="0"/>
          <w:lang w:val="en-US"/>
        </w:rPr>
        <w:t>)</w:t>
      </w:r>
      <w:r>
        <w:rPr>
          <w:rFonts w:ascii="Arial" w:hAnsi="Arial"/>
          <w:sz w:val="22"/>
          <w:szCs w:val="22"/>
          <w:rtl w:val="0"/>
          <w:lang w:val="en-US"/>
        </w:rPr>
        <w:t xml:space="preserve">. </w:t>
      </w:r>
      <w:r>
        <w:rPr>
          <w:rFonts w:ascii="Arial" w:hAnsi="Arial"/>
          <w:sz w:val="22"/>
          <w:szCs w:val="22"/>
          <w:rtl w:val="0"/>
          <w:lang w:val="en-US"/>
        </w:rPr>
        <w:t>Similar</w:t>
      </w:r>
      <w:r>
        <w:rPr>
          <w:rFonts w:ascii="Arial" w:hAnsi="Arial"/>
          <w:sz w:val="22"/>
          <w:szCs w:val="22"/>
          <w:rtl w:val="0"/>
          <w:lang w:val="en-US"/>
        </w:rPr>
        <w:t xml:space="preserve"> trend</w:t>
      </w:r>
      <w:r>
        <w:rPr>
          <w:rFonts w:ascii="Arial" w:hAnsi="Arial"/>
          <w:sz w:val="22"/>
          <w:szCs w:val="22"/>
          <w:rtl w:val="0"/>
          <w:lang w:val="en-US"/>
        </w:rPr>
        <w:t xml:space="preserve">s of increased concentration for </w:t>
      </w:r>
      <w:r>
        <w:rPr>
          <w:rFonts w:ascii="Arial" w:hAnsi="Arial"/>
          <w:i w:val="1"/>
          <w:iCs w:val="1"/>
          <w:sz w:val="22"/>
          <w:szCs w:val="22"/>
          <w:rtl w:val="0"/>
          <w:lang w:val="en-US"/>
        </w:rPr>
        <w:t>C. difficile</w:t>
      </w:r>
      <w:r>
        <w:rPr>
          <w:rFonts w:ascii="Arial" w:hAnsi="Arial"/>
          <w:sz w:val="22"/>
          <w:szCs w:val="22"/>
          <w:rtl w:val="0"/>
          <w:lang w:val="en-US"/>
        </w:rPr>
        <w:t xml:space="preserve"> growth substrates are</w:t>
      </w:r>
      <w:r>
        <w:rPr>
          <w:rFonts w:ascii="Arial" w:hAnsi="Arial"/>
          <w:sz w:val="22"/>
          <w:szCs w:val="22"/>
          <w:rtl w:val="0"/>
          <w:lang w:val="en-US"/>
        </w:rPr>
        <w:t xml:space="preserve"> also true in streptomycin</w:t>
      </w:r>
      <w:r>
        <w:rPr>
          <w:rFonts w:ascii="Arial" w:hAnsi="Arial"/>
          <w:sz w:val="22"/>
          <w:szCs w:val="22"/>
          <w:rtl w:val="0"/>
          <w:lang w:val="en-US"/>
        </w:rPr>
        <w:t>-treated conventional (amino sugars and fructose; Antunes, 2011) and</w:t>
      </w:r>
      <w:r>
        <w:rPr>
          <w:rFonts w:ascii="Arial" w:hAnsi="Arial"/>
          <w:sz w:val="22"/>
          <w:szCs w:val="22"/>
          <w:rtl w:val="0"/>
          <w:lang w:val="en-US"/>
        </w:rPr>
        <w:t xml:space="preserve"> GF mice </w:t>
      </w:r>
      <w:r>
        <w:rPr>
          <w:rFonts w:ascii="Arial" w:hAnsi="Arial"/>
          <w:sz w:val="22"/>
          <w:szCs w:val="22"/>
          <w:rtl w:val="0"/>
          <w:lang w:val="en-US"/>
        </w:rPr>
        <w:t xml:space="preserve">(N-acetylneurminate; </w:t>
      </w:r>
      <w:r>
        <w:rPr>
          <w:rFonts w:ascii="Arial" w:hAnsi="Arial"/>
          <w:sz w:val="22"/>
          <w:szCs w:val="22"/>
          <w:rtl w:val="0"/>
          <w:lang w:val="en-US"/>
        </w:rPr>
        <w:t>Matsumoto, 2012</w:t>
      </w:r>
      <w:r>
        <w:rPr>
          <w:rFonts w:ascii="Arial" w:hAnsi="Arial"/>
          <w:sz w:val="22"/>
          <w:szCs w:val="22"/>
          <w:rtl w:val="0"/>
          <w:lang w:val="en-US"/>
        </w:rPr>
        <w:t xml:space="preserve">). </w:t>
      </w:r>
      <w:r>
        <w:rPr>
          <w:rFonts w:ascii="Arial" w:hAnsi="Arial"/>
          <w:sz w:val="22"/>
          <w:szCs w:val="22"/>
          <w:rtl w:val="0"/>
          <w:lang w:val="en-US"/>
        </w:rPr>
        <w:t xml:space="preserve">Interestingly, </w:t>
      </w:r>
      <w:r>
        <w:rPr>
          <w:rFonts w:ascii="Arial" w:hAnsi="Arial"/>
          <w:sz w:val="22"/>
          <w:szCs w:val="22"/>
          <w:rtl w:val="0"/>
          <w:lang w:val="en-US"/>
        </w:rPr>
        <w:t>t</w:t>
      </w:r>
      <w:r>
        <w:rPr>
          <w:rFonts w:ascii="Arial" w:hAnsi="Arial"/>
          <w:sz w:val="22"/>
          <w:szCs w:val="22"/>
          <w:rtl w:val="0"/>
          <w:lang w:val="en-US"/>
        </w:rPr>
        <w:t xml:space="preserve">he capacity </w:t>
      </w:r>
      <w:r>
        <w:rPr>
          <w:rFonts w:ascii="Arial" w:hAnsi="Arial"/>
          <w:sz w:val="22"/>
          <w:szCs w:val="22"/>
          <w:rtl w:val="0"/>
          <w:lang w:val="en-US"/>
        </w:rPr>
        <w:t xml:space="preserve">for bacteria </w:t>
      </w:r>
      <w:r>
        <w:rPr>
          <w:rFonts w:ascii="Arial" w:hAnsi="Arial"/>
          <w:sz w:val="22"/>
          <w:szCs w:val="22"/>
          <w:rtl w:val="0"/>
          <w:lang w:val="en-US"/>
        </w:rPr>
        <w:t>to catabolize th</w:t>
      </w:r>
      <w:r>
        <w:rPr>
          <w:rFonts w:ascii="Arial" w:hAnsi="Arial"/>
          <w:sz w:val="22"/>
          <w:szCs w:val="22"/>
          <w:rtl w:val="0"/>
          <w:lang w:val="en-US"/>
        </w:rPr>
        <w:t>e</w:t>
      </w:r>
      <w:r>
        <w:rPr>
          <w:rFonts w:ascii="Arial" w:hAnsi="Arial"/>
          <w:sz w:val="22"/>
          <w:szCs w:val="22"/>
          <w:rtl w:val="0"/>
          <w:lang w:val="en-US"/>
        </w:rPr>
        <w:t xml:space="preserve"> amino sugar</w:t>
      </w:r>
      <w:r>
        <w:rPr>
          <w:rFonts w:ascii="Arial" w:hAnsi="Arial"/>
          <w:sz w:val="22"/>
          <w:szCs w:val="22"/>
          <w:rtl w:val="0"/>
          <w:lang w:val="en-US"/>
        </w:rPr>
        <w:t xml:space="preserve"> N-acetylneurminate</w:t>
      </w:r>
      <w:r>
        <w:rPr>
          <w:rFonts w:ascii="Arial" w:hAnsi="Arial"/>
          <w:sz w:val="22"/>
          <w:szCs w:val="22"/>
          <w:rtl w:val="0"/>
          <w:lang w:val="en-US"/>
        </w:rPr>
        <w:t xml:space="preserve"> is highly distributed among species that inhabit the mammalian gut (Vimr, 2004). This </w:t>
      </w:r>
      <w:r>
        <w:rPr>
          <w:rFonts w:ascii="Arial" w:hAnsi="Arial"/>
          <w:sz w:val="22"/>
          <w:szCs w:val="22"/>
          <w:rtl w:val="0"/>
          <w:lang w:val="en-US"/>
        </w:rPr>
        <w:t xml:space="preserve">may </w:t>
      </w:r>
      <w:r>
        <w:rPr>
          <w:rFonts w:ascii="Arial" w:hAnsi="Arial"/>
          <w:sz w:val="22"/>
          <w:szCs w:val="22"/>
          <w:rtl w:val="0"/>
          <w:lang w:val="en-US"/>
        </w:rPr>
        <w:t>mean that N-acetylneuraminate is strongly competed for by the healthy microbiota</w:t>
      </w:r>
      <w:r>
        <w:rPr>
          <w:rFonts w:ascii="Arial" w:hAnsi="Arial"/>
          <w:sz w:val="22"/>
          <w:szCs w:val="22"/>
          <w:rtl w:val="0"/>
          <w:lang w:val="en-US"/>
        </w:rPr>
        <w:t xml:space="preserve"> and </w:t>
      </w:r>
      <w:r>
        <w:rPr>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rtl w:val="0"/>
          <w:lang w:val="en-US"/>
        </w:rPr>
        <w:t>can only access it in the absence of all other competitors</w:t>
      </w:r>
      <w:r>
        <w:rPr>
          <w:rFonts w:ascii="Arial" w:hAnsi="Arial"/>
          <w:sz w:val="22"/>
          <w:szCs w:val="22"/>
          <w:rtl w:val="0"/>
          <w:lang w:val="en-US"/>
        </w:rPr>
        <w:t xml:space="preserve">. Together, these results provide evidence that our network-based approach accurately predicts which metabolites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in a given environments and that these changes are most likely due to nutrient availability.</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In addition to exploring differential patterns in known metabolism, our modeling approach also allows for the identification of emergent properties for the metabolic strategy of </w:t>
      </w:r>
      <w:r>
        <w:rPr>
          <w:rFonts w:ascii="Arial" w:hAnsi="Arial"/>
          <w:i w:val="1"/>
          <w:iCs w:val="1"/>
          <w:sz w:val="22"/>
          <w:szCs w:val="22"/>
          <w:rtl w:val="0"/>
          <w:lang w:val="en-US"/>
        </w:rPr>
        <w:t>C. difficile</w:t>
      </w:r>
      <w:r>
        <w:rPr>
          <w:rFonts w:ascii="Arial" w:hAnsi="Arial"/>
          <w:sz w:val="22"/>
          <w:szCs w:val="22"/>
          <w:rtl w:val="0"/>
          <w:lang w:val="en-US"/>
        </w:rPr>
        <w:t xml:space="preserve"> during infection. This </w:t>
      </w:r>
      <w:r>
        <w:rPr>
          <w:rFonts w:ascii="Arial" w:hAnsi="Arial"/>
          <w:sz w:val="22"/>
          <w:szCs w:val="22"/>
          <w:rtl w:val="0"/>
          <w:lang w:val="en-US"/>
        </w:rPr>
        <w:t>may be evident in the appearance of apparent metabolic end products score as highly important input metabolites (ex. CO</w:t>
      </w:r>
      <w:r>
        <w:rPr>
          <w:rFonts w:ascii="Arial" w:hAnsi="Arial"/>
          <w:sz w:val="22"/>
          <w:szCs w:val="22"/>
          <w:vertAlign w:val="subscript"/>
          <w:rtl w:val="0"/>
          <w:lang w:val="en-US"/>
        </w:rPr>
        <w:t>2</w:t>
      </w:r>
      <w:r>
        <w:rPr>
          <w:rFonts w:ascii="Arial" w:hAnsi="Arial"/>
          <w:sz w:val="22"/>
          <w:szCs w:val="22"/>
          <w:rtl w:val="0"/>
          <w:lang w:val="en-US"/>
        </w:rPr>
        <w:t>)</w:t>
      </w:r>
      <w:r>
        <w:rPr>
          <w:rFonts w:ascii="Arial" w:hAnsi="Arial"/>
          <w:sz w:val="22"/>
          <w:szCs w:val="22"/>
          <w:rtl w:val="0"/>
          <w:lang w:val="en-US"/>
        </w:rPr>
        <w:t xml:space="preserve"> (Fig. 6a)</w:t>
      </w:r>
      <w:r>
        <w:rPr>
          <w:rFonts w:ascii="Arial" w:hAnsi="Arial"/>
          <w:sz w:val="22"/>
          <w:szCs w:val="22"/>
          <w:rtl w:val="0"/>
          <w:lang w:val="en-US"/>
        </w:rPr>
        <w:t>. While this may be a shortcoming inherent in database-driven research, it could instead serve as evidence for yet unappreciated aspects of a bacterium</w:t>
      </w:r>
      <w:r>
        <w:rPr>
          <w:rFonts w:ascii="Arial" w:hAnsi="Arial" w:hint="default"/>
          <w:sz w:val="22"/>
          <w:szCs w:val="22"/>
          <w:rtl w:val="0"/>
          <w:lang w:val="en-US"/>
        </w:rPr>
        <w:t>’</w:t>
      </w:r>
      <w:r>
        <w:rPr>
          <w:rFonts w:ascii="Arial" w:hAnsi="Arial"/>
          <w:sz w:val="22"/>
          <w:szCs w:val="22"/>
          <w:rtl w:val="0"/>
          <w:lang w:val="en-US"/>
        </w:rPr>
        <w:t xml:space="preserve">s metabolism. Along these lines, one group has posited that </w:t>
      </w:r>
      <w:r>
        <w:rPr>
          <w:rFonts w:ascii="Arial" w:hAnsi="Arial"/>
          <w:i w:val="1"/>
          <w:iCs w:val="1"/>
          <w:sz w:val="22"/>
          <w:szCs w:val="22"/>
          <w:rtl w:val="0"/>
          <w:lang w:val="en-US"/>
        </w:rPr>
        <w:t>C. difficile</w:t>
      </w:r>
      <w:r>
        <w:rPr>
          <w:rFonts w:ascii="Arial" w:hAnsi="Arial"/>
          <w:sz w:val="22"/>
          <w:szCs w:val="22"/>
          <w:rtl w:val="0"/>
          <w:lang w:val="en-US"/>
        </w:rPr>
        <w:t xml:space="preserve"> may actually be autotrophic under certain conditions which could explain the appearance of CO</w:t>
      </w:r>
      <w:r>
        <w:rPr>
          <w:rFonts w:ascii="Arial" w:hAnsi="Arial"/>
          <w:sz w:val="22"/>
          <w:szCs w:val="22"/>
          <w:vertAlign w:val="subscript"/>
          <w:rtl w:val="0"/>
          <w:lang w:val="en-US"/>
        </w:rPr>
        <w:t>2</w:t>
      </w:r>
      <w:r>
        <w:rPr>
          <w:rFonts w:ascii="Arial" w:hAnsi="Arial"/>
          <w:sz w:val="22"/>
          <w:szCs w:val="22"/>
          <w:rtl w:val="0"/>
          <w:lang w:val="en-US"/>
        </w:rPr>
        <w:t xml:space="preserve"> in the conserved metabolite list between all conditions (Kopke, 2013). </w:t>
      </w:r>
      <w:r>
        <w:rPr>
          <w:rFonts w:ascii="Arial" w:hAnsi="Arial"/>
          <w:sz w:val="22"/>
          <w:szCs w:val="22"/>
          <w:rtl w:val="0"/>
          <w:lang w:val="en-US"/>
        </w:rPr>
        <w:t xml:space="preserve">Another interesting result is that </w:t>
      </w:r>
      <w:r>
        <w:rPr>
          <w:rFonts w:ascii="Arial" w:hAnsi="Arial"/>
          <w:sz w:val="22"/>
          <w:szCs w:val="22"/>
          <w:rtl w:val="0"/>
          <w:lang w:val="en-US"/>
        </w:rPr>
        <w:t>2,4</w:t>
      </w:r>
      <w:r>
        <w:rPr>
          <w:rFonts w:ascii="Arial" w:hAnsi="Arial" w:hint="default"/>
          <w:sz w:val="22"/>
          <w:szCs w:val="22"/>
          <w:rtl w:val="0"/>
          <w:lang w:val="en-US"/>
        </w:rPr>
        <w:t>−</w:t>
      </w:r>
      <w:r>
        <w:rPr>
          <w:rFonts w:ascii="Arial" w:hAnsi="Arial"/>
          <w:sz w:val="22"/>
          <w:szCs w:val="22"/>
          <w:rtl w:val="0"/>
          <w:lang w:val="en-US"/>
        </w:rPr>
        <w:t>Diamino</w:t>
      </w:r>
      <w:r>
        <w:rPr>
          <w:rFonts w:ascii="Arial" w:hAnsi="Arial" w:hint="default"/>
          <w:sz w:val="22"/>
          <w:szCs w:val="22"/>
          <w:rtl w:val="0"/>
          <w:lang w:val="en-US"/>
        </w:rPr>
        <w:t>−</w:t>
      </w:r>
      <w:r>
        <w:rPr>
          <w:rFonts w:ascii="Arial" w:hAnsi="Arial"/>
          <w:sz w:val="22"/>
          <w:szCs w:val="22"/>
          <w:rtl w:val="0"/>
          <w:lang w:val="en-US"/>
        </w:rPr>
        <w:t>6</w:t>
      </w:r>
      <w:r>
        <w:rPr>
          <w:rFonts w:ascii="Arial" w:hAnsi="Arial" w:hint="default"/>
          <w:sz w:val="22"/>
          <w:szCs w:val="22"/>
          <w:rtl w:val="0"/>
          <w:lang w:val="en-US"/>
        </w:rPr>
        <w:t>−</w:t>
      </w:r>
      <w:r>
        <w:rPr>
          <w:rFonts w:ascii="Arial" w:hAnsi="Arial"/>
          <w:sz w:val="22"/>
          <w:szCs w:val="22"/>
          <w:rtl w:val="0"/>
          <w:lang w:val="en-US"/>
        </w:rPr>
        <w:t xml:space="preserve">nitrotoluene </w:t>
      </w:r>
      <w:r>
        <w:rPr>
          <w:rFonts w:ascii="Arial" w:hAnsi="Arial"/>
          <w:sz w:val="22"/>
          <w:szCs w:val="22"/>
          <w:rtl w:val="0"/>
          <w:lang w:val="en-US"/>
        </w:rPr>
        <w:t xml:space="preserve">appears to be distinctly important to </w:t>
      </w:r>
      <w:r>
        <w:rPr>
          <w:rFonts w:ascii="Arial" w:hAnsi="Arial"/>
          <w:i w:val="1"/>
          <w:iCs w:val="1"/>
          <w:sz w:val="22"/>
          <w:szCs w:val="22"/>
          <w:rtl w:val="0"/>
          <w:lang w:val="en-US"/>
        </w:rPr>
        <w:t>C. difficile</w:t>
      </w:r>
      <w:r>
        <w:rPr>
          <w:rFonts w:ascii="Arial" w:hAnsi="Arial"/>
          <w:sz w:val="22"/>
          <w:szCs w:val="22"/>
          <w:rtl w:val="0"/>
          <w:lang w:val="en-US"/>
        </w:rPr>
        <w:t xml:space="preserve"> when colonizing cefoperazone-treated mice (Fig 6b). While it is highly unlikely the </w:t>
      </w:r>
      <w:r>
        <w:rPr>
          <w:rFonts w:ascii="Arial" w:hAnsi="Arial"/>
          <w:i w:val="1"/>
          <w:iCs w:val="1"/>
          <w:sz w:val="22"/>
          <w:szCs w:val="22"/>
          <w:rtl w:val="0"/>
          <w:lang w:val="en-US"/>
        </w:rPr>
        <w:t>C. difficile</w:t>
      </w:r>
      <w:r>
        <w:rPr>
          <w:rFonts w:ascii="Arial" w:hAnsi="Arial"/>
          <w:sz w:val="22"/>
          <w:szCs w:val="22"/>
          <w:rtl w:val="0"/>
          <w:lang w:val="en-US"/>
        </w:rPr>
        <w:t xml:space="preserve"> is encountering 2,4,6-trinitrotoluene (commonly TNT) in the gut, it is much more likely that it is acting on an analogous nitroaromatic compound that may present from the degradation of xenobiotic molecules from other organisms (citation). This trait has not been previously documented in </w:t>
      </w:r>
      <w:r>
        <w:rPr>
          <w:rFonts w:ascii="Arial" w:hAnsi="Arial"/>
          <w:i w:val="1"/>
          <w:iCs w:val="1"/>
          <w:sz w:val="22"/>
          <w:szCs w:val="22"/>
          <w:rtl w:val="0"/>
          <w:lang w:val="en-US"/>
        </w:rPr>
        <w:t>C. difficile</w:t>
      </w:r>
      <w:r>
        <w:rPr>
          <w:rFonts w:ascii="Arial" w:hAnsi="Arial"/>
          <w:sz w:val="22"/>
          <w:szCs w:val="22"/>
          <w:rtl w:val="0"/>
          <w:lang w:val="en-US"/>
        </w:rPr>
        <w:t>. A</w:t>
      </w:r>
      <w:r>
        <w:rPr>
          <w:rFonts w:ascii="Arial" w:hAnsi="Arial"/>
          <w:sz w:val="22"/>
          <w:szCs w:val="22"/>
          <w:rtl w:val="0"/>
          <w:lang w:val="en-US"/>
        </w:rPr>
        <w:t xml:space="preserve">s such, this platform may also prove informative for generating hypotheses </w:t>
      </w:r>
      <w:r>
        <w:rPr>
          <w:rFonts w:ascii="Arial" w:hAnsi="Arial"/>
          <w:sz w:val="22"/>
          <w:szCs w:val="22"/>
          <w:rtl w:val="0"/>
          <w:lang w:val="en-US"/>
        </w:rPr>
        <w:t xml:space="preserve">through </w:t>
      </w:r>
      <w:r>
        <w:rPr>
          <w:rFonts w:ascii="Arial" w:hAnsi="Arial"/>
          <w:sz w:val="22"/>
          <w:szCs w:val="22"/>
          <w:rtl w:val="0"/>
          <w:lang w:val="en-US"/>
        </w:rPr>
        <w:t>reverse ecology that could ultimately lead to uncovering new edges of competition between species.</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While these methods are powerful for identifying </w:t>
      </w:r>
      <w:r>
        <w:rPr>
          <w:rFonts w:ascii="Arial" w:hAnsi="Arial" w:hint="default"/>
          <w:sz w:val="22"/>
          <w:szCs w:val="22"/>
          <w:rtl w:val="0"/>
          <w:lang w:val="en-US"/>
        </w:rPr>
        <w:t xml:space="preserve">…  </w:t>
      </w:r>
      <w:r>
        <w:rPr>
          <w:rFonts w:ascii="Arial" w:hAnsi="Arial"/>
          <w:sz w:val="22"/>
          <w:szCs w:val="22"/>
          <w:rtl w:val="0"/>
          <w:lang w:val="en-US"/>
        </w:rPr>
        <w:t>the are limitations</w:t>
      </w:r>
      <w:r>
        <w:rPr>
          <w:rFonts w:ascii="Arial" w:hAnsi="Arial" w:hint="default"/>
          <w:sz w:val="22"/>
          <w:szCs w:val="22"/>
          <w:rtl w:val="0"/>
          <w:lang w:val="en-US"/>
        </w:rPr>
        <w:t>…</w:t>
      </w:r>
    </w:p>
    <w:p>
      <w:pPr>
        <w:pStyle w:val="Default"/>
        <w:spacing w:line="480" w:lineRule="auto"/>
        <w:ind w:firstLine="709"/>
        <w:jc w:val="both"/>
        <w:rPr>
          <w:rFonts w:ascii="Arial" w:cs="Arial" w:hAnsi="Arial" w:eastAsia="Arial"/>
          <w:sz w:val="22"/>
          <w:szCs w:val="22"/>
        </w:rPr>
      </w:pP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Annotation limitations</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One potential limitation of the metabolite importance calculation is the inherent dependency on gene and enzyme database annotation.</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Only for those reactions we know about</w:t>
      </w:r>
      <w:r>
        <w:rPr>
          <w:rFonts w:ascii="Arial" w:hAnsi="Arial" w:hint="default"/>
          <w:sz w:val="22"/>
          <w:szCs w:val="22"/>
          <w:rtl w:val="0"/>
          <w:lang w:val="en-US"/>
        </w:rPr>
        <w:t>…</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Another potential shortcoming is that the database-driven workflow presented here assumes that the annotated biochemical reactions are mono-directional. Although this is not a complete reflection of an organism</w:t>
      </w:r>
      <w:r>
        <w:rPr>
          <w:rFonts w:ascii="Arial" w:hAnsi="Arial" w:hint="default"/>
          <w:sz w:val="22"/>
          <w:szCs w:val="22"/>
          <w:rtl w:val="0"/>
          <w:lang w:val="en-US"/>
        </w:rPr>
        <w:t>’</w:t>
      </w:r>
      <w:r>
        <w:rPr>
          <w:rFonts w:ascii="Arial" w:hAnsi="Arial"/>
          <w:sz w:val="22"/>
          <w:szCs w:val="22"/>
          <w:rtl w:val="0"/>
          <w:lang w:val="en-US"/>
        </w:rPr>
        <w:t xml:space="preserve">s physiology, this approach was chosen to increase signal for input metabolites to the network. We </w:t>
      </w:r>
      <w:r>
        <w:rPr>
          <w:rFonts w:ascii="Arial" w:hAnsi="Arial"/>
          <w:sz w:val="22"/>
          <w:szCs w:val="22"/>
          <w:rtl w:val="0"/>
          <w:lang w:val="en-US"/>
        </w:rPr>
        <w:t>felt</w:t>
      </w:r>
      <w:r>
        <w:rPr>
          <w:rFonts w:ascii="Arial" w:hAnsi="Arial"/>
          <w:sz w:val="22"/>
          <w:szCs w:val="22"/>
          <w:rtl w:val="0"/>
          <w:lang w:val="en-US"/>
        </w:rPr>
        <w:t xml:space="preserve"> this</w:t>
      </w:r>
      <w:r>
        <w:rPr>
          <w:rFonts w:ascii="Arial" w:hAnsi="Arial"/>
          <w:sz w:val="22"/>
          <w:szCs w:val="22"/>
          <w:rtl w:val="0"/>
          <w:lang w:val="en-US"/>
        </w:rPr>
        <w:t xml:space="preserve"> was</w:t>
      </w:r>
      <w:r>
        <w:rPr>
          <w:rFonts w:ascii="Arial" w:hAnsi="Arial"/>
          <w:sz w:val="22"/>
          <w:szCs w:val="22"/>
          <w:rtl w:val="0"/>
          <w:lang w:val="en-US"/>
        </w:rPr>
        <w:t xml:space="preserve"> justified because </w:t>
      </w:r>
      <w:r>
        <w:rPr>
          <w:rFonts w:ascii="Arial" w:hAnsi="Arial"/>
          <w:sz w:val="22"/>
          <w:szCs w:val="22"/>
          <w:rtl w:val="0"/>
          <w:lang w:val="en-US"/>
        </w:rPr>
        <w:t>a single</w:t>
      </w:r>
      <w:r>
        <w:rPr>
          <w:rFonts w:ascii="Arial" w:hAnsi="Arial"/>
          <w:sz w:val="22"/>
          <w:szCs w:val="22"/>
          <w:rtl w:val="0"/>
          <w:lang w:val="en-US"/>
        </w:rPr>
        <w:t xml:space="preserve"> direction</w:t>
      </w:r>
      <w:r>
        <w:rPr>
          <w:rFonts w:ascii="Arial" w:hAnsi="Arial"/>
          <w:sz w:val="22"/>
          <w:szCs w:val="22"/>
          <w:rtl w:val="0"/>
          <w:lang w:val="en-US"/>
        </w:rPr>
        <w:t>,</w:t>
      </w:r>
      <w:r>
        <w:rPr>
          <w:rFonts w:ascii="Arial" w:hAnsi="Arial"/>
          <w:sz w:val="22"/>
          <w:szCs w:val="22"/>
          <w:rtl w:val="0"/>
          <w:lang w:val="en-US"/>
        </w:rPr>
        <w:t xml:space="preserve"> in the vast majority of enzyme-mediated reactions</w:t>
      </w:r>
      <w:r>
        <w:rPr>
          <w:rFonts w:ascii="Arial" w:hAnsi="Arial"/>
          <w:sz w:val="22"/>
          <w:szCs w:val="22"/>
          <w:rtl w:val="0"/>
          <w:lang w:val="en-US"/>
        </w:rPr>
        <w:t>,</w:t>
      </w:r>
      <w:r>
        <w:rPr>
          <w:rFonts w:ascii="Arial" w:hAnsi="Arial"/>
          <w:sz w:val="22"/>
          <w:szCs w:val="22"/>
          <w:rtl w:val="0"/>
          <w:lang w:val="en-US"/>
        </w:rPr>
        <w:t xml:space="preserve"> is </w:t>
      </w:r>
      <w:r>
        <w:rPr>
          <w:rFonts w:ascii="Arial" w:hAnsi="Arial"/>
          <w:sz w:val="22"/>
          <w:szCs w:val="22"/>
          <w:rtl w:val="0"/>
          <w:lang w:val="en-US"/>
        </w:rPr>
        <w:t xml:space="preserve">far </w:t>
      </w:r>
      <w:r>
        <w:rPr>
          <w:rFonts w:ascii="Arial" w:hAnsi="Arial"/>
          <w:sz w:val="22"/>
          <w:szCs w:val="22"/>
          <w:rtl w:val="0"/>
          <w:lang w:val="en-US"/>
        </w:rPr>
        <w:t>more energetically favorable (Uzman, 2000). Concordantly, this minimizes the likelihood of labeling reactions as producing a given metabolite when in reality are consuming it, artificially decreasing a metabolite</w:t>
      </w:r>
      <w:r>
        <w:rPr>
          <w:rFonts w:ascii="Arial" w:hAnsi="Arial" w:hint="default"/>
          <w:sz w:val="22"/>
          <w:szCs w:val="22"/>
          <w:rtl w:val="0"/>
          <w:lang w:val="en-US"/>
        </w:rPr>
        <w:t>’</w:t>
      </w:r>
      <w:r>
        <w:rPr>
          <w:rFonts w:ascii="Arial" w:hAnsi="Arial"/>
          <w:sz w:val="22"/>
          <w:szCs w:val="22"/>
          <w:rtl w:val="0"/>
          <w:lang w:val="en-US"/>
        </w:rPr>
        <w:t>s importance score.</w:t>
      </w:r>
    </w:p>
    <w:p>
      <w:pPr>
        <w:pStyle w:val="Default"/>
        <w:spacing w:line="480" w:lineRule="auto"/>
        <w:jc w:val="both"/>
        <w:rPr>
          <w:rFonts w:ascii="Arial" w:cs="Arial" w:hAnsi="Arial" w:eastAsia="Arial"/>
          <w:sz w:val="22"/>
          <w:szCs w:val="22"/>
        </w:rPr>
      </w:pPr>
      <w:r>
        <w:rPr>
          <w:rFonts w:ascii="Arial" w:cs="Arial" w:hAnsi="Arial" w:eastAsia="Arial"/>
          <w:sz w:val="22"/>
          <w:szCs w:val="22"/>
          <w:rtl w:val="0"/>
        </w:rPr>
        <w:tab/>
        <w:t>Biological limitations</w:t>
      </w:r>
    </w:p>
    <w:p>
      <w:pPr>
        <w:pStyle w:val="Default"/>
        <w:spacing w:line="480" w:lineRule="auto"/>
        <w:jc w:val="both"/>
      </w:pPr>
      <w:r>
        <w:rPr>
          <w:rFonts w:ascii="Arial" w:cs="Arial" w:hAnsi="Arial" w:eastAsia="Arial"/>
          <w:sz w:val="22"/>
          <w:szCs w:val="22"/>
          <w:rtl w:val="0"/>
        </w:rPr>
        <w:tab/>
        <w:t>Does not account for biomass production rates...</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This method also operates under the oversimplification that all detectable transcript is then translated to complete effector proteins.  </w:t>
      </w:r>
    </w:p>
    <w:p>
      <w:pPr>
        <w:pStyle w:val="Default"/>
        <w:spacing w:line="480" w:lineRule="auto"/>
        <w:ind w:firstLine="709"/>
        <w:jc w:val="both"/>
        <w:rPr>
          <w:rFonts w:ascii="Arial" w:cs="Arial" w:hAnsi="Arial" w:eastAsia="Arial"/>
          <w:sz w:val="22"/>
          <w:szCs w:val="22"/>
        </w:rPr>
      </w:pPr>
      <w:r>
        <w:rPr>
          <w:rFonts w:ascii="Arial" w:hAnsi="Arial"/>
          <w:sz w:val="22"/>
          <w:szCs w:val="22"/>
          <w:rtl w:val="0"/>
          <w:lang w:val="en-US"/>
        </w:rPr>
        <w:t xml:space="preserve">This model </w:t>
      </w:r>
      <w:r>
        <w:rPr>
          <w:rFonts w:ascii="Arial" w:hAnsi="Arial"/>
          <w:sz w:val="22"/>
          <w:szCs w:val="22"/>
          <w:rtl w:val="0"/>
          <w:lang w:val="en-US"/>
        </w:rPr>
        <w:t>only accounts for transcription immediately surrounding metabolite nodes. May be beneficial to incorporate some importance from metabolites one removed from each metabolite node.</w:t>
      </w:r>
    </w:p>
    <w:p>
      <w:pPr>
        <w:pStyle w:val="Default"/>
        <w:spacing w:line="480" w:lineRule="auto"/>
        <w:ind w:firstLine="709"/>
        <w:jc w:val="both"/>
      </w:pPr>
      <w:r>
        <w:rPr>
          <w:rFonts w:ascii="Arial" w:hAnsi="Arial"/>
          <w:sz w:val="22"/>
          <w:szCs w:val="22"/>
          <w:rtl w:val="0"/>
          <w:lang w:val="en-US"/>
        </w:rPr>
        <w:t>In spite of the limitations discussed above, and b</w:t>
      </w:r>
      <w:r>
        <w:rPr>
          <w:rFonts w:ascii="Arial" w:hAnsi="Arial"/>
          <w:sz w:val="22"/>
          <w:szCs w:val="22"/>
          <w:rtl w:val="0"/>
          <w:lang w:val="en-US"/>
        </w:rPr>
        <w:t xml:space="preserve">ased on the </w:t>
      </w:r>
      <w:r>
        <w:rPr>
          <w:rFonts w:ascii="Arial" w:hAnsi="Arial"/>
          <w:sz w:val="22"/>
          <w:szCs w:val="22"/>
          <w:rtl w:val="0"/>
          <w:lang w:val="en-US"/>
        </w:rPr>
        <w:t>evidence</w:t>
      </w:r>
      <w:r>
        <w:rPr>
          <w:rFonts w:ascii="Arial" w:hAnsi="Arial"/>
          <w:sz w:val="22"/>
          <w:szCs w:val="22"/>
          <w:rtl w:val="0"/>
          <w:lang w:val="en-US"/>
        </w:rPr>
        <w:t xml:space="preserve"> presented here, our </w:t>
      </w:r>
      <w:r>
        <w:rPr>
          <w:rFonts w:ascii="Arial" w:hAnsi="Arial"/>
          <w:sz w:val="22"/>
          <w:szCs w:val="22"/>
          <w:rtl w:val="0"/>
          <w:lang w:val="en-US"/>
        </w:rPr>
        <w:t>results</w:t>
      </w:r>
      <w:r>
        <w:rPr>
          <w:rFonts w:ascii="Arial" w:hAnsi="Arial"/>
          <w:sz w:val="22"/>
          <w:szCs w:val="22"/>
          <w:rtl w:val="0"/>
          <w:lang w:val="en-US"/>
        </w:rPr>
        <w:t xml:space="preserve">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distinct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distinct nutrient availabilities across vulnerable gut environments which it colonizes.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w:t>
      </w:r>
    </w:p>
    <w:p>
      <w:pPr>
        <w:pStyle w:val="Default"/>
        <w:spacing w:line="480" w:lineRule="auto"/>
        <w:jc w:val="both"/>
      </w:pPr>
    </w:p>
    <w:p>
      <w:pPr>
        <w:pStyle w:val="Default"/>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Fonts w:ascii="Arial" w:hAnsi="Arial"/>
          <w:i w:val="1"/>
          <w:iCs w:val="1"/>
          <w:sz w:val="22"/>
          <w:szCs w:val="22"/>
          <w:rtl w:val="0"/>
          <w:lang w:val="en-US"/>
        </w:rPr>
        <w:t>ad libitum</w:t>
      </w:r>
      <w:r>
        <w:rPr>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w:rFonts w:ascii="Arial" w:cs="Arial" w:hAnsi="Arial" w:eastAsia="Arial"/>
          <w:sz w:val="22"/>
          <w:szCs w:val="22"/>
          <w:shd w:val="clear" w:color="auto" w:fill="ffff00"/>
        </w:rPr>
      </w:pPr>
    </w:p>
    <w:p>
      <w:pPr>
        <w:pStyle w:val="Default"/>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w:t>
      </w:r>
      <w:r>
        <w:rPr>
          <w:rStyle w:val="None"/>
          <w:rFonts w:ascii="Arial" w:hAnsi="Arial"/>
          <w:sz w:val="22"/>
          <w:szCs w:val="22"/>
          <w:rtl w:val="0"/>
          <w:lang w:val="en-US"/>
        </w:rPr>
        <w:t>to the smallest sequencing effort within each analysis,</w:t>
      </w:r>
      <w:r>
        <w:rPr>
          <w:rStyle w:val="None"/>
          <w:rFonts w:ascii="Arial" w:hAnsi="Arial"/>
          <w:sz w:val="22"/>
          <w:szCs w:val="22"/>
          <w:rtl w:val="0"/>
          <w:lang w:val="en-US"/>
        </w:rPr>
        <w:t xml:space="preserve"> </w:t>
      </w:r>
      <w:r>
        <w:rPr>
          <w:rStyle w:val="None"/>
          <w:rFonts w:ascii="Arial" w:hAnsi="Arial"/>
          <w:sz w:val="22"/>
          <w:szCs w:val="22"/>
          <w:rtl w:val="0"/>
          <w:lang w:val="en-US"/>
        </w:rPr>
        <w:t>and</w:t>
      </w:r>
      <w:r>
        <w:rPr>
          <w:rStyle w:val="None"/>
          <w:rFonts w:ascii="Arial" w:hAnsi="Arial"/>
          <w:sz w:val="22"/>
          <w:szCs w:val="22"/>
          <w:rtl w:val="0"/>
          <w:lang w:val="en-US"/>
        </w:rPr>
        <w:t xml:space="preserve"> </w:t>
      </w:r>
      <w:r>
        <w:rPr>
          <w:rStyle w:val="None"/>
          <w:rFonts w:ascii="Arial" w:hAnsi="Arial"/>
          <w:sz w:val="22"/>
          <w:szCs w:val="22"/>
          <w:rtl w:val="0"/>
          <w:lang w:val="en-US"/>
        </w:rPr>
        <w:t>a</w:t>
      </w:r>
      <w:r>
        <w:rPr>
          <w:rStyle w:val="None"/>
          <w:rFonts w:ascii="Arial" w:hAnsi="Arial"/>
          <w:sz w:val="22"/>
          <w:szCs w:val="22"/>
          <w:rtl w:val="0"/>
          <w:lang w:val="en-US"/>
        </w:rPr>
        <w:t xml:space="preserve"> median expression value for each gene</w:t>
      </w:r>
      <w:r>
        <w:rPr>
          <w:rStyle w:val="None"/>
          <w:rFonts w:ascii="Arial" w:hAnsi="Arial"/>
          <w:sz w:val="22"/>
          <w:szCs w:val="22"/>
          <w:rtl w:val="0"/>
          <w:lang w:val="en-US"/>
        </w:rPr>
        <w:t xml:space="preserve"> was calculated</w:t>
      </w:r>
      <w:r>
        <w:rPr>
          <w:rStyle w:val="None"/>
          <w:rFonts w:ascii="Arial" w:hAnsi="Arial"/>
          <w:sz w:val="22"/>
          <w:szCs w:val="22"/>
          <w:rtl w:val="0"/>
          <w:lang w:val="en-US"/>
        </w:rPr>
        <w:t>.  A detailed protocol for re</w:t>
      </w:r>
      <w:r>
        <w:rPr>
          <w:rStyle w:val="None"/>
          <w:rFonts w:ascii="Arial" w:hAnsi="Arial"/>
          <w:sz w:val="22"/>
          <w:szCs w:val="22"/>
          <w:rtl w:val="0"/>
          <w:lang w:val="en-US"/>
        </w:rPr>
        <w:t>a</w:t>
      </w:r>
      <w:r>
        <w:rPr>
          <w:rStyle w:val="None"/>
          <w:rFonts w:ascii="Arial" w:hAnsi="Arial"/>
          <w:sz w:val="22"/>
          <w:szCs w:val="22"/>
          <w:rtl w:val="0"/>
          <w:lang w:val="en-US"/>
        </w:rPr>
        <w:t xml:space="preserv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Reaction Annotation &amp; Bipartite Network Construction.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Hyperlink.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2"/>
      <w:r>
        <w:rPr>
          <w:rStyle w:val="Hyperlink.2"/>
          <w:rtl w:val="0"/>
          <w:lang w:val="en-US"/>
        </w:rPr>
        <w:t>(</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Hyperlink.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Hyperlink.2"/>
          <w:rtl w:val="0"/>
          <w:lang w:val="en-US"/>
        </w:rPr>
        <w:t>)</w:t>
      </w:r>
      <w:bookmarkEnd w:id="2"/>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i</w:t>
      </w:r>
      <w:r>
        <w:rPr>
          <w:rStyle w:val="Hyperlink.2"/>
          <w:rtl w:val="0"/>
          <w:lang w:val="en-US"/>
        </w:rPr>
        <w:t xml:space="preserve"> </w:t>
      </w:r>
      <w:r>
        <w:rPr>
          <w:rStyle w:val="None"/>
          <w:rFonts w:ascii="Arial" w:hAnsi="Arial" w:hint="default"/>
          <w:color w:val="222222"/>
          <w:sz w:val="22"/>
          <w:szCs w:val="22"/>
          <w:u w:val="none"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o</w:t>
      </w:r>
      <w:r>
        <w:rPr>
          <w:rStyle w:val="Hyperlink.2"/>
          <w:rtl w:val="0"/>
          <w:lang w:val="en-US"/>
        </w:rPr>
        <w:t>)</w:t>
        <w:tab/>
        <w:tab/>
        <w:tab/>
        <w:t xml:space="preserve">(ii)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o</w:t>
      </w:r>
      <w:r>
        <w:rPr>
          <w:rStyle w:val="Hyperlink.2"/>
          <w:rtl w:val="0"/>
          <w:lang w:val="en-US"/>
        </w:rPr>
        <w:t xml:space="preserve"> = </w:t>
      </w:r>
      <w:r>
        <w:rPr>
          <w:rStyle w:val="None"/>
          <w:sz w:val="28"/>
          <w:szCs w:val="28"/>
          <w:rtl w:val="0"/>
          <w:lang w:val="en-US"/>
        </w:rPr>
        <w:t>Σ</w:t>
      </w:r>
      <w:r>
        <w:rPr>
          <w:rStyle w:val="Hyperlink.2"/>
          <w:rtl w:val="0"/>
          <w:lang w:val="en-US"/>
        </w:rPr>
        <w:t>t</w:t>
      </w:r>
      <w:r>
        <w:rPr>
          <w:rStyle w:val="None"/>
          <w:rFonts w:ascii="Arial" w:hAnsi="Arial"/>
          <w:sz w:val="22"/>
          <w:szCs w:val="22"/>
          <w:vertAlign w:val="subscript"/>
          <w:rtl w:val="0"/>
          <w:lang w:val="en-US"/>
        </w:rPr>
        <w:t>o</w:t>
      </w:r>
      <w:r>
        <w:rPr>
          <w:rStyle w:val="Hyperlink.2"/>
          <w:rtl w:val="0"/>
          <w:lang w:val="en-US"/>
        </w:rPr>
        <w:t xml:space="preserve"> </w:t>
      </w:r>
      <w:r>
        <w:rPr>
          <w:rStyle w:val="None"/>
          <w:rFonts w:ascii="Arial" w:hAnsi="Arial" w:hint="default"/>
          <w:color w:val="222222"/>
          <w:sz w:val="22"/>
          <w:szCs w:val="22"/>
          <w:u w:val="none" w:color="222222"/>
          <w:rtl w:val="0"/>
          <w:lang w:val="en-US"/>
        </w:rPr>
        <w:t>÷</w:t>
      </w:r>
      <w:r>
        <w:rPr>
          <w:rStyle w:val="Hyperlink.2"/>
          <w:rtl w:val="0"/>
          <w:lang w:val="en-US"/>
        </w:rPr>
        <w:t xml:space="preserve"> </w:t>
      </w:r>
      <w:r>
        <w:rPr>
          <w:rStyle w:val="None"/>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w:rFonts w:ascii="Arial" w:hAnsi="Arial"/>
          <w:sz w:val="22"/>
          <w:szCs w:val="22"/>
          <w:vertAlign w:val="subscript"/>
          <w:rtl w:val="0"/>
          <w:lang w:val="en-US"/>
        </w:rPr>
        <w:t>i</w:t>
      </w:r>
      <w:r>
        <w:rPr>
          <w:rStyle w:val="Hyperlink.2"/>
          <w:rtl w:val="0"/>
          <w:lang w:val="en-US"/>
        </w:rPr>
        <w:t>)</w:t>
      </w:r>
    </w:p>
    <w:p>
      <w:pPr>
        <w:pStyle w:val="Default"/>
        <w:spacing w:line="480" w:lineRule="auto"/>
      </w:pPr>
      <w:r>
        <w:rPr>
          <w:rStyle w:val="Hyperlink.2"/>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w:rFonts w:ascii="PT Serif Caption" w:hAnsi="PT Serif Caption"/>
          <w:sz w:val="22"/>
          <w:szCs w:val="22"/>
          <w:rtl w:val="0"/>
          <w:lang w:val="en-US"/>
        </w:rPr>
        <w:t>I</w:t>
      </w:r>
      <w:r>
        <w:rPr>
          <w:rStyle w:val="None"/>
          <w:rFonts w:ascii="Arial" w:hAnsi="Arial"/>
          <w:sz w:val="22"/>
          <w:szCs w:val="22"/>
          <w:vertAlign w:val="subscript"/>
          <w:rtl w:val="0"/>
          <w:lang w:val="en-US"/>
        </w:rPr>
        <w:t>m</w:t>
      </w:r>
      <w:r>
        <w:rPr>
          <w:rStyle w:val="Hyperlink.2"/>
          <w:rtl w:val="0"/>
          <w:lang w:val="en-US"/>
        </w:rPr>
        <w:t xml:space="preserve"> =</w:t>
      </w:r>
      <w:r>
        <w:rPr>
          <w:rStyle w:val="Hyperlink.2"/>
          <w:rtl w:val="0"/>
          <w:lang w:val="en-US"/>
        </w:rPr>
        <w:t xml:space="preserve"> Log</w:t>
      </w:r>
      <w:r>
        <w:rPr>
          <w:rStyle w:val="None"/>
          <w:rFonts w:ascii="Arial" w:hAnsi="Arial"/>
          <w:sz w:val="22"/>
          <w:szCs w:val="22"/>
          <w:vertAlign w:val="subscript"/>
          <w:rtl w:val="0"/>
          <w:lang w:val="en-US"/>
        </w:rPr>
        <w:t>2</w:t>
      </w:r>
      <w:bookmarkStart w:name="MathJaxElement43Frame1" w:id="3"/>
      <w:r>
        <w:rPr>
          <w:rStyle w:val="Hyperlink.2"/>
          <w:rtl w:val="0"/>
          <w:lang w:val="en-US"/>
        </w:rPr>
        <w:t>(</w:t>
      </w:r>
      <w:bookmarkEnd w:id="3"/>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i</w:t>
      </w:r>
      <w:r>
        <w:rPr>
          <w:rStyle w:val="Hyperlink.2"/>
          <w:rtl w:val="0"/>
          <w:lang w:val="en-US"/>
        </w:rPr>
        <w:t xml:space="preserve"> – </w:t>
      </w:r>
      <w:r>
        <w:rPr>
          <w:rStyle w:val="None"/>
          <w:rFonts w:ascii="LM Roman Unslanted 10" w:cs="LM Roman Unslanted 10" w:hAnsi="LM Roman Unslanted 10" w:eastAsia="LM Roman Unslanted 10"/>
          <w:i w:val="1"/>
          <w:iCs w:val="1"/>
          <w:sz w:val="22"/>
          <w:szCs w:val="22"/>
          <w:rtl w:val="0"/>
          <w:lang w:val="en-US"/>
        </w:rPr>
        <w:t>µ</w:t>
      </w:r>
      <w:r>
        <w:rPr>
          <w:rStyle w:val="None"/>
          <w:rFonts w:ascii="Arial" w:hAnsi="Arial"/>
          <w:sz w:val="22"/>
          <w:szCs w:val="22"/>
          <w:vertAlign w:val="subscript"/>
          <w:rtl w:val="0"/>
          <w:lang w:val="en-US"/>
        </w:rPr>
        <w:t>o</w:t>
      </w:r>
      <w:bookmarkStart w:name="MathJaxElement43Frame2" w:id="4"/>
      <w:r>
        <w:rPr>
          <w:rStyle w:val="Hyperlink.2"/>
          <w:rtl w:val="0"/>
          <w:lang w:val="en-US"/>
        </w:rPr>
        <w:t>)</w:t>
      </w:r>
    </w:p>
    <w:p>
      <w:pPr>
        <w:pStyle w:val="Default"/>
        <w:spacing w:line="480" w:lineRule="auto"/>
      </w:pPr>
      <w:r>
        <w:rPr>
          <w:rStyle w:val="Hyperlink.2"/>
          <w:rtl w:val="0"/>
          <w:lang w:val="en-US"/>
        </w:rPr>
        <w:t>The difference is Log</w:t>
      </w:r>
      <w:r>
        <w:rPr>
          <w:rStyle w:val="None"/>
          <w:rFonts w:ascii="Arial" w:hAnsi="Arial"/>
          <w:sz w:val="22"/>
          <w:szCs w:val="22"/>
          <w:vertAlign w:val="subscript"/>
          <w:rtl w:val="0"/>
          <w:lang w:val="en-US"/>
        </w:rPr>
        <w:t>2</w:t>
      </w:r>
      <w:r>
        <w:rPr>
          <w:rStyle w:val="Hyperlink.2"/>
          <w:rtl w:val="0"/>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w:rFonts w:ascii="Arial" w:hAnsi="Arial"/>
          <w:b w:val="1"/>
          <w:bCs w:val="1"/>
          <w:sz w:val="22"/>
          <w:szCs w:val="22"/>
          <w:rtl w:val="0"/>
          <w:lang w:val="en-US"/>
        </w:rPr>
        <w:t>B</w:t>
      </w:r>
      <w:r>
        <w:rPr>
          <w:rStyle w:val="Hyperlink.2"/>
          <w:rtl w:val="0"/>
          <w:lang w:val="en-US"/>
        </w:rPr>
        <w:t>acter</w:t>
      </w:r>
      <w:r>
        <w:rPr>
          <w:rStyle w:val="None"/>
          <w:rFonts w:ascii="Arial" w:hAnsi="Arial"/>
          <w:b w:val="1"/>
          <w:bCs w:val="1"/>
          <w:sz w:val="22"/>
          <w:szCs w:val="22"/>
          <w:rtl w:val="0"/>
          <w:lang w:val="en-US"/>
        </w:rPr>
        <w:t>I</w:t>
      </w:r>
      <w:r>
        <w:rPr>
          <w:rStyle w:val="Hyperlink.2"/>
          <w:rtl w:val="0"/>
          <w:lang w:val="en-US"/>
        </w:rPr>
        <w:t xml:space="preserve">al </w:t>
      </w:r>
      <w:r>
        <w:rPr>
          <w:rStyle w:val="None"/>
          <w:rFonts w:ascii="Arial" w:hAnsi="Arial"/>
          <w:b w:val="1"/>
          <w:bCs w:val="1"/>
          <w:sz w:val="22"/>
          <w:szCs w:val="22"/>
          <w:rtl w:val="0"/>
          <w:lang w:val="en-US"/>
        </w:rPr>
        <w:t>G</w:t>
      </w:r>
      <w:r>
        <w:rPr>
          <w:rStyle w:val="Hyperlink.2"/>
          <w:rtl w:val="0"/>
          <w:lang w:val="en-US"/>
        </w:rPr>
        <w:t>enome-</w:t>
      </w:r>
      <w:r>
        <w:rPr>
          <w:rStyle w:val="None"/>
          <w:rFonts w:ascii="Arial" w:hAnsi="Arial"/>
          <w:b w:val="1"/>
          <w:bCs w:val="1"/>
          <w:sz w:val="22"/>
          <w:szCs w:val="22"/>
          <w:rtl w:val="0"/>
          <w:lang w:val="en-US"/>
        </w:rPr>
        <w:t>S</w:t>
      </w:r>
      <w:r>
        <w:rPr>
          <w:rStyle w:val="Hyperlink.2"/>
          <w:rtl w:val="0"/>
          <w:lang w:val="en-US"/>
        </w:rPr>
        <w:t xml:space="preserve">cale </w:t>
      </w:r>
      <w:r>
        <w:rPr>
          <w:rStyle w:val="None"/>
          <w:rFonts w:ascii="Arial" w:hAnsi="Arial"/>
          <w:b w:val="1"/>
          <w:bCs w:val="1"/>
          <w:sz w:val="22"/>
          <w:szCs w:val="22"/>
          <w:rtl w:val="0"/>
          <w:lang w:val="en-US"/>
        </w:rPr>
        <w:t>M</w:t>
      </w:r>
      <w:r>
        <w:rPr>
          <w:rStyle w:val="Hyperlink.2"/>
          <w:rtl w:val="0"/>
          <w:lang w:val="en-US"/>
        </w:rPr>
        <w:t xml:space="preserve">etabolic models for </w:t>
      </w:r>
      <w:r>
        <w:rPr>
          <w:rStyle w:val="None"/>
          <w:rFonts w:ascii="Arial" w:hAnsi="Arial"/>
          <w:b w:val="1"/>
          <w:bCs w:val="1"/>
          <w:sz w:val="22"/>
          <w:szCs w:val="22"/>
          <w:rtl w:val="0"/>
          <w:lang w:val="en-US"/>
        </w:rPr>
        <w:t>A</w:t>
      </w:r>
      <w:r>
        <w:rPr>
          <w:rStyle w:val="Hyperlink.2"/>
          <w:rtl w:val="0"/>
          <w:lang w:val="en-US"/>
        </w:rPr>
        <w:t>pp</w:t>
      </w:r>
      <w:r>
        <w:rPr>
          <w:rStyle w:val="None"/>
          <w:rFonts w:ascii="Arial" w:hAnsi="Arial"/>
          <w:b w:val="1"/>
          <w:bCs w:val="1"/>
          <w:sz w:val="22"/>
          <w:szCs w:val="22"/>
          <w:rtl w:val="0"/>
          <w:lang w:val="en-US"/>
        </w:rPr>
        <w:t>L</w:t>
      </w:r>
      <w:r>
        <w:rPr>
          <w:rStyle w:val="Hyperlink.2"/>
          <w:rtl w:val="0"/>
          <w:lang w:val="en-US"/>
        </w:rPr>
        <w:t>ied reverse eco</w:t>
      </w:r>
      <w:r>
        <w:rPr>
          <w:rStyle w:val="None"/>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Hyperlink.2"/>
        </w:rPr>
      </w:pPr>
      <w:bookmarkStart w:name="MathJaxElement43Frame3" w:id="5"/>
      <w:r>
        <w:rPr>
          <w:rStyle w:val="None"/>
          <w:rFonts w:ascii="Arial" w:hAnsi="Arial"/>
          <w:b w:val="1"/>
          <w:bCs w:val="1"/>
          <w:sz w:val="22"/>
          <w:szCs w:val="22"/>
          <w:rtl w:val="0"/>
          <w:lang w:val="en-US"/>
        </w:rPr>
        <w:t>Transcriptome Bootstrapping and Probability Distribution Comparison.</w:t>
      </w:r>
      <w:bookmarkEnd w:id="5"/>
      <w:bookmarkEnd w:id="4"/>
      <w:r>
        <w:rPr>
          <w:rStyle w:val="None"/>
          <w:rFonts w:ascii="Arial" w:hAnsi="Arial"/>
          <w:b w:val="1"/>
          <w:bCs w:val="1"/>
          <w:sz w:val="22"/>
          <w:szCs w:val="22"/>
          <w:rtl w:val="0"/>
          <w:lang w:val="en-US"/>
        </w:rPr>
        <w:t xml:space="preserve"> </w:t>
      </w:r>
      <w:r>
        <w:rPr>
          <w:rStyle w:val="Hyperlink.2"/>
          <w:rtl w:val="0"/>
          <w:lang w:val="en-US"/>
        </w:rPr>
        <w:t xml:space="preserve">As sequencing replicates of </w:t>
      </w:r>
      <w:r>
        <w:rPr>
          <w:rStyle w:val="None"/>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w:t>
      </w:r>
      <w:r>
        <w:rPr>
          <w:rStyle w:val="Hyperlink.2"/>
          <w:rtl w:val="0"/>
          <w:lang w:val="en-US"/>
        </w:rPr>
        <w:t xml:space="preserve"> in order to ultimately generate a </w:t>
      </w:r>
      <w:r>
        <w:rPr>
          <w:rStyle w:val="None"/>
          <w:rFonts w:ascii="Arial" w:hAnsi="Arial"/>
          <w:i w:val="1"/>
          <w:iCs w:val="1"/>
          <w:sz w:val="22"/>
          <w:szCs w:val="22"/>
          <w:rtl w:val="0"/>
          <w:lang w:val="en-US"/>
        </w:rPr>
        <w:t>p</w:t>
      </w:r>
      <w:r>
        <w:rPr>
          <w:rStyle w:val="Hyperlink.2"/>
          <w:rtl w:val="0"/>
          <w:lang w:val="en-US"/>
        </w:rPr>
        <w:t>-value for each metabolite</w:t>
      </w:r>
      <w:r>
        <w:rPr>
          <w:rStyle w:val="Hyperlink.2"/>
          <w:rtl w:val="0"/>
          <w:lang w:val="en-US"/>
        </w:rPr>
        <w:t xml:space="preserve">. This is a superior approach to topology randomization since the connections of the network itself was created through natural selection and any large-scale alterations would yield biologically uninformative comparisons. These calculations are also included within the standard </w:t>
      </w:r>
      <w:r>
        <w:rPr>
          <w:rStyle w:val="Hyperlink.2"/>
          <w:rtl w:val="0"/>
          <w:lang w:val="en-US"/>
        </w:rPr>
        <w:t>bigSMALL</w:t>
      </w:r>
      <w:r>
        <w:rPr>
          <w:rStyle w:val="Hyperlink.2"/>
          <w:rtl w:val="0"/>
          <w:lang w:val="en-US"/>
        </w:rPr>
        <w:t xml:space="preserve"> workflow presented above.</w:t>
      </w:r>
    </w:p>
    <w:p>
      <w:pPr>
        <w:pStyle w:val="Default"/>
        <w:spacing w:line="480" w:lineRule="auto"/>
        <w:jc w:val="both"/>
        <w:rPr>
          <w:rStyle w:val="Hyperlink.2"/>
        </w:rPr>
      </w:pPr>
      <w:bookmarkStart w:name="MathJaxElement43Frame5" w:id="6"/>
    </w:p>
    <w:p>
      <w:pPr>
        <w:pStyle w:val="Default"/>
        <w:spacing w:line="480" w:lineRule="auto"/>
        <w:jc w:val="both"/>
        <w:rPr>
          <w:rStyle w:val="Hyperlink.2"/>
        </w:rPr>
      </w:pPr>
      <w:r>
        <w:rPr>
          <w:rStyle w:val="None"/>
          <w:rFonts w:ascii="Arial" w:hAnsi="Arial"/>
          <w:b w:val="1"/>
          <w:bCs w:val="1"/>
          <w:sz w:val="22"/>
          <w:szCs w:val="22"/>
          <w:rtl w:val="0"/>
          <w:lang w:val="en-US"/>
        </w:rPr>
        <w:t xml:space="preserve">Measuring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of acetate with high performance liquid chromatography (HPLC).</w:t>
      </w:r>
      <w:r>
        <w:rPr>
          <w:rStyle w:val="Hyperlink.2"/>
          <w:rtl w:val="0"/>
          <w:lang w:val="en-US"/>
        </w:rPr>
        <w:t xml:space="preserve"> Cecal samples were prepped </w:t>
      </w:r>
      <w:r>
        <w:rPr>
          <w:rStyle w:val="Hyperlink.2"/>
          <w:rtl w:val="0"/>
          <w:lang w:val="en-US"/>
        </w:rPr>
        <w:t xml:space="preserve">… </w:t>
      </w:r>
      <w:r>
        <w:rPr>
          <w:rStyle w:val="Hyperlink.2"/>
          <w:rtl w:val="0"/>
          <w:lang w:val="en-US"/>
        </w:rPr>
        <w:t>Values were normalized to</w:t>
      </w:r>
      <w:r>
        <w:rPr>
          <w:rStyle w:val="Hyperlink.2"/>
          <w:rtl w:val="0"/>
          <w:lang w:val="en-US"/>
        </w:rPr>
        <w:t xml:space="preserve">… </w:t>
      </w:r>
      <w:r>
        <w:rPr>
          <w:rStyle w:val="Hyperlink.2"/>
          <w:rtl w:val="0"/>
          <w:lang w:val="en-US"/>
        </w:rPr>
        <w:t>All assays were performed at the University of Michigan Metabolomics Core</w:t>
      </w:r>
      <w:r>
        <w:rPr>
          <w:rStyle w:val="Hyperlink.2"/>
          <w:rtl w:val="0"/>
          <w:lang w:val="en-US"/>
        </w:rPr>
        <w:t xml:space="preserve"> in Ann Arbor, MI</w:t>
      </w:r>
      <w:r>
        <w:rPr>
          <w:rStyle w:val="Hyperlink.2"/>
          <w:rtl w:val="0"/>
          <w:lang w:val="en-US"/>
        </w:rPr>
        <w:t>.</w:t>
      </w:r>
    </w:p>
    <w:p>
      <w:pPr>
        <w:pStyle w:val="Default"/>
        <w:spacing w:line="480" w:lineRule="auto"/>
        <w:jc w:val="both"/>
        <w:rPr>
          <w:rStyle w:val="Hyperlink.2"/>
        </w:rPr>
      </w:pPr>
    </w:p>
    <w:p>
      <w:pPr>
        <w:pStyle w:val="Default"/>
        <w:spacing w:line="480" w:lineRule="auto"/>
        <w:jc w:val="both"/>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Hyperlink.2"/>
          <w:rtl w:val="0"/>
          <w:lang w:val="en-US"/>
        </w:rPr>
        <w:t>, 92.0% N, 0.0% O</w:t>
      </w:r>
      <w:r>
        <w:rPr>
          <w:rStyle w:val="None"/>
          <w:rFonts w:ascii="Arial" w:hAnsi="Arial"/>
          <w:sz w:val="22"/>
          <w:szCs w:val="22"/>
          <w:vertAlign w:val="subscript"/>
          <w:rtl w:val="0"/>
          <w:lang w:val="en-US"/>
        </w:rPr>
        <w:t>2</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w:rFonts w:ascii="Arial" w:hAnsi="Arial"/>
          <w:b w:val="1"/>
          <w:bCs w:val="1"/>
          <w:sz w:val="22"/>
          <w:szCs w:val="22"/>
          <w:rtl w:val="0"/>
          <w:lang w:val="en-US"/>
        </w:rPr>
        <w:t>Figure Legends</w:t>
      </w:r>
    </w:p>
    <w:p>
      <w:pPr>
        <w:pStyle w:val="Default"/>
        <w:spacing w:line="480" w:lineRule="auto"/>
        <w:jc w:val="both"/>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Hyperlink.2"/>
          <w:rtl w:val="0"/>
          <w:lang w:val="en-US"/>
        </w:rPr>
        <w:t xml:space="preserve"> Streptomycin or </w:t>
      </w:r>
      <w:r>
        <w:rPr>
          <w:rStyle w:val="None"/>
          <w:rFonts w:ascii="Arial" w:hAnsi="Arial"/>
          <w:b w:val="1"/>
          <w:bCs w:val="1"/>
          <w:sz w:val="22"/>
          <w:szCs w:val="22"/>
          <w:rtl w:val="0"/>
          <w:lang w:val="en-US"/>
        </w:rPr>
        <w:t>(b)</w:t>
      </w:r>
      <w:r>
        <w:rPr>
          <w:rStyle w:val="Hyperlink.2"/>
          <w:rtl w:val="0"/>
          <w:lang w:val="en-US"/>
        </w:rPr>
        <w:t xml:space="preserve"> cefoperazone administered </w:t>
      </w:r>
      <w:r>
        <w:rPr>
          <w:rStyle w:val="None"/>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w:rFonts w:ascii="Arial" w:hAnsi="Arial"/>
          <w:sz w:val="22"/>
          <w:szCs w:val="22"/>
          <w:vertAlign w:val="superscript"/>
          <w:rtl w:val="0"/>
          <w:lang w:val="en-US"/>
        </w:rPr>
        <w:t>3</w:t>
      </w:r>
      <w:r>
        <w:rPr>
          <w:rStyle w:val="Hyperlink.2"/>
          <w:rtl w:val="0"/>
          <w:lang w:val="en-US"/>
        </w:rPr>
        <w:t xml:space="preserve"> </w:t>
      </w:r>
      <w:r>
        <w:rPr>
          <w:rStyle w:val="None"/>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 xml:space="preserve">(b) </w:t>
      </w:r>
      <w:r>
        <w:rPr>
          <w:rStyle w:val="None"/>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w:rFonts w:ascii="Arial" w:hAnsi="Arial"/>
          <w:i w:val="1"/>
          <w:iCs w:val="1"/>
          <w:sz w:val="22"/>
          <w:szCs w:val="22"/>
          <w:rtl w:val="0"/>
          <w:lang w:val="en-US"/>
        </w:rPr>
        <w:t>P</w:t>
      </w:r>
      <w:r>
        <w:rPr>
          <w:rStyle w:val="Hyperlink.2"/>
          <w:rtl w:val="0"/>
          <w:lang w:val="en-US"/>
        </w:rPr>
        <w:t xml:space="preserve"> &lt; 0.05). </w:t>
      </w:r>
      <w:r>
        <w:rPr>
          <w:rStyle w:val="None"/>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val="1"/>
          <w:iCs w:val="1"/>
          <w:sz w:val="22"/>
          <w:szCs w:val="22"/>
          <w:rtl w:val="0"/>
          <w:lang w:val="en-US"/>
        </w:rPr>
        <w:t>P</w:t>
      </w:r>
      <w:r>
        <w:rPr>
          <w:rStyle w:val="Hyperlink.2"/>
          <w:rtl w:val="0"/>
          <w:lang w:val="en-US"/>
        </w:rPr>
        <w:t xml:space="preserve"> &lt; 0.05). UD* in </w:t>
      </w:r>
      <w:r>
        <w:rPr>
          <w:rStyle w:val="None"/>
          <w:rFonts w:ascii="Arial" w:hAnsi="Arial"/>
          <w:b w:val="1"/>
          <w:bCs w:val="1"/>
          <w:sz w:val="22"/>
          <w:szCs w:val="22"/>
          <w:rtl w:val="0"/>
          <w:lang w:val="en-US"/>
        </w:rPr>
        <w:t>a</w:t>
      </w:r>
      <w:r>
        <w:rPr>
          <w:rStyle w:val="Hyperlink.2"/>
          <w:rtl w:val="0"/>
          <w:lang w:val="en-US"/>
        </w:rPr>
        <w:t>,</w:t>
      </w:r>
      <w:r>
        <w:rPr>
          <w:rStyle w:val="None"/>
          <w:rFonts w:ascii="Arial" w:hAnsi="Arial"/>
          <w:b w:val="1"/>
          <w:bCs w:val="1"/>
          <w:sz w:val="22"/>
          <w:szCs w:val="22"/>
          <w:rtl w:val="0"/>
          <w:lang w:val="en-US"/>
        </w:rPr>
        <w:t>b</w:t>
      </w:r>
      <w:r>
        <w:rPr>
          <w:rStyle w:val="Hyperlink.2"/>
          <w:rtl w:val="0"/>
          <w:lang w:val="en-US"/>
        </w:rPr>
        <w:t>,</w:t>
      </w:r>
      <w:r>
        <w:rPr>
          <w:rStyle w:val="None"/>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w:rFonts w:ascii="Arial" w:hAnsi="Arial"/>
          <w:i w:val="1"/>
          <w:iCs w:val="1"/>
          <w:sz w:val="22"/>
          <w:szCs w:val="22"/>
          <w:rtl w:val="0"/>
          <w:lang w:val="en-US"/>
        </w:rPr>
        <w:t>C. difficile</w:t>
      </w:r>
      <w:r>
        <w:rPr>
          <w:rStyle w:val="Hyperlink.2"/>
          <w:rtl w:val="0"/>
          <w:lang w:val="en-US"/>
        </w:rPr>
        <w:t xml:space="preserve"> in each condition. </w:t>
      </w:r>
      <w:r>
        <w:rPr>
          <w:rStyle w:val="None"/>
          <w:rFonts w:ascii="Arial" w:hAnsi="Arial"/>
          <w:b w:val="1"/>
          <w:bCs w:val="1"/>
          <w:sz w:val="22"/>
          <w:szCs w:val="22"/>
          <w:rtl w:val="0"/>
          <w:lang w:val="en-US"/>
        </w:rPr>
        <w:t>(a)</w:t>
      </w:r>
      <w:r>
        <w:rPr>
          <w:rStyle w:val="Hyperlink.2"/>
          <w:rtl w:val="0"/>
          <w:lang w:val="en-US"/>
        </w:rPr>
        <w:t xml:space="preserve"> Select genes from the </w:t>
      </w:r>
      <w:r>
        <w:rPr>
          <w:rStyle w:val="None"/>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Hyperlink.2"/>
          <w:rtl w:val="0"/>
          <w:lang w:val="en-US"/>
        </w:rPr>
        <w:t xml:space="preserve"> Genes for effector proteins included in the </w:t>
      </w:r>
      <w:r>
        <w:rPr>
          <w:rStyle w:val="None"/>
          <w:rFonts w:ascii="Arial" w:hAnsi="Arial"/>
          <w:i w:val="1"/>
          <w:iCs w:val="1"/>
          <w:sz w:val="22"/>
          <w:szCs w:val="22"/>
          <w:rtl w:val="0"/>
          <w:lang w:val="en-US"/>
        </w:rPr>
        <w:t>C. difficile</w:t>
      </w:r>
      <w:r>
        <w:rPr>
          <w:rStyle w:val="Hyperlink.2"/>
          <w:rtl w:val="0"/>
          <w:lang w:val="en-US"/>
        </w:rPr>
        <w:t xml:space="preserve"> pathogenicity locus. </w:t>
      </w:r>
      <w:r>
        <w:rPr>
          <w:rStyle w:val="None"/>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val="1"/>
          <w:bCs w:val="1"/>
          <w:sz w:val="22"/>
          <w:szCs w:val="22"/>
          <w:rtl w:val="0"/>
          <w:lang w:val="en-US"/>
        </w:rPr>
        <w:t xml:space="preserve">a </w:t>
      </w:r>
      <w:r>
        <w:rPr>
          <w:rStyle w:val="Hyperlink.2"/>
          <w:rtl w:val="0"/>
          <w:lang w:val="en-US"/>
        </w:rPr>
        <w:t xml:space="preserve">- </w:t>
      </w:r>
      <w:r>
        <w:rPr>
          <w:rStyle w:val="None"/>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 </w:t>
      </w:r>
      <w:r>
        <w:rPr>
          <w:rStyle w:val="None"/>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w:rFonts w:ascii="Arial" w:hAnsi="Arial"/>
          <w:b w:val="1"/>
          <w:bCs w:val="1"/>
          <w:sz w:val="22"/>
          <w:szCs w:val="22"/>
          <w:rtl w:val="0"/>
          <w:lang w:val="en-US"/>
        </w:rPr>
        <w:t xml:space="preserve">(b </w:t>
      </w:r>
      <w:r>
        <w:rPr>
          <w:rStyle w:val="Hyperlink.2"/>
          <w:rtl w:val="0"/>
          <w:lang w:val="en-US"/>
        </w:rPr>
        <w:t>–</w:t>
      </w:r>
      <w:r>
        <w:rPr>
          <w:rStyle w:val="None"/>
          <w:rFonts w:ascii="Arial" w:hAnsi="Arial"/>
          <w:b w:val="1"/>
          <w:bCs w:val="1"/>
          <w:sz w:val="22"/>
          <w:szCs w:val="22"/>
          <w:rtl w:val="0"/>
          <w:lang w:val="en-US"/>
        </w:rPr>
        <w:t xml:space="preserve"> i) </w:t>
      </w:r>
      <w:r>
        <w:rPr>
          <w:rStyle w:val="Hyperlink.2"/>
          <w:rtl w:val="0"/>
          <w:lang w:val="en-US"/>
        </w:rPr>
        <w:t xml:space="preserve">Groups from </w:t>
      </w:r>
      <w:r>
        <w:rPr>
          <w:rStyle w:val="None"/>
          <w:rFonts w:ascii="Arial" w:hAnsi="Arial"/>
          <w:b w:val="1"/>
          <w:bCs w:val="1"/>
          <w:sz w:val="22"/>
          <w:szCs w:val="22"/>
          <w:rtl w:val="0"/>
          <w:lang w:val="en-US"/>
        </w:rPr>
        <w:t>a</w:t>
      </w:r>
      <w:r>
        <w:rPr>
          <w:rStyle w:val="Hyperlink.2"/>
          <w:rtl w:val="0"/>
          <w:lang w:val="en-US"/>
        </w:rPr>
        <w:t xml:space="preserve"> are also plotted separately in without size differences for clarity. Genes included in each group and transcript abundances can be found in Table S1.</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it-IT"/>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it-IT"/>
        </w:rPr>
        <w:t>C. difficile</w:t>
      </w:r>
      <w:r>
        <w:rPr>
          <w:rStyle w:val="None"/>
          <w:rFonts w:ascii="Arial" w:hAnsi="Arial"/>
          <w:sz w:val="22"/>
          <w:szCs w:val="22"/>
          <w:rtl w:val="0"/>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cefoperazone-treated mice. Below the representative network is the metabolite importance algorithm separated into 3 parts; (i)</w:t>
      </w:r>
      <w:bookmarkEnd w:id="6"/>
      <w:r>
        <w:rPr>
          <w:rStyle w:val="None"/>
          <w:rFonts w:ascii="Arial" w:hAnsi="Arial"/>
          <w:sz w:val="22"/>
          <w:szCs w:val="22"/>
          <w:rtl w:val="0"/>
          <w:lang w:val="en-US"/>
        </w:rPr>
        <w:t xml:space="preserve"> </w:t>
      </w:r>
      <w:bookmarkStart w:name="_DdeLink__1257_348787537" w:id="7"/>
      <w:r>
        <w:rPr>
          <w:rStyle w:val="None"/>
          <w:rFonts w:ascii="Arial" w:hAnsi="Arial"/>
          <w:sz w:val="22"/>
          <w:szCs w:val="22"/>
          <w:rtl w:val="0"/>
          <w:lang w:val="en-US"/>
        </w:rPr>
        <w:t>relative transcription of reactions consuming a metabolite</w:t>
      </w:r>
      <w:bookmarkEnd w:id="7"/>
      <w:r>
        <w:rPr>
          <w:rStyle w:val="None"/>
          <w:rFonts w:ascii="Arial" w:hAnsi="Arial"/>
          <w:sz w:val="22"/>
          <w:szCs w:val="22"/>
          <w:rtl w:val="0"/>
          <w:lang w:val="en-US"/>
        </w:rPr>
        <w:t xml:space="preserve">, (ii) relative transcription of reactions consuming a metabolite, and (iii) difference of consumption and creation of the given metabolite. </w:t>
      </w:r>
      <w:r>
        <w:rPr>
          <w:rStyle w:val="None"/>
          <w:rFonts w:ascii="Arial" w:hAnsi="Arial"/>
          <w:b w:val="1"/>
          <w:bCs w:val="1"/>
          <w:sz w:val="22"/>
          <w:szCs w:val="22"/>
          <w:rtl w:val="0"/>
          <w:lang w:val="en-US"/>
        </w:rPr>
        <w:t xml:space="preserve">(b) </w:t>
      </w:r>
      <w:r>
        <w:rPr>
          <w:rStyle w:val="None"/>
          <w:rFonts w:ascii="Arial" w:hAnsi="Arial"/>
          <w:sz w:val="22"/>
          <w:szCs w:val="22"/>
          <w:rtl w:val="0"/>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
          <w:rFonts w:ascii="Arial" w:hAnsi="Arial"/>
          <w:b w:val="1"/>
          <w:bCs w:val="1"/>
          <w:sz w:val="22"/>
          <w:szCs w:val="22"/>
          <w:rtl w:val="0"/>
          <w:lang w:val="en-US"/>
        </w:rPr>
        <w:t>m</w:t>
      </w:r>
      <w:r>
        <w:rPr>
          <w:rStyle w:val="None"/>
          <w:rFonts w:ascii="Arial" w:hAnsi="Arial"/>
          <w:sz w:val="22"/>
          <w:szCs w:val="22"/>
          <w:rtl w:val="0"/>
          <w:lang w:val="en-US"/>
        </w:rPr>
        <w:t xml:space="preserve"> are calculated at then the difference of these values found to get the relative importance of </w:t>
      </w:r>
      <w:r>
        <w:rPr>
          <w:rStyle w:val="None"/>
          <w:rFonts w:ascii="Arial" w:hAnsi="Arial"/>
          <w:i w:val="1"/>
          <w:iCs w:val="1"/>
          <w:sz w:val="22"/>
          <w:szCs w:val="22"/>
          <w:rtl w:val="0"/>
          <w:lang w:val="en-US"/>
        </w:rPr>
        <w:t>m</w:t>
      </w:r>
      <w:r>
        <w:rPr>
          <w:rStyle w:val="None"/>
          <w:rFonts w:ascii="Arial" w:hAnsi="Arial"/>
          <w:sz w:val="22"/>
          <w:szCs w:val="22"/>
          <w:rtl w:val="0"/>
          <w:lang w:val="en-US"/>
        </w:rPr>
        <w:t>. Log</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transformation is then performed </w:t>
      </w:r>
      <w:r>
        <w:rPr>
          <w:rStyle w:val="None"/>
          <w:rFonts w:ascii="Arial" w:hAnsi="Arial"/>
          <w:sz w:val="22"/>
          <w:szCs w:val="22"/>
          <w:rtl w:val="0"/>
          <w:lang w:val="en-US"/>
        </w:rPr>
        <w:t>for comparability</w:t>
      </w:r>
      <w:r>
        <w:rPr>
          <w:rStyle w:val="None"/>
          <w:rFonts w:ascii="Arial" w:hAnsi="Arial"/>
          <w:sz w:val="22"/>
          <w:szCs w:val="22"/>
          <w:rtl w:val="0"/>
          <w:lang w:val="en-US"/>
        </w:rPr>
        <w:t xml:space="preserve"> between metabolites.</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b w:val="1"/>
          <w:bCs w:val="1"/>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w:rFonts w:ascii="Arial" w:hAnsi="Arial"/>
          <w:b w:val="1"/>
          <w:bCs w:val="1"/>
          <w:sz w:val="22"/>
          <w:szCs w:val="22"/>
          <w:rtl w:val="0"/>
          <w:lang w:val="en-US"/>
        </w:rPr>
        <w:t xml:space="preserve">Figure 6 | Results from network-based metabolite importance calculation and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 xml:space="preserve"> growth with important carbohydrates.</w:t>
      </w:r>
      <w:r>
        <w:rPr>
          <w:rStyle w:val="None"/>
          <w:rFonts w:ascii="Arial" w:hAnsi="Arial"/>
          <w:sz w:val="22"/>
          <w:szCs w:val="22"/>
          <w:rtl w:val="0"/>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
          <w:rFonts w:ascii="Arial" w:hAnsi="Arial"/>
          <w:b w:val="1"/>
          <w:bCs w:val="1"/>
          <w:sz w:val="22"/>
          <w:szCs w:val="22"/>
          <w:rtl w:val="0"/>
          <w:lang w:val="en-US"/>
        </w:rPr>
        <w:t xml:space="preserve"> </w:t>
      </w:r>
      <w:bookmarkStart w:name="MathJaxElement43Frame55" w:id="8"/>
      <w:r>
        <w:rPr>
          <w:rStyle w:val="None"/>
          <w:rFonts w:ascii="Arial" w:hAnsi="Arial"/>
          <w:b w:val="1"/>
          <w:bCs w:val="1"/>
          <w:sz w:val="22"/>
          <w:szCs w:val="22"/>
          <w:rtl w:val="0"/>
          <w:lang w:val="en-US"/>
        </w:rPr>
        <w:t>(a)</w:t>
      </w:r>
      <w:r>
        <w:rPr>
          <w:rStyle w:val="None"/>
          <w:rFonts w:ascii="Arial" w:hAnsi="Arial"/>
          <w:sz w:val="22"/>
          <w:szCs w:val="22"/>
          <w:rtl w:val="0"/>
          <w:lang w:val="en-US"/>
        </w:rPr>
        <w:t xml:space="preserve"> Median</w:t>
      </w:r>
      <w:bookmarkEnd w:id="8"/>
      <w:bookmarkStart w:name="MathJaxElement43Frame54" w:id="9"/>
      <w:r>
        <w:rPr>
          <w:rStyle w:val="None"/>
          <w:rFonts w:ascii="Arial" w:hAnsi="Arial"/>
          <w:sz w:val="22"/>
          <w:szCs w:val="22"/>
          <w:rtl w:val="0"/>
          <w:lang w:val="en-US"/>
        </w:rPr>
        <w:t xml:space="preserve"> </w:t>
      </w:r>
      <w:bookmarkEnd w:id="9"/>
      <w:r>
        <w:rPr>
          <w:rStyle w:val="None"/>
          <w:rFonts w:ascii="Arial" w:hAnsi="Arial"/>
          <w:sz w:val="22"/>
          <w:szCs w:val="22"/>
          <w:rtl w:val="0"/>
          <w:lang w:val="en-US"/>
        </w:rPr>
        <w:t>s</w:t>
      </w:r>
      <w:bookmarkStart w:name="MathJaxElement43Frame56" w:id="10"/>
      <w:r>
        <w:rPr>
          <w:rStyle w:val="None"/>
          <w:rFonts w:ascii="Arial" w:hAnsi="Arial"/>
          <w:sz w:val="22"/>
          <w:szCs w:val="22"/>
          <w:rtl w:val="0"/>
          <w:lang w:val="en-US"/>
        </w:rPr>
        <w:t xml:space="preserve">hared </w:t>
      </w:r>
      <w:bookmarkEnd w:id="10"/>
      <w:r>
        <w:rPr>
          <w:rStyle w:val="None"/>
          <w:rFonts w:ascii="Arial" w:hAnsi="Arial"/>
          <w:sz w:val="22"/>
          <w:szCs w:val="22"/>
          <w:rtl w:val="0"/>
          <w:lang w:val="en-US"/>
        </w:rPr>
        <w:t>significant m</w:t>
      </w:r>
      <w:bookmarkStart w:name="MathJaxElement43Frame57" w:id="11"/>
      <w:r>
        <w:rPr>
          <w:rStyle w:val="None"/>
          <w:rFonts w:ascii="Arial" w:hAnsi="Arial"/>
          <w:sz w:val="22"/>
          <w:szCs w:val="22"/>
          <w:rtl w:val="0"/>
          <w:lang w:val="fr-FR"/>
        </w:rPr>
        <w:t>etabolites</w:t>
      </w:r>
      <w:r>
        <w:rPr>
          <w:rStyle w:val="None"/>
          <w:rFonts w:ascii="Arial" w:hAnsi="Arial"/>
          <w:sz w:val="22"/>
          <w:szCs w:val="22"/>
          <w:rtl w:val="0"/>
          <w:lang w:val="en-US"/>
        </w:rPr>
        <w:t xml:space="preserve"> among the 50 highest scoring metabolites from each</w:t>
      </w:r>
      <w:r>
        <w:rPr>
          <w:rStyle w:val="None"/>
          <w:rFonts w:ascii="Arial" w:hAnsi="Arial"/>
          <w:sz w:val="22"/>
          <w:szCs w:val="22"/>
          <w:rtl w:val="0"/>
          <w:lang w:val="fr-FR"/>
        </w:rPr>
        <w:t xml:space="preserve"> condition (</w:t>
      </w:r>
      <w:r>
        <w:rPr>
          <w:rStyle w:val="None"/>
          <w:rFonts w:ascii="Arial" w:hAnsi="Arial"/>
          <w:i w:val="1"/>
          <w:iCs w:val="1"/>
          <w:sz w:val="22"/>
          <w:szCs w:val="22"/>
          <w:rtl w:val="0"/>
          <w:lang w:val="fr-FR"/>
        </w:rPr>
        <w:t>P</w:t>
      </w:r>
      <w:r>
        <w:rPr>
          <w:rStyle w:val="None"/>
          <w:rFonts w:ascii="Arial" w:hAnsi="Arial"/>
          <w:sz w:val="22"/>
          <w:szCs w:val="22"/>
          <w:rtl w:val="0"/>
          <w:lang w:val="fr-FR"/>
        </w:rPr>
        <w:t xml:space="preserve"> &lt; 0.05).</w:t>
      </w:r>
      <w:bookmarkEnd w:id="11"/>
      <w:r>
        <w:rPr>
          <w:rStyle w:val="None"/>
          <w:rFonts w:ascii="Arial" w:hAnsi="Arial"/>
          <w:sz w:val="22"/>
          <w:szCs w:val="22"/>
          <w:rtl w:val="0"/>
          <w:lang w:val="en-US"/>
        </w:rPr>
        <w:t xml:space="preserve"> Median importance scores and pooled random distribution were recalculated per metabolite using the values from each condition tested. </w:t>
      </w:r>
      <w:bookmarkStart w:name="MathJaxElement43Frame58" w:id="12"/>
      <w:r>
        <w:rPr>
          <w:rStyle w:val="None"/>
          <w:rFonts w:ascii="Arial" w:hAnsi="Arial"/>
          <w:b w:val="1"/>
          <w:bCs w:val="1"/>
          <w:sz w:val="22"/>
          <w:szCs w:val="22"/>
          <w:rtl w:val="0"/>
          <w:lang w:val="en-US"/>
        </w:rPr>
        <w:t>(b)</w:t>
      </w:r>
      <w:r>
        <w:rPr>
          <w:rStyle w:val="None"/>
          <w:rFonts w:ascii="Arial" w:hAnsi="Arial"/>
          <w:sz w:val="22"/>
          <w:szCs w:val="22"/>
          <w:rtl w:val="0"/>
          <w:lang w:val="en-US"/>
        </w:rPr>
        <w:t xml:space="preserve"> Distinctly important significant metabolites from each treatment group</w:t>
      </w:r>
      <w:r>
        <w:rPr>
          <w:rStyle w:val="None"/>
          <w:rFonts w:ascii="Arial" w:hAnsi="Arial"/>
          <w:sz w:val="22"/>
          <w:szCs w:val="22"/>
          <w:rtl w:val="0"/>
          <w:lang w:val="fr-FR"/>
        </w:rPr>
        <w:t xml:space="preserve"> (</w:t>
      </w:r>
      <w:r>
        <w:rPr>
          <w:rStyle w:val="None"/>
          <w:rFonts w:ascii="Arial" w:hAnsi="Arial"/>
          <w:i w:val="1"/>
          <w:iCs w:val="1"/>
          <w:sz w:val="22"/>
          <w:szCs w:val="22"/>
          <w:rtl w:val="0"/>
          <w:lang w:val="fr-FR"/>
        </w:rPr>
        <w:t>P</w:t>
      </w:r>
      <w:r>
        <w:rPr>
          <w:rStyle w:val="None"/>
          <w:rFonts w:ascii="Arial" w:hAnsi="Arial"/>
          <w:sz w:val="22"/>
          <w:szCs w:val="22"/>
          <w:rtl w:val="0"/>
          <w:lang w:val="fr-FR"/>
        </w:rPr>
        <w:t xml:space="preserve"> &lt; 0.05)</w:t>
      </w:r>
      <w:r>
        <w:rPr>
          <w:rStyle w:val="None"/>
          <w:rFonts w:ascii="Arial" w:hAnsi="Arial"/>
          <w:sz w:val="22"/>
          <w:szCs w:val="22"/>
          <w:rtl w:val="0"/>
          <w:lang w:val="en-US"/>
        </w:rPr>
        <w:t>. The top 25 scoring metabolites from each group was cross-referenced against each other group resulting in</w:t>
      </w:r>
      <w:r>
        <w:rPr>
          <w:rStyle w:val="None"/>
          <w:rFonts w:ascii="Arial" w:hAnsi="Arial"/>
          <w:sz w:val="22"/>
          <w:szCs w:val="22"/>
          <w:rtl w:val="0"/>
          <w:lang w:val="pt-PT"/>
        </w:rPr>
        <w:t xml:space="preserve"> metabolites </w:t>
      </w:r>
      <w:r>
        <w:rPr>
          <w:rStyle w:val="None"/>
          <w:rFonts w:ascii="Arial" w:hAnsi="Arial"/>
          <w:sz w:val="22"/>
          <w:szCs w:val="22"/>
          <w:rtl w:val="0"/>
          <w:lang w:val="en-US"/>
        </w:rPr>
        <w:t>that are differentially important between environments.</w:t>
      </w:r>
      <w:bookmarkEnd w:id="12"/>
      <w:r>
        <w:rPr>
          <w:rStyle w:val="None"/>
          <w:rFonts w:ascii="Arial" w:hAnsi="Arial"/>
          <w:sz w:val="22"/>
          <w:szCs w:val="22"/>
          <w:rtl w:val="0"/>
          <w:lang w:val="en-US"/>
        </w:rPr>
        <w:t xml:space="preserve"> </w:t>
      </w:r>
      <w:bookmarkStart w:name="MathJaxElement43Frame59" w:id="13"/>
      <w:r>
        <w:rPr>
          <w:rStyle w:val="None"/>
          <w:rFonts w:ascii="Arial" w:hAnsi="Arial"/>
          <w:b w:val="1"/>
          <w:bCs w:val="1"/>
          <w:sz w:val="22"/>
          <w:szCs w:val="22"/>
          <w:rtl w:val="0"/>
          <w:lang w:val="it-IT"/>
        </w:rPr>
        <w:t xml:space="preserve">(c) </w:t>
      </w:r>
      <w:r>
        <w:rPr>
          <w:rStyle w:val="None"/>
          <w:rFonts w:ascii="Arial" w:hAnsi="Arial"/>
          <w:i w:val="1"/>
          <w:iCs w:val="1"/>
          <w:sz w:val="22"/>
          <w:szCs w:val="22"/>
          <w:rtl w:val="0"/>
          <w:lang w:val="it-IT"/>
        </w:rPr>
        <w:t>In vitro</w:t>
      </w:r>
      <w:r>
        <w:rPr>
          <w:rStyle w:val="None"/>
          <w:rFonts w:ascii="Arial" w:hAnsi="Arial"/>
          <w:sz w:val="22"/>
          <w:szCs w:val="22"/>
          <w:rtl w:val="0"/>
          <w:lang w:val="en-US"/>
        </w:rPr>
        <w:t xml:space="preserve"> growth curves validating identified growth nutrients from network analysis. In gray is a control curve in which amino acids are the only possible source of carbon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One metabolite that is consistently important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at least one metabolite indicated as distinctly important from each group supported growth significantly more (</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&lt;&lt; 0.001) than No Carbohydrates (+ Amino acids) control.</w:t>
      </w:r>
      <w:bookmarkEnd w:id="13"/>
      <w:r>
        <w:rPr>
          <w:rStyle w:val="None"/>
          <w:rFonts w:ascii="Arial" w:hAnsi="Arial"/>
          <w:sz w:val="22"/>
          <w:szCs w:val="22"/>
          <w:rtl w:val="0"/>
          <w:lang w:val="en-US"/>
        </w:rPr>
        <w:t xml:space="preserve"> Only those carbon sources that significantly improved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over controls are displayed (remainder are located in Table S4). </w:t>
      </w:r>
      <w:bookmarkStart w:name="MathJaxElement43Frame510" w:id="14"/>
      <w:r>
        <w:rPr>
          <w:rStyle w:val="None"/>
          <w:rFonts w:ascii="Arial" w:hAnsi="Arial"/>
          <w:sz w:val="22"/>
          <w:szCs w:val="22"/>
          <w:rtl w:val="0"/>
          <w:lang w:val="en-US"/>
        </w:rPr>
        <w:t>Significant differences were calculated using 2-Way ANOVA with Holm-Bonferroni correction.</w:t>
      </w:r>
    </w:p>
    <w:p>
      <w:pPr>
        <w:pStyle w:val="Default"/>
        <w:spacing w:line="480" w:lineRule="auto"/>
        <w:jc w:val="both"/>
        <w:rPr>
          <w:rStyle w:val="Hyperlink.2"/>
        </w:rPr>
      </w:pPr>
    </w:p>
    <w:p>
      <w:pPr>
        <w:pStyle w:val="Default"/>
        <w:spacing w:line="480" w:lineRule="auto"/>
        <w:jc w:val="both"/>
      </w:pPr>
      <w:r>
        <w:rPr>
          <w:rStyle w:val="None"/>
          <w:rFonts w:ascii="Arial" w:hAnsi="Arial"/>
          <w:b w:val="1"/>
          <w:bCs w:val="1"/>
          <w:sz w:val="22"/>
          <w:szCs w:val="22"/>
          <w:rtl w:val="0"/>
          <w:lang w:val="en-US"/>
        </w:rPr>
        <w:t xml:space="preserve">Supplementary Figure 1 | Expression of specific KEGG gene families. </w:t>
      </w:r>
      <w:r>
        <w:rPr>
          <w:rStyle w:val="Hyperlink.2"/>
          <w:rtl w:val="0"/>
          <w:lang w:val="en-US"/>
        </w:rPr>
        <w:t xml:space="preserve">Abundances of normalized transcriptomic reads from </w:t>
      </w:r>
      <w:r>
        <w:rPr>
          <w:rStyle w:val="None"/>
          <w:rFonts w:ascii="Arial" w:hAnsi="Arial"/>
          <w:i w:val="1"/>
          <w:iCs w:val="1"/>
          <w:sz w:val="22"/>
          <w:szCs w:val="22"/>
          <w:rtl w:val="0"/>
          <w:lang w:val="en-US"/>
        </w:rPr>
        <w:t>C. difficile</w:t>
      </w:r>
      <w:r>
        <w:rPr>
          <w:rStyle w:val="Hyperlink.2"/>
          <w:rtl w:val="0"/>
          <w:lang w:val="en-US"/>
        </w:rPr>
        <w:t xml:space="preserve"> 630 in each tested condition</w:t>
      </w:r>
      <w:r>
        <w:rPr>
          <w:rStyle w:val="Hyperlink.2"/>
          <w:rtl w:val="0"/>
          <w:lang w:val="en-US"/>
        </w:rPr>
        <w:t xml:space="preserve">. </w:t>
      </w:r>
      <w:r>
        <w:rPr>
          <w:rStyle w:val="None"/>
          <w:rFonts w:ascii="Arial" w:hAnsi="Arial"/>
          <w:b w:val="1"/>
          <w:bCs w:val="1"/>
          <w:sz w:val="22"/>
          <w:szCs w:val="22"/>
          <w:rtl w:val="0"/>
          <w:lang w:val="en-US"/>
        </w:rPr>
        <w:t>(a)</w:t>
      </w:r>
      <w:r>
        <w:rPr>
          <w:rStyle w:val="Hyperlink.2"/>
          <w:rtl w:val="0"/>
          <w:lang w:val="en-US"/>
        </w:rPr>
        <w:t xml:space="preserve"> All KEGG families</w:t>
      </w:r>
      <w:r>
        <w:rPr>
          <w:rStyle w:val="Hyperlink.2"/>
          <w:rtl w:val="0"/>
          <w:lang w:val="en-US"/>
        </w:rPr>
        <w:t xml:space="preserve">. </w:t>
      </w:r>
      <w:r>
        <w:rPr>
          <w:rStyle w:val="None"/>
          <w:rFonts w:ascii="Arial" w:hAnsi="Arial"/>
          <w:b w:val="1"/>
          <w:bCs w:val="1"/>
          <w:sz w:val="22"/>
          <w:szCs w:val="22"/>
          <w:rtl w:val="0"/>
          <w:lang w:val="en-US"/>
        </w:rPr>
        <w:t>(b)</w:t>
      </w:r>
      <w:r>
        <w:rPr>
          <w:rStyle w:val="Hyperlink.2"/>
          <w:rtl w:val="0"/>
          <w:lang w:val="en-US"/>
        </w:rPr>
        <w:t xml:space="preserve"> Carbohydrate metabolism</w:t>
      </w:r>
      <w:r>
        <w:rPr>
          <w:rStyle w:val="Hyperlink.2"/>
          <w:rtl w:val="0"/>
          <w:lang w:val="en-US"/>
        </w:rPr>
        <w:t xml:space="preserve">. </w:t>
      </w:r>
      <w:r>
        <w:rPr>
          <w:rStyle w:val="None"/>
          <w:rFonts w:ascii="Arial" w:hAnsi="Arial"/>
          <w:b w:val="1"/>
          <w:bCs w:val="1"/>
          <w:sz w:val="22"/>
          <w:szCs w:val="22"/>
          <w:rtl w:val="0"/>
          <w:lang w:val="en-US"/>
        </w:rPr>
        <w:t>(c)</w:t>
      </w:r>
      <w:r>
        <w:rPr>
          <w:rStyle w:val="Hyperlink.2"/>
          <w:rtl w:val="0"/>
          <w:lang w:val="en-US"/>
        </w:rPr>
        <w:t xml:space="preserve"> Amino acid metabolism</w:t>
      </w:r>
      <w:r>
        <w:rPr>
          <w:rStyle w:val="Hyperlink.2"/>
          <w:rtl w:val="0"/>
          <w:lang w:val="en-US"/>
        </w:rPr>
        <w:t>.</w:t>
      </w:r>
    </w:p>
    <w:p>
      <w:pPr>
        <w:pStyle w:val="Default"/>
        <w:spacing w:line="480" w:lineRule="auto"/>
        <w:jc w:val="both"/>
        <w:rPr>
          <w:rStyle w:val="Hyperlink.2"/>
        </w:rPr>
      </w:pPr>
    </w:p>
    <w:p>
      <w:pPr>
        <w:pStyle w:val="Default"/>
        <w:spacing w:line="480" w:lineRule="auto"/>
        <w:jc w:val="both"/>
        <w:rPr>
          <w:rStyle w:val="Hyperlink.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a</w:t>
      </w:r>
      <w:r>
        <w:rPr>
          <w:rStyle w:val="None"/>
          <w:rFonts w:ascii="Arial" w:hAnsi="Arial"/>
          <w:b w:val="1"/>
          <w:bCs w:val="1"/>
          <w:sz w:val="22"/>
          <w:szCs w:val="22"/>
          <w:rtl w:val="0"/>
          <w:lang w:val="en-US"/>
        </w:rPr>
        <w:t xml:space="preserve">cetate </w:t>
      </w:r>
      <w:r>
        <w:rPr>
          <w:rStyle w:val="None"/>
          <w:rFonts w:ascii="Arial" w:hAnsi="Arial"/>
          <w:b w:val="1"/>
          <w:bCs w:val="1"/>
          <w:sz w:val="22"/>
          <w:szCs w:val="22"/>
          <w:rtl w:val="0"/>
          <w:lang w:val="en-US"/>
        </w:rPr>
        <w:t>concentrations with HPLC analysis from cefoperazone-treated mouse cecal content</w:t>
      </w:r>
      <w:r>
        <w:rPr>
          <w:rStyle w:val="None"/>
          <w:rFonts w:ascii="Arial" w:hAnsi="Arial"/>
          <w:b w:val="1"/>
          <w:bCs w:val="1"/>
          <w:sz w:val="22"/>
          <w:szCs w:val="22"/>
          <w:rtl w:val="0"/>
          <w:lang w:val="en-US"/>
        </w:rPr>
        <w:t>.</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2 groups of 5 mice each were pretreated with cefoperazone as outlined Fig. 1b. </w:t>
      </w:r>
    </w:p>
    <w:p>
      <w:pPr>
        <w:pStyle w:val="Default"/>
        <w:spacing w:line="480" w:lineRule="auto"/>
        <w:jc w:val="both"/>
        <w:rPr>
          <w:rStyle w:val="Hyperlink.2"/>
        </w:rPr>
      </w:pPr>
    </w:p>
    <w:p>
      <w:pPr>
        <w:pStyle w:val="Default"/>
        <w:spacing w:line="480" w:lineRule="auto"/>
        <w:jc w:val="both"/>
      </w:pPr>
    </w:p>
    <w:p>
      <w:pPr>
        <w:pStyle w:val="Default"/>
        <w:spacing w:line="480" w:lineRule="auto"/>
        <w:ind w:left="480" w:hanging="480"/>
        <w:jc w:val="both"/>
      </w:pPr>
    </w:p>
    <w:p>
      <w:pPr>
        <w:pStyle w:val="Default"/>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Supplementary Figure 3 |  Additional growth curves</w:t>
      </w:r>
      <w:r>
        <w:rPr>
          <w:rStyle w:val="None"/>
          <w:rFonts w:ascii="Arial" w:hAnsi="Arial"/>
          <w:b w:val="1"/>
          <w:bCs w:val="1"/>
          <w:sz w:val="22"/>
          <w:szCs w:val="22"/>
          <w:rtl w:val="0"/>
          <w:lang w:val="en-US"/>
        </w:rPr>
        <w:t xml:space="preserve"> for additional carbon sources and controls.</w:t>
      </w:r>
      <w:r>
        <w:rPr>
          <w:rStyle w:val="None"/>
          <w:rFonts w:ascii="Arial" w:hAnsi="Arial"/>
          <w:sz w:val="22"/>
          <w:szCs w:val="22"/>
          <w:rtl w:val="0"/>
          <w:lang w:val="en-US"/>
        </w:rPr>
        <w:t xml:space="preserve"> Significant metabolites from network analysis that did not provide improved growth over No Carbohydrate control. Also included is the negative control of minimal media with no amino acids as well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in standard Brain-Heart Infusion broth.</w:t>
      </w:r>
    </w:p>
    <w:p>
      <w:pPr>
        <w:pStyle w:val="Default"/>
        <w:spacing w:line="480" w:lineRule="auto"/>
        <w:ind w:left="480" w:hanging="480"/>
        <w:jc w:val="both"/>
      </w:pPr>
    </w:p>
    <w:p>
      <w:pPr>
        <w:pStyle w:val="Default"/>
        <w:spacing w:line="480" w:lineRule="auto"/>
        <w:jc w:val="both"/>
      </w:pPr>
      <w:r>
        <w:rPr>
          <w:rStyle w:val="None"/>
          <w:rFonts w:ascii="Arial" w:hAnsi="Arial"/>
          <w:b w:val="1"/>
          <w:bCs w:val="1"/>
          <w:sz w:val="22"/>
          <w:szCs w:val="22"/>
          <w:rtl w:val="0"/>
          <w:lang w:val="en-US"/>
        </w:rPr>
        <w:t xml:space="preserve">Supplementary Table 1 |  </w:t>
      </w:r>
      <w:r>
        <w:rPr>
          <w:rStyle w:val="None"/>
          <w:rFonts w:ascii="Arial" w:hAnsi="Arial"/>
          <w:b w:val="1"/>
          <w:bCs w:val="1"/>
          <w:sz w:val="22"/>
          <w:szCs w:val="22"/>
          <w:rtl w:val="0"/>
          <w:lang w:val="en-US"/>
        </w:rPr>
        <w:t>Sets of genes included in Figure 4 with normalized abundances and citations</w:t>
      </w:r>
      <w:r>
        <w:rPr>
          <w:rStyle w:val="None"/>
          <w:rFonts w:ascii="Arial" w:hAnsi="Arial"/>
          <w:b w:val="1"/>
          <w:bCs w:val="1"/>
          <w:sz w:val="22"/>
          <w:szCs w:val="22"/>
          <w:rtl w:val="0"/>
          <w:lang w:val="en-US"/>
        </w:rPr>
        <w:t>.</w:t>
      </w:r>
    </w:p>
    <w:p>
      <w:pPr>
        <w:pStyle w:val="Default"/>
        <w:spacing w:line="480" w:lineRule="auto"/>
        <w:ind w:left="480" w:hanging="480"/>
        <w:jc w:val="both"/>
      </w:pPr>
    </w:p>
    <w:p>
      <w:pPr>
        <w:pStyle w:val="Default"/>
        <w:spacing w:line="480" w:lineRule="auto"/>
        <w:ind w:left="480" w:hanging="480"/>
        <w:jc w:val="both"/>
      </w:pPr>
      <w:r>
        <w:rPr>
          <w:rStyle w:val="None"/>
          <w:rFonts w:ascii="Arial" w:hAnsi="Arial"/>
          <w:b w:val="1"/>
          <w:bCs w:val="1"/>
          <w:sz w:val="22"/>
          <w:szCs w:val="22"/>
          <w:rtl w:val="0"/>
          <w:lang w:val="en-US"/>
        </w:rPr>
        <w:t xml:space="preserve">Supplementary Table 2 |  </w:t>
      </w:r>
      <w:r>
        <w:rPr>
          <w:rStyle w:val="None"/>
          <w:rFonts w:ascii="Arial" w:hAnsi="Arial"/>
          <w:b w:val="1"/>
          <w:bCs w:val="1"/>
          <w:sz w:val="22"/>
          <w:szCs w:val="22"/>
          <w:rtl w:val="0"/>
          <w:lang w:val="en-US"/>
        </w:rPr>
        <w:t>T</w:t>
      </w:r>
      <w:r>
        <w:rPr>
          <w:rStyle w:val="None"/>
          <w:rFonts w:ascii="Arial" w:hAnsi="Arial"/>
          <w:b w:val="1"/>
          <w:bCs w:val="1"/>
          <w:sz w:val="22"/>
          <w:szCs w:val="22"/>
          <w:rtl w:val="0"/>
          <w:lang w:val="en-US"/>
        </w:rPr>
        <w:t xml:space="preserve">opology </w:t>
      </w:r>
      <w:r>
        <w:rPr>
          <w:rStyle w:val="None"/>
          <w:rFonts w:ascii="Arial" w:hAnsi="Arial"/>
          <w:b w:val="1"/>
          <w:bCs w:val="1"/>
          <w:sz w:val="22"/>
          <w:szCs w:val="22"/>
          <w:rtl w:val="0"/>
          <w:lang w:val="en-US"/>
        </w:rPr>
        <w:t xml:space="preserve">metrics for enzyme and metabolite nodes in the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metabolic network</w:t>
      </w:r>
      <w:r>
        <w:rPr>
          <w:rStyle w:val="None"/>
          <w:rFonts w:ascii="Arial" w:hAnsi="Arial"/>
          <w:b w:val="1"/>
          <w:bCs w:val="1"/>
          <w:sz w:val="22"/>
          <w:szCs w:val="22"/>
          <w:rtl w:val="0"/>
          <w:lang w:val="en-US"/>
        </w:rPr>
        <w:t>.</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w:rFonts w:ascii="Arial" w:hAnsi="Arial"/>
          <w:b w:val="1"/>
          <w:bCs w:val="1"/>
          <w:sz w:val="22"/>
          <w:szCs w:val="22"/>
          <w:rtl w:val="0"/>
          <w:lang w:val="en-US"/>
        </w:rPr>
        <w:t>Supplementary Table 3 |  All metabolites</w:t>
      </w:r>
      <w:r>
        <w:rPr>
          <w:rStyle w:val="None"/>
          <w:rFonts w:ascii="Arial" w:hAnsi="Arial"/>
          <w:b w:val="1"/>
          <w:bCs w:val="1"/>
          <w:sz w:val="22"/>
          <w:szCs w:val="22"/>
          <w:rtl w:val="0"/>
          <w:lang w:val="en-US"/>
        </w:rPr>
        <w:t xml:space="preserve"> with </w:t>
      </w:r>
      <w:bookmarkEnd w:id="14"/>
      <w:bookmarkStart w:name="MathJaxElement43Frame510" w:id="15"/>
      <w:r>
        <w:rPr>
          <w:rStyle w:val="None"/>
          <w:rFonts w:ascii="Arial" w:hAnsi="Arial"/>
          <w:b w:val="1"/>
          <w:bCs w:val="1"/>
          <w:sz w:val="22"/>
          <w:szCs w:val="22"/>
          <w:rtl w:val="0"/>
          <w:lang w:val="en-US"/>
        </w:rPr>
        <w:t xml:space="preserve">significant important </w:t>
      </w:r>
      <w:bookmarkEnd w:id="15"/>
      <w:r>
        <w:rPr>
          <w:rStyle w:val="None"/>
          <w:rFonts w:ascii="Arial" w:hAnsi="Arial"/>
          <w:b w:val="1"/>
          <w:bCs w:val="1"/>
          <w:sz w:val="22"/>
          <w:szCs w:val="22"/>
          <w:rtl w:val="0"/>
          <w:lang w:val="en-US"/>
        </w:rPr>
        <w:t xml:space="preserve">scores </w:t>
      </w:r>
      <w:bookmarkStart w:name="MathJaxElement43Frame510" w:id="16"/>
      <w:r>
        <w:rPr>
          <w:rStyle w:val="None"/>
          <w:rFonts w:ascii="Arial" w:hAnsi="Arial"/>
          <w:b w:val="1"/>
          <w:bCs w:val="1"/>
          <w:sz w:val="22"/>
          <w:szCs w:val="22"/>
          <w:rtl w:val="0"/>
          <w:lang w:val="en-US"/>
        </w:rPr>
        <w:t xml:space="preserve">for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 each colonized condition</w:t>
      </w:r>
      <w:r>
        <w:rPr>
          <w:rStyle w:val="None"/>
          <w:rFonts w:ascii="Arial" w:hAnsi="Arial"/>
          <w:b w:val="1"/>
          <w:bCs w:val="1"/>
          <w:sz w:val="22"/>
          <w:szCs w:val="22"/>
          <w:rtl w:val="0"/>
          <w:lang w:val="en-US"/>
        </w:rPr>
        <w:t>.</w:t>
      </w:r>
    </w:p>
    <w:p>
      <w:pPr>
        <w:pStyle w:val="Default"/>
        <w:spacing w:line="480" w:lineRule="auto"/>
        <w:jc w:val="both"/>
      </w:pPr>
    </w:p>
    <w:p>
      <w:pPr>
        <w:pStyle w:val="Default"/>
        <w:spacing w:line="480" w:lineRule="auto"/>
        <w:ind w:left="480" w:hanging="480"/>
        <w:jc w:val="both"/>
      </w:pPr>
      <w:r>
        <w:rPr>
          <w:rStyle w:val="None"/>
          <w:rFonts w:ascii="Arial" w:hAnsi="Arial"/>
          <w:b w:val="1"/>
          <w:bCs w:val="1"/>
          <w:sz w:val="22"/>
          <w:szCs w:val="22"/>
          <w:rtl w:val="0"/>
          <w:lang w:val="en-US"/>
        </w:rPr>
        <w:t>Supplementary Table 4 |  Growth curve</w:t>
      </w:r>
      <w:r>
        <w:rPr>
          <w:rStyle w:val="None"/>
          <w:rFonts w:ascii="Arial" w:hAnsi="Arial"/>
          <w:b w:val="1"/>
          <w:bCs w:val="1"/>
          <w:sz w:val="22"/>
          <w:szCs w:val="22"/>
          <w:rtl w:val="0"/>
          <w:lang w:val="en-US"/>
        </w:rPr>
        <w:t xml:space="preserve"> analysis for each tested carbon source.</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w:t>
      </w:r>
      <w:r>
        <w:rPr>
          <w:rStyle w:val="Hyperlink.2"/>
          <w:rtl w:val="0"/>
          <w:lang w:val="en-US"/>
        </w:rPr>
        <w:t xml:space="preserve">, </w:t>
      </w:r>
      <w:r>
        <w:rPr>
          <w:rStyle w:val="Hyperlink.2"/>
          <w:rtl w:val="0"/>
          <w:lang w:val="en-US"/>
        </w:rPr>
        <w:t>Sequencing Core</w:t>
      </w:r>
      <w:r>
        <w:rPr>
          <w:rStyle w:val="Hyperlink.2"/>
          <w:rtl w:val="0"/>
          <w:lang w:val="en-US"/>
        </w:rPr>
        <w:t>, and Metabolomics Core</w:t>
      </w:r>
      <w:r>
        <w:rPr>
          <w:rStyle w:val="Hyperlink.2"/>
          <w:rtl w:val="0"/>
          <w:lang w:val="en-US"/>
        </w:rPr>
        <w:t xml:space="preserve"> for their assistance in experimental design, execution, </w:t>
      </w:r>
      <w:r>
        <w:rPr>
          <w:rStyle w:val="Hyperlink.2"/>
          <w:rtl w:val="0"/>
          <w:lang w:val="en-US"/>
        </w:rPr>
        <w:t xml:space="preserve">and </w:t>
      </w:r>
      <w:r>
        <w:rPr>
          <w:rStyle w:val="Hyperlink.2"/>
          <w:rtl w:val="0"/>
          <w:lang w:val="en-US"/>
        </w:rPr>
        <w:t>data collection</w:t>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w:rFonts w:ascii="Arial" w:hAnsi="Arial"/>
          <w:b w:val="1"/>
          <w:bCs w:val="1"/>
          <w:sz w:val="22"/>
          <w:szCs w:val="22"/>
          <w:rtl w:val="0"/>
          <w:lang w:val="en-US"/>
        </w:rPr>
        <w:t>References</w:t>
      </w:r>
    </w:p>
    <w:p>
      <w:pPr>
        <w:pStyle w:val="Text body"/>
        <w:ind w:left="480" w:hanging="480"/>
      </w:pPr>
      <w:r>
        <w:rPr>
          <w:rStyle w:val="None"/>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ind w:left="480" w:hanging="480"/>
      </w:pPr>
      <w:r>
        <w:rPr>
          <w:rStyle w:val="None"/>
          <w:rFonts w:ascii="Arial" w:hAnsi="Arial"/>
          <w:sz w:val="18"/>
          <w:szCs w:val="18"/>
          <w:rtl w:val="0"/>
          <w:lang w:val="en-US"/>
        </w:rPr>
        <w:t xml:space="preserve">2. 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ind w:left="480" w:hanging="480"/>
      </w:pPr>
      <w:r>
        <w:rPr>
          <w:rStyle w:val="None"/>
          <w:rFonts w:ascii="Arial" w:hAnsi="Arial"/>
          <w:sz w:val="18"/>
          <w:szCs w:val="18"/>
          <w:rtl w:val="0"/>
          <w:lang w:val="en-US"/>
        </w:rPr>
        <w:t xml:space="preserve">3.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pPr>
      <w:r>
        <w:rPr>
          <w:rStyle w:val="None"/>
          <w:rFonts w:ascii="Arial" w:hAnsi="Arial"/>
          <w:sz w:val="18"/>
          <w:szCs w:val="18"/>
          <w:rtl w:val="0"/>
          <w:lang w:val="en-US"/>
        </w:rPr>
        <w:t xml:space="preserve">4. 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ind w:left="480" w:hanging="480"/>
      </w:pPr>
      <w:r>
        <w:rPr>
          <w:rStyle w:val="None"/>
          <w:rFonts w:ascii="Arial" w:hAnsi="Arial"/>
          <w:sz w:val="18"/>
          <w:szCs w:val="18"/>
          <w:rtl w:val="0"/>
          <w:lang w:val="en-US"/>
        </w:rPr>
        <w:t xml:space="preserve">5. 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ind w:left="480" w:hanging="480"/>
      </w:pPr>
      <w:r>
        <w:rPr>
          <w:rStyle w:val="None"/>
          <w:rFonts w:ascii="Arial" w:hAnsi="Arial"/>
          <w:sz w:val="18"/>
          <w:szCs w:val="18"/>
          <w:rtl w:val="0"/>
          <w:lang w:val="en-US"/>
        </w:rPr>
        <w:t xml:space="preserve">7.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8.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9. 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ind w:left="480" w:hanging="480"/>
      </w:pPr>
      <w:r>
        <w:rPr>
          <w:rStyle w:val="None"/>
          <w:rFonts w:ascii="Arial" w:hAnsi="Arial"/>
          <w:sz w:val="18"/>
          <w:szCs w:val="18"/>
          <w:rtl w:val="0"/>
          <w:lang w:val="en-US"/>
        </w:rPr>
        <w:t xml:space="preserve">10. 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ind w:left="480" w:hanging="480"/>
      </w:pPr>
      <w:r>
        <w:rPr>
          <w:rStyle w:val="None"/>
          <w:rFonts w:ascii="Arial" w:hAnsi="Arial"/>
          <w:sz w:val="18"/>
          <w:szCs w:val="18"/>
          <w:rtl w:val="0"/>
          <w:lang w:val="en-US"/>
        </w:rPr>
        <w:t xml:space="preserve">11. 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ind w:left="480" w:hanging="480"/>
      </w:pPr>
      <w:r>
        <w:rPr>
          <w:rStyle w:val="None"/>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ind w:left="480" w:hanging="480"/>
      </w:pPr>
      <w:r>
        <w:rPr>
          <w:rStyle w:val="None"/>
          <w:rFonts w:ascii="Arial" w:hAnsi="Arial"/>
          <w:sz w:val="18"/>
          <w:szCs w:val="18"/>
          <w:rtl w:val="0"/>
          <w:lang w:val="en-US"/>
        </w:rPr>
        <w:t xml:space="preserve">13. 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ind w:left="480" w:hanging="480"/>
      </w:pPr>
      <w:r>
        <w:rPr>
          <w:rStyle w:val="None"/>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ind w:left="480" w:hanging="480"/>
      </w:pPr>
      <w:r>
        <w:rPr>
          <w:rStyle w:val="None"/>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ind w:left="480" w:hanging="480"/>
      </w:pPr>
      <w:r>
        <w:rPr>
          <w:rStyle w:val="None"/>
          <w:rFonts w:ascii="Arial" w:hAnsi="Arial"/>
          <w:sz w:val="18"/>
          <w:szCs w:val="18"/>
          <w:rtl w:val="0"/>
          <w:lang w:val="en-US"/>
        </w:rPr>
        <w:t xml:space="preserve">16. 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ind w:left="480" w:hanging="480"/>
      </w:pPr>
      <w:r>
        <w:rPr>
          <w:rStyle w:val="None"/>
          <w:rFonts w:ascii="Arial" w:hAnsi="Arial"/>
          <w:sz w:val="18"/>
          <w:szCs w:val="18"/>
          <w:rtl w:val="0"/>
          <w:lang w:val="en-US"/>
        </w:rPr>
        <w:t xml:space="preserve">17. 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ind w:left="480" w:hanging="480"/>
      </w:pPr>
      <w:r>
        <w:rPr>
          <w:rStyle w:val="None"/>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ind w:left="480" w:hanging="480"/>
      </w:pPr>
      <w:r>
        <w:rPr>
          <w:rStyle w:val="None"/>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ind w:left="480" w:hanging="480"/>
      </w:pPr>
      <w:r>
        <w:rPr>
          <w:rStyle w:val="None"/>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pPr>
      <w:r>
        <w:rPr>
          <w:rStyle w:val="None"/>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ind w:left="480" w:hanging="480"/>
      </w:pPr>
      <w:r>
        <w:rPr>
          <w:rStyle w:val="None"/>
          <w:rFonts w:ascii="Arial" w:hAnsi="Arial"/>
          <w:sz w:val="18"/>
          <w:szCs w:val="18"/>
          <w:rtl w:val="0"/>
          <w:lang w:val="en-US"/>
        </w:rPr>
        <w:t xml:space="preserve">22. 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23. 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24. 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25. Hundsberger, T., Braun, V., Weidmann, M., Leukel, P., Sauerborn, M., &amp; von Eichel-Streiber, C. (1997). Transcription </w:t>
        <w:tab/>
        <w:t xml:space="preserve">analysis </w:t>
      </w:r>
      <w:r>
        <w:rPr>
          <w:rStyle w:val="None"/>
          <w:rFonts w:ascii="Arial" w:hAnsi="Arial"/>
          <w:sz w:val="18"/>
          <w:szCs w:val="18"/>
          <w:rtl w:val="0"/>
          <w:lang w:val="en-US"/>
        </w:rPr>
        <w:t xml:space="preserve">of the genes tcdA-E of the pathogenicity locus of Clostridium difficile. </w:t>
      </w:r>
      <w:r>
        <w:rPr>
          <w:rStyle w:val="None"/>
          <w:rFonts w:ascii="Arial" w:hAnsi="Arial"/>
          <w:i w:val="1"/>
          <w:iCs w:val="1"/>
          <w:sz w:val="18"/>
          <w:szCs w:val="18"/>
          <w:rtl w:val="0"/>
          <w:lang w:val="en-US"/>
        </w:rPr>
        <w:t xml:space="preserve">European Journal of Biochemistry / </w:t>
        <w:tab/>
        <w:t>FEBS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fr-FR"/>
        </w:rPr>
        <w:t>26. Janoir, C., Den</w:t>
      </w:r>
      <w:r>
        <w:rPr>
          <w:rStyle w:val="None"/>
          <w:rFonts w:ascii="Arial" w:hAnsi="Arial" w:hint="default"/>
          <w:sz w:val="18"/>
          <w:szCs w:val="18"/>
          <w:rtl w:val="0"/>
          <w:lang w:val="fr-FR"/>
        </w:rPr>
        <w:t>è</w:t>
      </w:r>
      <w:r>
        <w:rPr>
          <w:rStyle w:val="None"/>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ind w:left="480" w:hanging="480"/>
      </w:pPr>
      <w:r>
        <w:rPr>
          <w:rStyle w:val="None"/>
          <w:rFonts w:ascii="Arial" w:hAnsi="Arial"/>
          <w:sz w:val="18"/>
          <w:szCs w:val="18"/>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w:rFonts w:ascii="Arial" w:hAnsi="Arial"/>
          <w:i w:val="1"/>
          <w:iCs w:val="1"/>
          <w:sz w:val="18"/>
          <w:szCs w:val="18"/>
          <w:rtl w:val="0"/>
          <w:lang w:val="de-DE"/>
        </w:rPr>
        <w:t>PLoS ONE</w:t>
      </w:r>
      <w:r>
        <w:rPr>
          <w:rStyle w:val="None"/>
          <w:rFonts w:ascii="Arial" w:hAnsi="Arial"/>
          <w:sz w:val="18"/>
          <w:szCs w:val="18"/>
          <w:rtl w:val="0"/>
          <w:lang w:val="en-US"/>
        </w:rPr>
        <w:t xml:space="preserve">, 11(6). </w:t>
        <w:tab/>
        <w:t>http://dx.doi.org/10.1371/journal.pone.0158204</w:t>
      </w:r>
    </w:p>
    <w:p>
      <w:pPr>
        <w:pStyle w:val="Text body"/>
        <w:ind w:left="480" w:hanging="480"/>
        <w:rPr>
          <w:rFonts w:ascii="Arial" w:cs="Arial" w:hAnsi="Arial" w:eastAsia="Arial"/>
          <w:sz w:val="18"/>
          <w:szCs w:val="18"/>
        </w:rPr>
      </w:pPr>
    </w:p>
    <w:p>
      <w:pPr>
        <w:pStyle w:val="Text body"/>
        <w:ind w:left="480" w:hanging="480"/>
      </w:pPr>
      <w:r>
        <w:rPr>
          <w:rStyle w:val="None"/>
          <w:rFonts w:ascii="Arial" w:hAnsi="Arial"/>
          <w:sz w:val="18"/>
          <w:szCs w:val="18"/>
          <w:rtl w:val="0"/>
          <w:lang w:val="en-US"/>
        </w:rPr>
        <w:t xml:space="preserve">31. 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ind w:left="480" w:hanging="480"/>
      </w:pPr>
      <w:r>
        <w:rPr>
          <w:rStyle w:val="None"/>
          <w:rFonts w:ascii="Arial" w:hAnsi="Arial"/>
          <w:sz w:val="18"/>
          <w:szCs w:val="18"/>
          <w:rtl w:val="0"/>
          <w:lang w:val="en-US"/>
        </w:rPr>
        <w:t xml:space="preserve">32. 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ind w:left="480" w:hanging="480"/>
      </w:pPr>
      <w:r>
        <w:rPr>
          <w:rStyle w:val="None"/>
          <w:rFonts w:ascii="Arial" w:hAnsi="Arial"/>
          <w:sz w:val="18"/>
          <w:szCs w:val="18"/>
          <w:rtl w:val="0"/>
          <w:lang w:val="en-US"/>
        </w:rPr>
        <w:t xml:space="preserve">33. 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ind w:left="480" w:hanging="480"/>
      </w:pPr>
      <w:r>
        <w:rPr>
          <w:rStyle w:val="None"/>
          <w:rFonts w:ascii="Arial" w:hAnsi="Arial"/>
          <w:sz w:val="18"/>
          <w:szCs w:val="18"/>
          <w:rtl w:val="0"/>
          <w:lang w:val="en-US"/>
        </w:rPr>
        <w:t xml:space="preserve">34. 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ind w:left="480" w:hanging="480"/>
      </w:pPr>
      <w:r>
        <w:rPr>
          <w:rStyle w:val="None"/>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ind w:left="480" w:hanging="480"/>
      </w:pPr>
      <w:r>
        <w:rPr>
          <w:rStyle w:val="None"/>
          <w:rFonts w:ascii="Arial" w:hAnsi="Arial"/>
          <w:sz w:val="18"/>
          <w:szCs w:val="18"/>
          <w:rtl w:val="0"/>
          <w:lang w:val="en-US"/>
        </w:rPr>
        <w:t xml:space="preserve">36. 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ind w:left="480" w:hanging="480"/>
      </w:pPr>
      <w:r>
        <w:rPr>
          <w:rStyle w:val="None"/>
          <w:rFonts w:ascii="Arial" w:hAnsi="Arial"/>
          <w:sz w:val="18"/>
          <w:szCs w:val="18"/>
          <w:rtl w:val="0"/>
          <w:lang w:val="en-US"/>
        </w:rPr>
        <w:t xml:space="preserve">37. 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ind w:left="480" w:hanging="480"/>
      </w:pPr>
      <w:r>
        <w:rPr>
          <w:rStyle w:val="None"/>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ind w:left="480" w:hanging="480"/>
      </w:pPr>
      <w:r>
        <w:rPr>
          <w:rStyle w:val="None"/>
          <w:rFonts w:ascii="Arial" w:hAnsi="Arial"/>
          <w:sz w:val="18"/>
          <w:szCs w:val="18"/>
          <w:rtl w:val="0"/>
          <w:lang w:val="en-US"/>
        </w:rPr>
        <w:t xml:space="preserve">39. 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ind w:left="480" w:hanging="480"/>
      </w:pPr>
      <w:r>
        <w:rPr>
          <w:rStyle w:val="None"/>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ind w:left="480" w:hanging="480"/>
      </w:pPr>
      <w:r>
        <w:rPr>
          <w:rStyle w:val="None"/>
          <w:rFonts w:ascii="Arial" w:hAnsi="Arial"/>
          <w:sz w:val="18"/>
          <w:szCs w:val="18"/>
          <w:rtl w:val="0"/>
          <w:lang w:val="en-US"/>
        </w:rPr>
        <w:t xml:space="preserve">42. 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ind w:left="480" w:hanging="480"/>
      </w:pPr>
      <w:r>
        <w:rPr>
          <w:rStyle w:val="None"/>
          <w:rFonts w:ascii="Arial" w:hAnsi="Arial"/>
          <w:sz w:val="18"/>
          <w:szCs w:val="18"/>
          <w:rtl w:val="0"/>
          <w:lang w:val="en-US"/>
        </w:rPr>
        <w:t>43.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pPr>
      <w:r>
        <w:rPr>
          <w:rStyle w:val="None"/>
          <w:rFonts w:ascii="Arial" w:hAnsi="Arial"/>
          <w:sz w:val="18"/>
          <w:szCs w:val="18"/>
          <w:rtl w:val="0"/>
          <w:lang w:val="en-US"/>
        </w:rPr>
        <w:t>44. 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ind w:left="480" w:hanging="480"/>
      </w:pPr>
      <w:r>
        <w:rPr>
          <w:rStyle w:val="None"/>
          <w:rFonts w:ascii="Arial" w:hAnsi="Arial"/>
          <w:sz w:val="18"/>
          <w:szCs w:val="18"/>
          <w:rtl w:val="0"/>
          <w:lang w:val="en-US"/>
        </w:rPr>
        <w:t xml:space="preserve">45. 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ind w:left="480" w:hanging="480"/>
      </w:pPr>
      <w:r>
        <w:rPr>
          <w:rStyle w:val="None"/>
          <w:rFonts w:ascii="Arial" w:hAnsi="Arial"/>
          <w:sz w:val="18"/>
          <w:szCs w:val="18"/>
          <w:rtl w:val="0"/>
          <w:lang w:val="en-US"/>
        </w:rPr>
        <w:t>46. 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ind w:left="480" w:hanging="480"/>
      </w:pPr>
      <w:r>
        <w:rPr>
          <w:rStyle w:val="None"/>
          <w:rFonts w:ascii="Arial" w:hAnsi="Arial"/>
          <w:sz w:val="18"/>
          <w:szCs w:val="18"/>
          <w:rtl w:val="0"/>
          <w:lang w:val="en-US"/>
        </w:rPr>
        <w:t>47.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pPr>
      <w:r>
        <w:rPr>
          <w:rStyle w:val="None"/>
          <w:rFonts w:ascii="Arial" w:hAnsi="Arial"/>
          <w:sz w:val="18"/>
          <w:szCs w:val="18"/>
          <w:rtl w:val="0"/>
          <w:lang w:val="en-US"/>
        </w:rPr>
        <w:t>48. 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ind w:left="480" w:hanging="480"/>
      </w:pPr>
      <w:r>
        <w:rPr>
          <w:rStyle w:val="None"/>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ind w:left="480" w:hanging="480"/>
      </w:pPr>
      <w:r>
        <w:rPr>
          <w:rStyle w:val="None"/>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w:rFonts w:ascii="Arial" w:hAnsi="Arial"/>
          <w:sz w:val="18"/>
          <w:szCs w:val="18"/>
          <w:rtl w:val="0"/>
          <w:lang w:val="en-US"/>
        </w:rPr>
        <w:t>51. 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ind w:left="480" w:hanging="480"/>
      </w:pPr>
      <w:r>
        <w:rPr>
          <w:rStyle w:val="None"/>
          <w:rFonts w:ascii="Arial" w:hAnsi="Arial"/>
          <w:sz w:val="18"/>
          <w:szCs w:val="18"/>
          <w:rtl w:val="0"/>
          <w:lang w:val="en-US"/>
        </w:rPr>
        <w:t xml:space="preserve">52. 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ind w:left="480" w:hanging="480"/>
      </w:pPr>
      <w:r>
        <w:rPr>
          <w:rStyle w:val="None"/>
          <w:rFonts w:ascii="Arial" w:hAnsi="Arial"/>
          <w:sz w:val="18"/>
          <w:szCs w:val="18"/>
          <w:rtl w:val="0"/>
          <w:lang w:val="en-US"/>
        </w:rPr>
        <w:t xml:space="preserve">53. 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ind w:left="480" w:hanging="480"/>
      </w:pPr>
      <w:r>
        <w:rPr>
          <w:rStyle w:val="None"/>
          <w:rFonts w:ascii="Arial" w:hAnsi="Arial"/>
          <w:sz w:val="18"/>
          <w:szCs w:val="18"/>
          <w:rtl w:val="0"/>
          <w:lang w:val="en-US"/>
        </w:rPr>
        <w:t>54. 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ind w:left="480" w:hanging="480"/>
      </w:pPr>
      <w:r>
        <w:rPr>
          <w:rStyle w:val="None"/>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ind w:left="480" w:hanging="480"/>
      </w:pPr>
      <w:r>
        <w:rPr>
          <w:rStyle w:val="None"/>
          <w:rFonts w:ascii="Arial" w:hAnsi="Arial"/>
          <w:sz w:val="18"/>
          <w:szCs w:val="18"/>
          <w:rtl w:val="0"/>
          <w:lang w:val="en-US"/>
        </w:rPr>
        <w:t xml:space="preserve">56.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pPr>
      <w:r>
        <w:rPr>
          <w:rStyle w:val="None"/>
          <w:rFonts w:ascii="Arial" w:hAnsi="Arial"/>
          <w:sz w:val="18"/>
          <w:szCs w:val="18"/>
          <w:rtl w:val="0"/>
          <w:lang w:val="en-US"/>
        </w:rPr>
        <w:t xml:space="preserve">57. 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ind w:left="480" w:hanging="480"/>
      </w:pPr>
      <w:r>
        <w:rPr>
          <w:rStyle w:val="None"/>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ind w:left="480" w:hanging="480"/>
      </w:pPr>
      <w:r>
        <w:rPr>
          <w:rStyle w:val="None"/>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ind w:left="480" w:hanging="480"/>
      </w:pPr>
      <w:r>
        <w:rPr>
          <w:rStyle w:val="None"/>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ind w:left="480" w:hanging="480"/>
      </w:pPr>
      <w:r>
        <w:rPr>
          <w:rStyle w:val="None"/>
          <w:rFonts w:ascii="Arial" w:hAnsi="Arial"/>
          <w:sz w:val="18"/>
          <w:szCs w:val="18"/>
          <w:rtl w:val="0"/>
          <w:lang w:val="en-US"/>
        </w:rPr>
        <w:t xml:space="preserve">61. 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ind w:left="480" w:hanging="480"/>
      </w:pPr>
      <w:r>
        <w:rPr>
          <w:rStyle w:val="None"/>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ind w:left="480" w:hanging="480"/>
      </w:pPr>
      <w:r>
        <w:rPr>
          <w:rStyle w:val="None"/>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ind w:left="480" w:hanging="480"/>
      </w:pPr>
      <w:r>
        <w:rPr>
          <w:rStyle w:val="None"/>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ind w:left="480" w:hanging="480"/>
      </w:pPr>
      <w:r>
        <w:rPr>
          <w:rStyle w:val="None"/>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ind w:left="480" w:hanging="480"/>
      </w:pPr>
      <w:r>
        <w:rPr>
          <w:rStyle w:val="None"/>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ind w:left="480" w:hanging="480"/>
      </w:pPr>
      <w:r>
        <w:rPr>
          <w:rStyle w:val="None"/>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ind w:left="480" w:hanging="480"/>
      </w:pPr>
      <w:r>
        <w:rPr>
          <w:rStyle w:val="None"/>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ind w:left="480" w:hanging="480"/>
      </w:pPr>
      <w:r>
        <w:rPr>
          <w:rStyle w:val="None"/>
          <w:rFonts w:ascii="Arial" w:hAnsi="Arial"/>
          <w:sz w:val="18"/>
          <w:szCs w:val="18"/>
          <w:rtl w:val="0"/>
          <w:lang w:val="en-US"/>
        </w:rPr>
        <w:t xml:space="preserve">71. 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pacing w:line="100" w:lineRule="atLeast"/>
        <w:ind w:left="480" w:hanging="480"/>
        <w:jc w:val="both"/>
      </w:pPr>
      <w:r>
        <w:rPr>
          <w:rStyle w:val="None"/>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pacing w:line="100" w:lineRule="atLeast"/>
        <w:ind w:left="480" w:hanging="480"/>
        <w:jc w:val="both"/>
      </w:pPr>
      <w:r>
        <w:rPr>
          <w:rStyle w:val="None"/>
          <w:rFonts w:ascii="Arial" w:hAnsi="Arial"/>
          <w:sz w:val="18"/>
          <w:szCs w:val="18"/>
          <w:rtl w:val="0"/>
          <w:lang w:val="en-US"/>
        </w:rPr>
        <w:t xml:space="preserve">73. 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bookmarkEnd w:id="16"/>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character" w:styleId="Hyperlink.2">
    <w:name w:val="Hyperlink.2"/>
    <w:basedOn w:val="None"/>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