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Target Journal:</w:t>
      </w:r>
      <w:r>
        <w:rPr>
          <w:rStyle w:val="None A"/>
          <w:rFonts w:ascii="Arial" w:hAnsi="Arial"/>
          <w:sz w:val="22"/>
          <w:szCs w:val="22"/>
          <w:rtl w:val="0"/>
          <w:lang w:val="en-US"/>
        </w:rPr>
        <w:t xml:space="preserve"> Nature Microbiology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ceca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adapted its nutrient utilization profile to colonize to high levels and express its virulence factors.</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antibiotic-treated specific pathogen free and germ free mice.</w:t>
      </w:r>
    </w:p>
    <w:p>
      <w:pPr>
        <w:pStyle w:val="Default"/>
        <w:shd w:val="clear" w:color="auto" w:fill="ffffff"/>
        <w:spacing w:line="480" w:lineRule="auto"/>
        <w:jc w:val="both"/>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&gt; 0.05; Fig. 2a). All antibiotic treated specific pathogen free (SPF) and germ free (GF)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SPF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but they also had relatively high levels of expression of </w:t>
      </w:r>
      <w:r>
        <w:rPr>
          <w:rStyle w:val="None A"/>
          <w:rFonts w:ascii="Arial" w:hAnsi="Arial"/>
          <w:i w:val="1"/>
          <w:iCs w:val="1"/>
          <w:sz w:val="22"/>
          <w:szCs w:val="22"/>
          <w:rtl w:val="0"/>
          <w:lang w:val="en-US"/>
        </w:rPr>
        <w:t xml:space="preserve">sspA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which are genes that code for effectors that protect DNA from damage during dormancy. Next, mice treated with clindamycin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expressed genes associated with late stages of sporulation,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Finally, GF mice harbored the highest density of spores and those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primarily expressed the dormancy genes linked with the latest stages sporulation.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Style w:val="None A"/>
          <w:rFonts w:ascii="Arial" w:hAnsi="Arial"/>
          <w:sz w:val="22"/>
          <w:szCs w:val="22"/>
          <w:rtl w:val="0"/>
          <w:lang w:val="en-US"/>
        </w:rPr>
        <w:t xml:space="preserve">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 A"/>
          <w:rFonts w:ascii="Arial" w:hAnsi="Arial"/>
          <w:i w:val="1"/>
          <w:iCs w:val="1"/>
          <w:sz w:val="22"/>
          <w:szCs w:val="22"/>
          <w:rtl w:val="0"/>
          <w:lang w:val="en-US"/>
        </w:rPr>
        <w:t xml:space="preserve">tcdA </w:t>
      </w:r>
      <w:r>
        <w:rPr>
          <w:rStyle w:val="None A"/>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Style w:val="None A"/>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which are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GF mice.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GF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-family of sigma factors is under the control of SpoA0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3d). We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in all of the antibiotic-treated groups, but 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(general fermentation regulator)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(Stickland fermentation regulator)</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Although the expression of both has been shown to be linked to environmental proline concentrations,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integrates additional signals from the intracellular NADH/NAD+ ratio to also control carbohydrate fermentation.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the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 highly in both cefoperazone-treated and GF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Style w:val="None A"/>
          <w:rFonts w:ascii="Arial" w:hAnsi="Arial"/>
          <w:sz w:val="22"/>
          <w:szCs w:val="22"/>
          <w:rtl w:val="0"/>
          <w:lang w:val="en-US"/>
        </w:rPr>
        <w:t>(Fig. 4a),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amino acids for energy as a central part of its metabolism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0"/>
      <w:r>
        <w:rPr>
          <w:rStyle w:val="None A"/>
          <w:rFonts w:ascii="Arial" w:hAnsi="Arial"/>
          <w:i w:val="1"/>
          <w:iCs w:val="1"/>
          <w:sz w:val="22"/>
          <w:szCs w:val="22"/>
          <w:rtl w:val="0"/>
          <w:lang w:val="en-US"/>
        </w:rPr>
        <w:t>adhE</w:t>
      </w:r>
      <w:bookmarkEnd w:id="0"/>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w:t>
      </w:r>
      <w:r>
        <w:rPr>
          <w:rStyle w:val="None A"/>
          <w:rFonts w:ascii="Arial" w:hAnsi="Arial"/>
          <w:sz w:val="22"/>
          <w:szCs w:val="22"/>
          <w:rtl w:val="0"/>
          <w:lang w:val="en-US"/>
        </w:rPr>
        <w:t>enzyme</w:t>
      </w:r>
      <w:r>
        <w:rPr>
          <w:rStyle w:val="None A"/>
          <w:rFonts w:ascii="Arial" w:hAnsi="Arial"/>
          <w:sz w:val="22"/>
          <w:szCs w:val="22"/>
          <w:rtl w:val="0"/>
          <w:lang w:val="en-US"/>
        </w:rPr>
        <w:t xml:space="preserve"> annotation</w:t>
      </w:r>
      <w:r>
        <w:rPr>
          <w:rStyle w:val="None A"/>
          <w:rFonts w:ascii="Arial" w:hAnsi="Arial"/>
          <w:sz w:val="22"/>
          <w:szCs w:val="22"/>
          <w:rtl w:val="0"/>
          <w:lang w:val="en-US"/>
        </w:rPr>
        <w:t>s from the genome</w:t>
      </w:r>
      <w:r>
        <w:rPr>
          <w:rStyle w:val="None A"/>
          <w:rFonts w:ascii="Arial" w:hAnsi="Arial"/>
          <w:sz w:val="22"/>
          <w:szCs w:val="22"/>
          <w:rtl w:val="0"/>
          <w:lang w:val="en-US"/>
        </w:rPr>
        <w:t xml:space="preserve">.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Style w:val="None A"/>
          <w:rFonts w:ascii="Arial" w:hAnsi="Arial" w:hint="default"/>
          <w:sz w:val="22"/>
          <w:szCs w:val="22"/>
          <w:rtl w:val="0"/>
          <w:lang w:val="en-US"/>
        </w:rPr>
        <w:t>’</w:t>
      </w:r>
      <w:r>
        <w:rPr>
          <w:rStyle w:val="None A"/>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Style w:val="None A"/>
          <w:rFonts w:ascii="Arial" w:hAnsi="Arial"/>
          <w:sz w:val="22"/>
          <w:szCs w:val="22"/>
          <w:shd w:val="clear" w:color="auto" w:fill="ffffff"/>
          <w:rtl w:val="0"/>
          <w:lang w:val="en-US"/>
        </w:rPr>
        <w:t xml:space="preserve">Moving beyond a strictly topological analysis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sought to utilize transcriptomic data to infer which metabolites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S7a)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(Ng, 2013; Theriot, 2014). This included close analogs of D-fructose, mannitol, N-acetylneuraminic acid, salicin, and D-sorbitol. Furthermore, in GF mice where no other competitors are present, our model indicates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nutrient sources between the susceptible environments it colonizes.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network-based approach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the most effective negative control is growth in media lacking carbohydrates but containing amino acids. </w:t>
      </w:r>
    </w:p>
    <w:p>
      <w:pPr>
        <w:pStyle w:val="Default"/>
        <w:shd w:val="clear" w:color="auto" w:fill="ffffff"/>
        <w:spacing w:line="480" w:lineRule="auto"/>
        <w:ind w:firstLine="709"/>
        <w:jc w:val="both"/>
      </w:pPr>
      <w:r>
        <w:rPr>
          <w:rStyle w:val="None A"/>
          <w:rFonts w:ascii="Arial" w:hAnsi="Arial"/>
          <w:sz w:val="22"/>
          <w:szCs w:val="22"/>
          <w:rtl w:val="0"/>
          <w:lang w:val="en-US"/>
        </w:rPr>
        <w:t>Shared metabolites tested for growth</w:t>
      </w:r>
      <w:r>
        <w:rPr>
          <w:rStyle w:val="None A"/>
          <w:rFonts w:ascii="Arial" w:hAnsi="Arial" w:hint="default"/>
          <w:sz w:val="22"/>
          <w:szCs w:val="22"/>
          <w:rtl w:val="0"/>
          <w:lang w:val="en-US"/>
        </w:rPr>
        <w:t>…</w:t>
      </w:r>
      <w:r>
        <w:rPr>
          <w:rStyle w:val="None A"/>
          <w:rFonts w:ascii="Arial" w:hAnsi="Arial"/>
          <w:sz w:val="22"/>
          <w:szCs w:val="22"/>
          <w:rtl w:val="0"/>
          <w:lang w:val="en-US"/>
        </w:rPr>
        <w:t>need a new color for shared (purple?)</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At least one carbohydrate highlighted as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the negative control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(Fig. 6b).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N-acetylneuraminate (GF;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Interestingly, the growth curve for D-sorbitol showed no difference over the negative controls.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if preference and not just availability could play a role in which carbon source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at a given time, we also grew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combinations of carbon sources from Fig. 5d. (Fig. 6c)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pPr>
      <w:r>
        <w:rPr>
          <w:rStyle w:val="None A"/>
          <w:rFonts w:ascii="Arial" w:cs="Arial" w:hAnsi="Arial" w:eastAsia="Arial"/>
          <w:sz w:val="22"/>
          <w:szCs w:val="22"/>
          <w:rtl w:val="0"/>
        </w:rPr>
        <w:tab/>
        <w:t xml:space="preserve">Collectively, our results support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(Antunes, 2011; Theriot, 2013; Matsumoto, 2012; Jump, 2014). These investigation</w:t>
      </w:r>
      <w:r>
        <w:rPr>
          <w:rStyle w:val="None A"/>
          <w:rFonts w:ascii="Arial" w:hAnsi="Arial"/>
          <w:sz w:val="22"/>
          <w:szCs w:val="22"/>
          <w:rtl w:val="0"/>
          <w:lang w:val="en-US"/>
        </w:rPr>
        <w:t>s</w:t>
      </w:r>
      <w:r>
        <w:rPr>
          <w:rStyle w:val="None A"/>
          <w:rFonts w:ascii="Arial" w:hAnsi="Arial"/>
          <w:sz w:val="22"/>
          <w:szCs w:val="22"/>
          <w:rtl w:val="0"/>
          <w:lang w:val="en-US"/>
        </w:rPr>
        <w:t xml:space="preserve">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This trend is also true in streptomycin and clindamycin pretreatments, as well as in GF mice with different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growth substrates enriched in each. Together, these results provide evidence that our network-based approach accurately predicts which metabolites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in a given environments and that these changes are most likely due to nutrient availability.</w:t>
      </w:r>
    </w:p>
    <w:p>
      <w:pPr>
        <w:pStyle w:val="Default"/>
        <w:shd w:val="clear" w:color="auto" w:fill="ffffff"/>
        <w:spacing w:line="480" w:lineRule="auto"/>
        <w:jc w:val="both"/>
      </w:pPr>
      <w:r>
        <w:rPr>
          <w:rStyle w:val="None A"/>
          <w:rFonts w:ascii="Arial" w:hAnsi="Arial"/>
          <w:sz w:val="22"/>
          <w:szCs w:val="22"/>
          <w:rtl w:val="0"/>
          <w:lang w:val="en-US"/>
        </w:rPr>
        <w:t xml:space="preserve">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 xml:space="preserve">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i w:val="1"/>
          <w:iCs w:val="1"/>
          <w:sz w:val="22"/>
          <w:szCs w:val="22"/>
          <w:rtl w:val="0"/>
          <w:lang w:val="en-US"/>
        </w:rPr>
        <w:t>Makes sense with alyx</w:t>
      </w:r>
      <w:r>
        <w:rPr>
          <w:rStyle w:val="None A"/>
          <w:rFonts w:ascii="Arial" w:hAnsi="Arial" w:hint="default"/>
          <w:i w:val="1"/>
          <w:iCs w:val="1"/>
          <w:sz w:val="22"/>
          <w:szCs w:val="22"/>
          <w:rtl w:val="0"/>
          <w:lang w:val="en-US"/>
        </w:rPr>
        <w:t>’</w:t>
      </w:r>
      <w:r>
        <w:rPr>
          <w:rStyle w:val="None A"/>
          <w:rFonts w:ascii="Arial" w:hAnsi="Arial"/>
          <w:i w:val="1"/>
          <w:iCs w:val="1"/>
          <w:sz w:val="22"/>
          <w:szCs w:val="22"/>
          <w:rtl w:val="0"/>
          <w:lang w:val="en-US"/>
        </w:rPr>
        <w:t xml:space="preserve">s clearance data </w:t>
      </w:r>
      <w:r>
        <w:rPr>
          <w:rStyle w:val="None A"/>
          <w:rFonts w:ascii="Arial" w:hAnsi="Arial" w:hint="default"/>
          <w:i w:val="1"/>
          <w:iCs w:val="1"/>
          <w:sz w:val="22"/>
          <w:szCs w:val="22"/>
          <w:rtl w:val="0"/>
          <w:lang w:val="en-US"/>
        </w:rPr>
        <w:t xml:space="preserve">– </w:t>
      </w:r>
      <w:r>
        <w:rPr>
          <w:rStyle w:val="None A"/>
          <w:rFonts w:ascii="Arial" w:hAnsi="Arial"/>
          <w:i w:val="1"/>
          <w:iCs w:val="1"/>
          <w:sz w:val="22"/>
          <w:szCs w:val="22"/>
          <w:rtl w:val="0"/>
          <w:lang w:val="en-US"/>
        </w:rPr>
        <w:t>clinda sporulation gene expression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GF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r>
        <w:rPr>
          <w:rStyle w:val="None A"/>
          <w:rFonts w:ascii="Arial" w:hAnsi="Arial"/>
          <w:sz w:val="22"/>
          <w:szCs w:val="22"/>
          <w:rtl w:val="0"/>
          <w:lang w:val="en-US"/>
        </w:rPr>
        <w:t xml:space="preserve"> </w:t>
      </w:r>
      <w:r>
        <w:rPr>
          <w:rStyle w:val="None A"/>
          <w:rFonts w:ascii="Arial" w:hAnsi="Arial"/>
          <w:sz w:val="22"/>
          <w:szCs w:val="22"/>
          <w:rtl w:val="0"/>
          <w:lang w:val="en-US"/>
        </w:rPr>
        <w:t xml:space="preserve">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 C. difficile as an autotroph could explain the appearance of CO2 in the shared metabolite list.</w:t>
      </w:r>
    </w:p>
    <w:p>
      <w:pPr>
        <w:pStyle w:val="Default"/>
        <w:shd w:val="clear" w:color="auto" w:fill="ffffff"/>
        <w:spacing w:line="480" w:lineRule="auto"/>
        <w:jc w:val="both"/>
        <w:rPr>
          <w:rStyle w:val="None A"/>
          <w:rFonts w:ascii="Arial" w:cs="Arial" w:hAnsi="Arial" w:eastAsia="Arial"/>
          <w:sz w:val="22"/>
          <w:szCs w:val="22"/>
        </w:rPr>
      </w:pPr>
      <w:r>
        <w:rPr>
          <w:rStyle w:val="Hyperlink.0"/>
        </w:rPr>
        <w:fldChar w:fldCharType="begin" w:fldLock="0"/>
      </w:r>
      <w:r>
        <w:rPr>
          <w:rStyle w:val="Hyperlink.0"/>
        </w:rPr>
        <w:instrText xml:space="preserve"> HYPERLINK "http://journals.plos.org/plosone/article?id=10.1371/journal.pone.0062157"</w:instrText>
      </w:r>
      <w:r>
        <w:rPr>
          <w:rStyle w:val="Hyperlink.0"/>
        </w:rPr>
        <w:fldChar w:fldCharType="separate" w:fldLock="0"/>
      </w:r>
      <w:r>
        <w:rPr>
          <w:rStyle w:val="Hyperlink.0"/>
          <w:rtl w:val="0"/>
          <w:lang w:val="en-US"/>
        </w:rPr>
        <w:t>http://journals.plos.org/plosone/article?id=10.1371/journal.pone.0062157</w:t>
      </w:r>
      <w:r>
        <w:rPr/>
        <w:fldChar w:fldCharType="end" w:fldLock="0"/>
      </w:r>
    </w:p>
    <w:p>
      <w:pPr>
        <w:pStyle w:val="Default"/>
        <w:shd w:val="clear" w:color="auto" w:fill="ffffff"/>
        <w:spacing w:line="480" w:lineRule="auto"/>
        <w:jc w:val="both"/>
        <w:rPr>
          <w:rStyle w:val="None A"/>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GF could have more important metabolites because it doesn</w:t>
      </w:r>
      <w:r>
        <w:rPr>
          <w:rStyle w:val="None A"/>
          <w:rFonts w:ascii="Arial" w:hAnsi="Arial" w:hint="default"/>
          <w:sz w:val="22"/>
          <w:szCs w:val="22"/>
          <w:rtl w:val="0"/>
          <w:lang w:val="en-US"/>
        </w:rPr>
        <w:t>’</w:t>
      </w:r>
      <w:r>
        <w:rPr>
          <w:rStyle w:val="None A"/>
          <w:rFonts w:ascii="Arial" w:hAnsi="Arial"/>
          <w:sz w:val="22"/>
          <w:szCs w:val="22"/>
          <w:rtl w:val="0"/>
          <w:lang w:val="en-US"/>
        </w:rPr>
        <w:t>t have to compete for nutrients with anything but the host so it doesn</w:t>
      </w:r>
      <w:r>
        <w:rPr>
          <w:rStyle w:val="None A"/>
          <w:rFonts w:ascii="Arial" w:hAnsi="Arial" w:hint="default"/>
          <w:sz w:val="22"/>
          <w:szCs w:val="22"/>
          <w:rtl w:val="0"/>
          <w:lang w:val="en-US"/>
        </w:rPr>
        <w:t>’</w:t>
      </w:r>
      <w:r>
        <w:rPr>
          <w:rStyle w:val="None A"/>
          <w:rFonts w:ascii="Arial" w:hAnsi="Arial"/>
          <w:sz w:val="22"/>
          <w:szCs w:val="22"/>
          <w:rtl w:val="0"/>
          <w:lang w:val="en-US"/>
        </w:rPr>
        <w:t>t produce as much itself</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rPr>
      </w:pPr>
      <w:r>
        <w:rPr>
          <w:rStyle w:val="None A"/>
          <w:rFonts w:ascii="Arial" w:cs="Arial" w:hAnsi="Arial" w:eastAsia="Arial"/>
          <w:sz w:val="22"/>
          <w:szCs w:val="22"/>
          <w:rtl w:val="0"/>
        </w:rPr>
        <w:tab/>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Because of this, these scores aren</w:t>
      </w:r>
      <w:r>
        <w:rPr>
          <w:rStyle w:val="None A"/>
          <w:rFonts w:ascii="Arial" w:hAnsi="Arial" w:hint="default"/>
          <w:sz w:val="22"/>
          <w:szCs w:val="22"/>
          <w:rtl w:val="0"/>
          <w:lang w:val="en-US"/>
        </w:rPr>
        <w:t>’</w:t>
      </w:r>
      <w:r>
        <w:rPr>
          <w:rStyle w:val="None A"/>
          <w:rFonts w:ascii="Arial" w:hAnsi="Arial"/>
          <w:sz w:val="22"/>
          <w:szCs w:val="22"/>
          <w:rtl w:val="0"/>
          <w:lang w:val="en-US"/>
        </w:rPr>
        <w:t>t subject to the effect of subtle differences in metabolism across small groups within the entire collection of activity within the species.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Unicode MS" w:cs="Arial Unicode MS" w:hAnsi="Arial Unicode MS" w:eastAsia="Arial Unicode MS"/>
          <w:b w:val="0"/>
          <w:bCs w:val="0"/>
          <w:i w:val="0"/>
          <w:iCs w:val="0"/>
          <w:sz w:val="22"/>
          <w:szCs w:val="22"/>
        </w:rPr>
        <w:br w:type="textWrapping"/>
      </w:r>
      <w:r>
        <w:rPr>
          <w:rStyle w:val="None A"/>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1"/>
        </w:rPr>
        <w:fldChar w:fldCharType="begin" w:fldLock="0"/>
      </w:r>
      <w:r>
        <w:rPr>
          <w:rStyle w:val="Hyperlink.1"/>
        </w:rPr>
        <w:instrText xml:space="preserve"> HYPERLINK "http://doi.org/10.1046/j.1432-1327.2001.02001.x"</w:instrText>
      </w:r>
      <w:r>
        <w:rPr>
          <w:rStyle w:val="Hyperlink.1"/>
        </w:rPr>
        <w:fldChar w:fldCharType="separate" w:fldLock="0"/>
      </w:r>
      <w:r>
        <w:rPr>
          <w:rStyle w:val="Hyperlink.1"/>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2"/>
        </w:rPr>
        <w:fldChar w:fldCharType="begin" w:fldLock="0"/>
      </w:r>
      <w:r>
        <w:rPr>
          <w:rStyle w:val="Hyperlink.2"/>
        </w:rPr>
        <w:instrText xml:space="preserve"> HYPERLINK "https://github.com/jlleslie/Intraspecific_Competition/blob/master/methods/Verocell_ToxinActivity_Assay.Rmd"</w:instrText>
      </w:r>
      <w:r>
        <w:rPr>
          <w:rStyle w:val="Hyperlink.2"/>
        </w:rPr>
        <w:fldChar w:fldCharType="separate" w:fldLock="0"/>
      </w:r>
      <w:r>
        <w:rPr>
          <w:rStyle w:val="Hyperlink.2"/>
          <w:rtl w:val="0"/>
          <w:lang w:val="en-US"/>
        </w:rPr>
        <w:t>https://github.com/jlleslie/Intraspecific_Competition/blob/master/methods/Verocell_ToxinActivity_Assa</w:t>
      </w:r>
      <w:r>
        <w:rPr/>
        <w:fldChar w:fldCharType="end" w:fldLock="0"/>
      </w:r>
      <w:r>
        <w:rPr>
          <w:rStyle w:val="Hyperlink.2"/>
        </w:rPr>
        <w:fldChar w:fldCharType="begin" w:fldLock="0"/>
      </w:r>
      <w:r>
        <w:rPr>
          <w:rStyle w:val="Hyperlink.2"/>
        </w:rPr>
        <w:instrText xml:space="preserve"> HYPERLINK "https://github.com/jlleslie/Intraspecific_Competition/blob/master/methods/Verocell_ToxinActivity_Assay.Rmd"</w:instrText>
      </w:r>
      <w:r>
        <w:rPr>
          <w:rStyle w:val="Hyperlink.2"/>
        </w:rPr>
        <w:fldChar w:fldCharType="separate" w:fldLock="0"/>
      </w:r>
      <w:r>
        <w:rPr>
          <w:rStyle w:val="Hyperlink.2"/>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A"/>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3"/>
        </w:rPr>
        <w:fldChar w:fldCharType="begin" w:fldLock="0"/>
      </w:r>
      <w:r>
        <w:rPr>
          <w:rStyle w:val="Hyperlink.3"/>
        </w:rPr>
        <w:instrText xml:space="preserve"> HYPERLINK "https://github.com/SchlossLab/Jenior_Transcriptomics_2015/blob/master/doc/wetlab_protocol.txt"</w:instrText>
      </w:r>
      <w:r>
        <w:rPr>
          <w:rStyle w:val="Hyperlink.3"/>
        </w:rPr>
        <w:fldChar w:fldCharType="separate" w:fldLock="0"/>
      </w:r>
      <w:r>
        <w:rPr>
          <w:rStyle w:val="Hyperlink.3"/>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3"/>
        </w:rPr>
        <w:fldChar w:fldCharType="begin" w:fldLock="0"/>
      </w:r>
      <w:r>
        <w:rPr>
          <w:rStyle w:val="Hyperlink.3"/>
        </w:rPr>
        <w:instrText xml:space="preserve"> HYPERLINK "http://broadinstitute.github.io/picard/"</w:instrText>
      </w:r>
      <w:r>
        <w:rPr>
          <w:rStyle w:val="Hyperlink.3"/>
        </w:rPr>
        <w:fldChar w:fldCharType="separate" w:fldLock="0"/>
      </w:r>
      <w:r>
        <w:rPr>
          <w:rStyle w:val="Hyperlink.3"/>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center"/>
        <w:rPr>
          <w:rStyle w:val="None A"/>
          <w:rFonts w:ascii="Arial" w:cs="Arial" w:hAnsi="Arial" w:eastAsia="Arial"/>
          <w:sz w:val="22"/>
          <w:szCs w:val="22"/>
        </w:rPr>
      </w:pPr>
      <w:r>
        <w:rPr>
          <w:rStyle w:val="None A"/>
          <w:rFonts w:ascii="Arial" w:hAnsi="Arial"/>
          <w:sz w:val="22"/>
          <w:szCs w:val="22"/>
          <w:rtl w:val="0"/>
          <w:lang w:val="en-US"/>
        </w:rPr>
        <w:t>*Equation</w:t>
      </w:r>
    </w:p>
    <w:p>
      <w:pPr>
        <w:pStyle w:val="Default"/>
        <w:shd w:val="clear" w:color="auto" w:fill="ffffff"/>
        <w:spacing w:line="480" w:lineRule="auto"/>
        <w:jc w:val="both"/>
      </w:pPr>
      <w:r>
        <w:rPr>
          <w:rStyle w:val="None A"/>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3"/>
        </w:rPr>
        <w:fldChar w:fldCharType="begin" w:fldLock="0"/>
      </w:r>
      <w:r>
        <w:rPr>
          <w:rStyle w:val="Hyperlink.3"/>
        </w:rPr>
        <w:instrText xml:space="preserve"> HYPERLINK "https://github.com/SchlossLab/Jenior_Transcriptomics_2015/blob/master/doc/drylab_protocol.txt"</w:instrText>
      </w:r>
      <w:r>
        <w:rPr>
          <w:rStyle w:val="Hyperlink.3"/>
        </w:rPr>
        <w:fldChar w:fldCharType="separate" w:fldLock="0"/>
      </w:r>
      <w:r>
        <w:rPr>
          <w:rStyle w:val="Hyperlink.3"/>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with enzymes that catalyze multiple reactions represented as single nodes.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The presumption of our approach is that enzymes that are more highly transcribed are more likely to utilize the substrates they act on due to coupled bacterial transcription and translation. Calculating overall metabolite importance is accomplished by first calculating the relative importance of compounds as both inputs and outputs of reactions in the network and then subtracting the output score from the input score (Fig. 5a). If a compound is more likely to be produced, the more negative the resulting score will be. 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xml:space="preserve">). </w:t>
      </w:r>
    </w:p>
    <w:p>
      <w:pPr>
        <w:pStyle w:val="Default"/>
        <w:shd w:val="clear" w:color="auto" w:fill="ffffff"/>
        <w:spacing w:line="480" w:lineRule="auto"/>
        <w:jc w:val="center"/>
        <w:rPr>
          <w:rStyle w:val="None A"/>
          <w:rFonts w:ascii="Arial" w:cs="Arial" w:hAnsi="Arial" w:eastAsia="Arial"/>
          <w:sz w:val="22"/>
          <w:szCs w:val="22"/>
        </w:rPr>
      </w:pPr>
      <w:r>
        <w:rPr>
          <w:rStyle w:val="None A"/>
          <w:rFonts w:ascii="Arial" w:hAnsi="Arial"/>
          <w:sz w:val="22"/>
          <w:szCs w:val="22"/>
          <w:rtl w:val="0"/>
          <w:lang w:val="en-US"/>
        </w:rPr>
        <w:t>*Equation</w:t>
      </w:r>
    </w:p>
    <w:p>
      <w:pPr>
        <w:pStyle w:val="Default"/>
        <w:shd w:val="clear" w:color="auto" w:fill="ffffff"/>
        <w:spacing w:line="480" w:lineRule="auto"/>
        <w:jc w:val="both"/>
      </w:pPr>
      <w:r>
        <w:rPr>
          <w:rStyle w:val="None A"/>
          <w:rFonts w:ascii="Arial" w:hAnsi="Arial"/>
          <w:sz w:val="22"/>
          <w:szCs w:val="22"/>
          <w:rtl w:val="0"/>
          <w:lang w:val="en-US"/>
        </w:rPr>
        <w:t>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By comparing the calculated scores to their simulated median and standard deviation from iterative randomization, we were able to detect which substrate scores were most likely not from consistent high scoring due to a large degree of centrality. These methods have been written into a single python script, along with supporting reference files, and is presented as BIGsmall (BacterIal Genome-Scale Metabolic models for AppLied reverse ecoLogy), available in a public Github repository at </w:t>
      </w:r>
      <w:r>
        <w:rPr>
          <w:rStyle w:val="Hyperlink.3"/>
        </w:rPr>
        <w:fldChar w:fldCharType="begin" w:fldLock="0"/>
      </w:r>
      <w:r>
        <w:rPr>
          <w:rStyle w:val="Hyperlink.3"/>
        </w:rPr>
        <w:instrText xml:space="preserve"> HYPERLINK "https://github.com/mjenior/bigsmall"</w:instrText>
      </w:r>
      <w:r>
        <w:rPr>
          <w:rStyle w:val="Hyperlink.3"/>
        </w:rPr>
        <w:fldChar w:fldCharType="separate" w:fldLock="0"/>
      </w:r>
      <w:r>
        <w:rPr>
          <w:rStyle w:val="Hyperlink.3"/>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Monte-Carlo simulation to distinguish calculated metabolite importances due to transcriptional patterns, from consistently important compounds or those scores derived from random chance. With this in mind we took an iterative approach of</w:t>
      </w:r>
      <w:r>
        <w:rPr>
          <w:rStyle w:val="None A"/>
          <w:rFonts w:ascii="Arial" w:hAnsi="Arial"/>
          <w:i w:val="1"/>
          <w:iCs w:val="1"/>
          <w:sz w:val="22"/>
          <w:szCs w:val="22"/>
          <w:rtl w:val="0"/>
          <w:lang w:val="en-US"/>
        </w:rPr>
        <w:t xml:space="preserve"> de novo</w:t>
      </w:r>
      <w:r>
        <w:rPr>
          <w:rStyle w:val="None A"/>
          <w:rFonts w:ascii="Arial" w:hAnsi="Arial"/>
          <w:sz w:val="22"/>
          <w:szCs w:val="22"/>
          <w:rtl w:val="0"/>
          <w:lang w:val="en-US"/>
        </w:rPr>
        <w:t xml:space="preserve"> generation of negative binomial distributions of transcript abundance for enzyme nodes and recalculating metabolite importances. Each substrate node accumulated a distribution of importance scores which were then used to calculate an interquartile range and 95% confidence interval. Scores from measured values were then compared against simulated ranges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comparisons. These simulations are available within the standard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 mg/mL,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w:t>
      </w:r>
    </w:p>
    <w:p>
      <w:pPr>
        <w:pStyle w:val="Default"/>
        <w:shd w:val="clear" w:color="auto" w:fill="ffffff"/>
        <w:spacing w:line="480" w:lineRule="auto"/>
        <w:jc w:val="both"/>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in 3 ml BHI + 0.5% cysteine. Cultures were then centrifuged at 2000 rpm for 5 minutes and resulting pellets were then washed twice with sterile, anaerobic 1</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1 | Experimental time lines for mouse model pretreatments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w:t>
      </w:r>
      <w:r>
        <w:rPr>
          <w:rStyle w:val="None A"/>
          <w:rFonts w:ascii="Arial" w:hAnsi="Arial"/>
          <w:sz w:val="22"/>
          <w:szCs w:val="22"/>
          <w:rtl w:val="0"/>
          <w:lang w:val="en-US"/>
        </w:rPr>
        <w:t xml:space="preserve"> Nine wild-type C57BL/6 mice were included in each pretreatment group.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Streptomycin or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cefoperazone administered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in drinking water for 5 days, with 2 days recovery with untreated drinking water before infection,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a single clindamycin intraperitoneal injection on Day -1 prior to infection, or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spores at the time of infection. Sacrifice and necropsy was done 18 hours post-challenge and cecal content was then collected.</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sporulation and toxin activity quantification after 18 hours of infection. (a)</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per gram of cecal content (n=9 mice per group). No significant differences were observed in between any group colonized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 xml:space="preserve">(b)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per gram of cecal content. Significantly more spores were detectable in GF mice compared to any of the antibiotic-treated SPF groups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0.05).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0.05). UD* in </w:t>
      </w:r>
      <w:r>
        <w:rPr>
          <w:rStyle w:val="None A"/>
          <w:rFonts w:ascii="Arial" w:hAnsi="Arial"/>
          <w:b w:val="1"/>
          <w:bCs w:val="1"/>
          <w:sz w:val="22"/>
          <w:szCs w:val="22"/>
          <w:rtl w:val="0"/>
          <w:lang w:val="en-US"/>
        </w:rPr>
        <w:t>a</w:t>
      </w:r>
      <w:r>
        <w:rPr>
          <w:rStyle w:val="None A"/>
          <w:rFonts w:ascii="Arial" w:hAnsi="Arial"/>
          <w:sz w:val="22"/>
          <w:szCs w:val="22"/>
          <w:rtl w:val="0"/>
          <w:lang w:val="en-US"/>
        </w:rPr>
        <w:t>,</w:t>
      </w:r>
      <w:r>
        <w:rPr>
          <w:rStyle w:val="None A"/>
          <w:rFonts w:ascii="Arial" w:hAnsi="Arial"/>
          <w:b w:val="1"/>
          <w:bCs w:val="1"/>
          <w:sz w:val="22"/>
          <w:szCs w:val="22"/>
          <w:rtl w:val="0"/>
          <w:lang w:val="en-US"/>
        </w:rPr>
        <w:t>b</w:t>
      </w:r>
      <w:r>
        <w:rPr>
          <w:rStyle w:val="None A"/>
          <w:rFonts w:ascii="Arial" w:hAnsi="Arial"/>
          <w:sz w:val="22"/>
          <w:szCs w:val="22"/>
          <w:rtl w:val="0"/>
          <w:lang w:val="en-US"/>
        </w:rPr>
        <w:t>,</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indicate that all points in this groups were undetectable and are significantly different from all other groups in each assay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480" w:lineRule="auto"/>
        <w:jc w:val="both"/>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Relative abundances of rarefied transcript data for each gene from pooled transcriptomic sequencing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condition.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Genes for effector proteins included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pathogenicity locus.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A"/>
          <w:rFonts w:ascii="Arial" w:hAnsi="Arial"/>
          <w:b w:val="1"/>
          <w:bCs w:val="1"/>
          <w:sz w:val="22"/>
          <w:szCs w:val="22"/>
          <w:rtl w:val="0"/>
          <w:lang w:val="en-US"/>
        </w:rPr>
        <w:t>a</w:t>
      </w:r>
      <w:r>
        <w:rPr>
          <w:rStyle w:val="None A"/>
          <w:rFonts w:ascii="Arial" w:hAnsi="Arial"/>
          <w:sz w:val="22"/>
          <w:szCs w:val="22"/>
          <w:rtl w:val="0"/>
          <w:lang w:val="en-US"/>
        </w:rPr>
        <w:t>-</w:t>
      </w:r>
      <w:r>
        <w:rPr>
          <w:rStyle w:val="None A"/>
          <w:rFonts w:ascii="Arial" w:hAnsi="Arial"/>
          <w:b w:val="1"/>
          <w:bCs w:val="1"/>
          <w:sz w:val="22"/>
          <w:szCs w:val="22"/>
          <w:rtl w:val="0"/>
          <w:lang w:val="en-US"/>
        </w:rPr>
        <w:t>d</w:t>
      </w:r>
      <w:r>
        <w:rPr>
          <w:rStyle w:val="None A"/>
          <w:rFonts w:ascii="Arial" w:hAnsi="Arial"/>
          <w:sz w:val="22"/>
          <w:szCs w:val="22"/>
          <w:rtl w:val="0"/>
          <w:lang w:val="en-US"/>
        </w:rPr>
        <w:t>. UD indicates genes from which transcript was undetectable.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None A"/>
          <w:rFonts w:ascii="Arial" w:hAnsi="Arial"/>
          <w:sz w:val="22"/>
          <w:szCs w:val="22"/>
          <w:rtl w:val="0"/>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A"/>
          <w:rFonts w:ascii="Arial" w:hAnsi="Arial"/>
          <w:b w:val="1"/>
          <w:bCs w:val="1"/>
          <w:sz w:val="22"/>
          <w:szCs w:val="22"/>
          <w:rtl w:val="0"/>
          <w:lang w:val="en-US"/>
        </w:rPr>
        <w:t xml:space="preserve">(a) </w:t>
      </w:r>
      <w:r>
        <w:rPr>
          <w:rStyle w:val="None A"/>
          <w:rFonts w:ascii="Arial" w:hAnsi="Arial"/>
          <w:sz w:val="22"/>
          <w:szCs w:val="22"/>
          <w:rtl w:val="0"/>
          <w:lang w:val="en-US"/>
        </w:rPr>
        <w:t xml:space="preserve">Point sizes were determined based on the expression from the condition with the highest value for each gene. </w:t>
      </w:r>
      <w:r>
        <w:rPr>
          <w:rStyle w:val="None A"/>
          <w:rFonts w:ascii="Arial" w:hAnsi="Arial"/>
          <w:b w:val="1"/>
          <w:bCs w:val="1"/>
          <w:sz w:val="22"/>
          <w:szCs w:val="22"/>
          <w:rtl w:val="0"/>
          <w:lang w:val="en-US"/>
        </w:rPr>
        <w:t xml:space="preserve">(b </w:t>
      </w:r>
      <w:r>
        <w:rPr>
          <w:rStyle w:val="None A"/>
          <w:rFonts w:ascii="Arial" w:hAnsi="Arial" w:hint="default"/>
          <w:sz w:val="22"/>
          <w:szCs w:val="22"/>
          <w:rtl w:val="0"/>
          <w:lang w:val="en-US"/>
        </w:rPr>
        <w:t>–</w:t>
      </w:r>
      <w:r>
        <w:rPr>
          <w:rStyle w:val="None A"/>
          <w:rFonts w:ascii="Arial" w:hAnsi="Arial"/>
          <w:b w:val="1"/>
          <w:bCs w:val="1"/>
          <w:sz w:val="22"/>
          <w:szCs w:val="22"/>
          <w:rtl w:val="0"/>
          <w:lang w:val="en-US"/>
        </w:rPr>
        <w:t xml:space="preserve"> i) </w:t>
      </w:r>
      <w:r>
        <w:rPr>
          <w:rStyle w:val="None A"/>
          <w:rFonts w:ascii="Arial" w:hAnsi="Arial"/>
          <w:sz w:val="22"/>
          <w:szCs w:val="22"/>
          <w:rtl w:val="0"/>
          <w:lang w:val="en-US"/>
        </w:rPr>
        <w:t xml:space="preserve">Groups from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are also plotted separately in without size differences so all points are visible. Genes included in each group and transcript abundances can be found in Table S2. Stats?</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genes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Metabolites shared among the 50 highest scoring between all conditions.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Most highly scoring distinctly important metabolites from each treatment group. The top 25 scoring metabolites from each group was cross-referenced against all others to arrive at metabolites differentially important between environments. Points in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&amp;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are the calculated metabolite importance scores based on the given sequenced transcriptome. Notched box plots in </w:t>
      </w:r>
      <w:bookmarkStart w:name="_DdeLink__1505_1075328573" w:id="1"/>
      <w:r>
        <w:rPr>
          <w:rStyle w:val="None A"/>
          <w:rFonts w:ascii="Arial" w:hAnsi="Arial"/>
          <w:b w:val="1"/>
          <w:bCs w:val="1"/>
          <w:sz w:val="22"/>
          <w:szCs w:val="22"/>
          <w:rtl w:val="0"/>
          <w:lang w:val="en-US"/>
        </w:rPr>
        <w:t>b</w:t>
      </w:r>
      <w:r>
        <w:rPr>
          <w:rStyle w:val="None A"/>
          <w:rFonts w:ascii="Arial" w:hAnsi="Arial"/>
          <w:sz w:val="22"/>
          <w:szCs w:val="22"/>
          <w:rtl w:val="0"/>
          <w:lang w:val="en-US"/>
        </w:rPr>
        <w:t xml:space="preserve"> &amp; </w:t>
      </w:r>
      <w:r>
        <w:rPr>
          <w:rStyle w:val="None A"/>
          <w:rFonts w:ascii="Arial" w:hAnsi="Arial"/>
          <w:b w:val="1"/>
          <w:bCs w:val="1"/>
          <w:sz w:val="22"/>
          <w:szCs w:val="22"/>
          <w:rtl w:val="0"/>
          <w:lang w:val="en-US"/>
        </w:rPr>
        <w:t>c</w:t>
      </w:r>
      <w:bookmarkEnd w:id="1"/>
      <w:r>
        <w:rPr>
          <w:rStyle w:val="None A"/>
          <w:rFonts w:ascii="Arial" w:hAnsi="Arial"/>
          <w:sz w:val="22"/>
          <w:szCs w:val="22"/>
          <w:rtl w:val="0"/>
          <w:lang w:val="en-US"/>
        </w:rPr>
        <w:t xml:space="preserve"> display the median, 95% confidence interval, and interquartile range generated from iterative randomization of transcript assignments. </w:t>
      </w:r>
      <w:r>
        <w:rPr>
          <w:rStyle w:val="None A"/>
          <w:rFonts w:ascii="Arial" w:hAnsi="Arial"/>
          <w:sz w:val="22"/>
          <w:szCs w:val="22"/>
          <w:rtl w:val="0"/>
          <w:lang w:val="en-US"/>
        </w:rPr>
        <w:t xml:space="preserve">All metabolites in b were </w:t>
      </w:r>
      <w:r>
        <w:rPr>
          <w:rStyle w:val="None A"/>
          <w:rFonts w:ascii="Arial" w:hAnsi="Arial"/>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6 |  C. difficile growth curves using metabolites predicted from network approach. (a)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shared analysis.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Glucose + Amino Acids controls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F-values &gt;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distinct metabolites from each group.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GF.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GF</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gene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Supplementary Figure  |  </w:t>
      </w:r>
      <w:r>
        <w:rPr>
          <w:rStyle w:val="None A"/>
          <w:rFonts w:ascii="Arial" w:hAnsi="Arial"/>
          <w:b w:val="1"/>
          <w:bCs w:val="1"/>
          <w:i w:val="1"/>
          <w:iCs w:val="1"/>
          <w:sz w:val="22"/>
          <w:szCs w:val="22"/>
          <w:rtl w:val="0"/>
          <w:lang w:val="en-US"/>
        </w:rPr>
        <w:t>cdtR expression</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High expression of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possessing neither </w:t>
      </w:r>
      <w:r>
        <w:rPr>
          <w:rStyle w:val="None A"/>
          <w:rFonts w:ascii="Arial" w:hAnsi="Arial"/>
          <w:i w:val="1"/>
          <w:iCs w:val="1"/>
          <w:sz w:val="22"/>
          <w:szCs w:val="22"/>
          <w:rtl w:val="0"/>
          <w:lang w:val="en-US"/>
        </w:rPr>
        <w:t>cdtA</w:t>
      </w:r>
      <w:r>
        <w:rPr>
          <w:rStyle w:val="None A"/>
          <w:rFonts w:ascii="Arial" w:hAnsi="Arial"/>
          <w:sz w:val="22"/>
          <w:szCs w:val="22"/>
          <w:rtl w:val="0"/>
          <w:lang w:val="en-US"/>
        </w:rPr>
        <w:t xml:space="preserve"> nor </w:t>
      </w:r>
      <w:r>
        <w:rPr>
          <w:rStyle w:val="None A"/>
          <w:rFonts w:ascii="Arial" w:hAnsi="Arial"/>
          <w:i w:val="1"/>
          <w:iCs w:val="1"/>
          <w:sz w:val="22"/>
          <w:szCs w:val="22"/>
          <w:rtl w:val="0"/>
          <w:lang w:val="en-US"/>
        </w:rPr>
        <w:t>cdtB</w:t>
      </w:r>
      <w:r>
        <w:rPr>
          <w:rStyle w:val="None A"/>
          <w:rFonts w:ascii="Arial" w:hAnsi="Arial"/>
          <w:sz w:val="22"/>
          <w:szCs w:val="22"/>
          <w:rtl w:val="0"/>
          <w:lang w:val="en-US"/>
        </w:rPr>
        <w:t xml:space="preserve"> genes.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7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None A"/>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4"/>
          <w:rFonts w:ascii="Arial" w:cs="Arial" w:hAnsi="Arial" w:eastAsia="Arial"/>
          <w:color w:val="0000ff"/>
          <w:sz w:val="18"/>
          <w:szCs w:val="18"/>
          <w:u w:val="single" w:color="0000ff"/>
          <w:lang w:val="en-US"/>
        </w:rPr>
        <w:fldChar w:fldCharType="begin" w:fldLock="0"/>
      </w:r>
      <w:r>
        <w:rPr>
          <w:rStyle w:val="Hyperlink.4"/>
          <w:rFonts w:ascii="Arial" w:cs="Arial" w:hAnsi="Arial" w:eastAsia="Arial"/>
          <w:color w:val="0000ff"/>
          <w:sz w:val="18"/>
          <w:szCs w:val="18"/>
          <w:u w:val="single" w:color="0000ff"/>
          <w:lang w:val="en-US"/>
        </w:rPr>
        <w:instrText xml:space="preserve"> HYPERLINK "http://doi.org/10.1128/JB.00098-15"</w:instrText>
      </w:r>
      <w:r>
        <w:rPr>
          <w:rStyle w:val="Hyperlink.4"/>
          <w:rFonts w:ascii="Arial" w:cs="Arial" w:hAnsi="Arial" w:eastAsia="Arial"/>
          <w:color w:val="0000ff"/>
          <w:sz w:val="18"/>
          <w:szCs w:val="18"/>
          <w:u w:val="single" w:color="0000ff"/>
          <w:lang w:val="en-US"/>
        </w:rPr>
        <w:fldChar w:fldCharType="separate" w:fldLock="0"/>
      </w:r>
      <w:r>
        <w:rPr>
          <w:rStyle w:val="Hyperlink.4"/>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4"/>
          <w:rFonts w:ascii="Arial" w:cs="Arial" w:hAnsi="Arial" w:eastAsia="Arial"/>
          <w:color w:val="0000ff"/>
          <w:sz w:val="18"/>
          <w:szCs w:val="18"/>
          <w:u w:val="single" w:color="0000ff"/>
          <w:lang w:val="en-US"/>
        </w:rPr>
        <w:fldChar w:fldCharType="begin" w:fldLock="0"/>
      </w:r>
      <w:r>
        <w:rPr>
          <w:rStyle w:val="Hyperlink.4"/>
          <w:rFonts w:ascii="Arial" w:cs="Arial" w:hAnsi="Arial" w:eastAsia="Arial"/>
          <w:color w:val="0000ff"/>
          <w:sz w:val="18"/>
          <w:szCs w:val="18"/>
          <w:u w:val="single" w:color="0000ff"/>
          <w:lang w:val="en-US"/>
        </w:rPr>
        <w:instrText xml:space="preserve"> HYPERLINK "http://doi.org/10.1111/j.1432-1033.1997.t01-1-00735.x"</w:instrText>
      </w:r>
      <w:r>
        <w:rPr>
          <w:rStyle w:val="Hyperlink.4"/>
          <w:rFonts w:ascii="Arial" w:cs="Arial" w:hAnsi="Arial" w:eastAsia="Arial"/>
          <w:color w:val="0000ff"/>
          <w:sz w:val="18"/>
          <w:szCs w:val="18"/>
          <w:u w:val="single" w:color="0000ff"/>
          <w:lang w:val="en-US"/>
        </w:rPr>
        <w:fldChar w:fldCharType="separate" w:fldLock="0"/>
      </w:r>
      <w:r>
        <w:rPr>
          <w:rStyle w:val="Hyperlink.4"/>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5"/>
        </w:rPr>
        <w:fldChar w:fldCharType="begin" w:fldLock="0"/>
      </w:r>
      <w:r>
        <w:rPr>
          <w:rStyle w:val="Hyperlink.5"/>
        </w:rPr>
        <w:instrText xml:space="preserve"> HYPERLINK "http://doi.org/10.1128/IAI.00515-13"</w:instrText>
      </w:r>
      <w:r>
        <w:rPr>
          <w:rStyle w:val="Hyperlink.5"/>
        </w:rPr>
        <w:fldChar w:fldCharType="separate" w:fldLock="0"/>
      </w:r>
      <w:r>
        <w:rPr>
          <w:rStyle w:val="Hyperlink.5"/>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6"/>
        </w:rPr>
        <w:fldChar w:fldCharType="begin" w:fldLock="0"/>
      </w:r>
      <w:r>
        <w:rPr>
          <w:rStyle w:val="Hyperlink.6"/>
        </w:rPr>
        <w:instrText xml:space="preserve"> HYPERLINK "http://doi.org/10.1056/NEJMoa1408913"</w:instrText>
      </w:r>
      <w:r>
        <w:rPr>
          <w:rStyle w:val="Hyperlink.6"/>
        </w:rPr>
        <w:fldChar w:fldCharType="separate" w:fldLock="0"/>
      </w:r>
      <w:r>
        <w:rPr>
          <w:rStyle w:val="Hyperlink.6"/>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 H. W., &amp; Zeng, A. P. (2003). The connectivity structure, giant strong component and centrality of metabolic networks. Bioinformatics, 19(11), 1423</w:t>
      </w:r>
      <w:r>
        <w:rPr>
          <w:rStyle w:val="None A"/>
          <w:rFonts w:ascii="Arial" w:hAnsi="Arial" w:hint="default"/>
          <w:sz w:val="18"/>
          <w:szCs w:val="18"/>
          <w:rtl w:val="0"/>
          <w:lang w:val="en-US"/>
        </w:rPr>
        <w:t>–</w:t>
      </w:r>
      <w:r>
        <w:rPr>
          <w:rStyle w:val="None A"/>
          <w:rFonts w:ascii="Arial" w:hAnsi="Arial"/>
          <w:sz w:val="18"/>
          <w:szCs w:val="18"/>
          <w:rtl w:val="0"/>
          <w:lang w:val="en-US"/>
        </w:rPr>
        <w:t xml:space="preserve">1430. http://doi.org/10.1093/bioinformatics/btg177Martin,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A"/>
          <w:rFonts w:ascii="Arial" w:hAnsi="Arial" w:hint="default"/>
          <w:sz w:val="18"/>
          <w:szCs w:val="18"/>
          <w:rtl w:val="0"/>
          <w:lang w:val="en-US"/>
        </w:rPr>
        <w:t>–</w:t>
      </w:r>
      <w:r>
        <w:rPr>
          <w:rStyle w:val="None A"/>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7"/>
        </w:rPr>
        <w:fldChar w:fldCharType="begin" w:fldLock="0"/>
      </w:r>
      <w:r>
        <w:rPr>
          <w:rStyle w:val="Hyperlink.7"/>
        </w:rPr>
        <w:instrText xml:space="preserve"> HYPERLINK "http://doi.org/10.1007/s10096-015-2479-6"</w:instrText>
      </w:r>
      <w:r>
        <w:rPr>
          <w:rStyle w:val="Hyperlink.7"/>
        </w:rPr>
        <w:fldChar w:fldCharType="separate" w:fldLock="0"/>
      </w:r>
      <w:r>
        <w:rPr>
          <w:rStyle w:val="Hyperlink.7"/>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Hyperlink"/>
    <w:next w:val="Hyperlink.0"/>
    <w:rPr>
      <w:color w:val="0000ff"/>
      <w:u w:val="single" w:color="0000ff"/>
    </w:rPr>
  </w:style>
  <w:style w:type="character" w:styleId="Hyperlink.1">
    <w:name w:val="Hyperlink.1"/>
    <w:basedOn w:val="None A"/>
    <w:next w:val="Hyperlink.1"/>
    <w:rPr>
      <w:color w:val="0000ff"/>
      <w:u w:val="single" w:color="0000ff"/>
    </w:rPr>
  </w:style>
  <w:style w:type="character" w:styleId="Hyperlink.2">
    <w:name w:val="Hyperlink.2"/>
    <w:basedOn w:val="None A"/>
    <w:next w:val="Hyperlink.2"/>
    <w:rPr>
      <w:rFonts w:ascii="Arial" w:cs="Arial" w:hAnsi="Arial" w:eastAsia="Arial"/>
      <w:caps w:val="0"/>
      <w:smallCaps w:val="0"/>
      <w:color w:val="000000"/>
      <w:spacing w:val="0"/>
      <w:sz w:val="22"/>
      <w:szCs w:val="22"/>
      <w:u w:val="single" w:color="000000"/>
    </w:rPr>
  </w:style>
  <w:style w:type="character" w:styleId="Hyperlink.3">
    <w:name w:val="Hyperlink.3"/>
    <w:basedOn w:val="None A"/>
    <w:next w:val="Hyperlink.3"/>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4">
    <w:name w:val="Hyperlink.4"/>
    <w:basedOn w:val="None A"/>
    <w:next w:val="Hyperlink.4"/>
    <w:rPr>
      <w:rFonts w:ascii="Arial" w:cs="Arial" w:hAnsi="Arial" w:eastAsia="Arial"/>
      <w:color w:val="0000ff"/>
      <w:sz w:val="18"/>
      <w:szCs w:val="18"/>
      <w:u w:val="single" w:color="0000ff"/>
      <w:lang w:val="en-US"/>
    </w:rPr>
  </w:style>
  <w:style w:type="character" w:styleId="Hyperlink.5">
    <w:name w:val="Hyperlink.5"/>
    <w:basedOn w:val="None A"/>
    <w:next w:val="Hyperlink.5"/>
    <w:rPr>
      <w:rFonts w:ascii="Arial" w:cs="Arial" w:hAnsi="Arial" w:eastAsia="Arial"/>
      <w:color w:val="0000ff"/>
      <w:sz w:val="18"/>
      <w:szCs w:val="18"/>
      <w:u w:val="single" w:color="0000ff"/>
    </w:rPr>
  </w:style>
  <w:style w:type="character" w:styleId="Hyperlink.6">
    <w:name w:val="Hyperlink.6"/>
    <w:basedOn w:val="None A"/>
    <w:next w:val="Hyperlink.6"/>
    <w:rPr>
      <w:rFonts w:ascii="Arial" w:cs="Arial" w:hAnsi="Arial" w:eastAsia="Arial"/>
      <w:color w:val="000080"/>
      <w:sz w:val="18"/>
      <w:szCs w:val="18"/>
      <w:u w:val="single" w:color="000080"/>
    </w:rPr>
  </w:style>
  <w:style w:type="character" w:styleId="Hyperlink.7">
    <w:name w:val="Hyperlink.7"/>
    <w:basedOn w:val="None A"/>
    <w:next w:val="Hyperlink.7"/>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