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gene expression of key sigma factors </w:t>
      </w:r>
      <w:r>
        <w:rPr>
          <w:rStyle w:val="None A"/>
          <w:rFonts w:ascii="Arial" w:hAnsi="Arial"/>
          <w:b w:val="1"/>
          <w:bCs w:val="1"/>
          <w:sz w:val="22"/>
          <w:szCs w:val="22"/>
          <w:rtl w:val="0"/>
          <w:lang w:val="en-US"/>
        </w:rPr>
        <w:t>under control or metabolic cues a</w:t>
      </w:r>
      <w:r>
        <w:rPr>
          <w:rStyle w:val="None A"/>
          <w:rFonts w:ascii="Arial" w:hAnsi="Arial"/>
          <w:b w:val="1"/>
          <w:bCs w:val="1"/>
          <w:sz w:val="22"/>
          <w:szCs w:val="22"/>
          <w:rtl w:val="0"/>
          <w:lang w:val="en-US"/>
        </w:rPr>
        <w:t>cross antibiotic treatments.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To narrow our analysis of the transcriptomic data, we chose to focus on genes that code for sigma factors, sporulation, pathogenesis, and quorum sensing.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Transcript </w:t>
      </w:r>
      <w:r>
        <w:rPr>
          <w:rStyle w:val="None A"/>
          <w:rFonts w:ascii="Arial" w:hAnsi="Arial"/>
          <w:sz w:val="22"/>
          <w:szCs w:val="22"/>
          <w:rtl w:val="0"/>
          <w:lang w:val="en-US"/>
        </w:rPr>
        <w:t xml:space="preserve"> for t</w:t>
      </w:r>
      <w:r>
        <w:rPr>
          <w:rStyle w:val="None A"/>
          <w:rFonts w:ascii="Arial" w:hAnsi="Arial"/>
          <w:sz w:val="22"/>
          <w:szCs w:val="22"/>
          <w:rtl w:val="0"/>
          <w:lang w:val="en-US"/>
        </w:rPr>
        <w:t xml:space="preserve">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was highly </w:t>
      </w:r>
      <w:r>
        <w:rPr>
          <w:rStyle w:val="None A"/>
          <w:rFonts w:ascii="Arial" w:hAnsi="Arial"/>
          <w:sz w:val="22"/>
          <w:szCs w:val="22"/>
          <w:rtl w:val="0"/>
          <w:lang w:val="en-US"/>
        </w:rPr>
        <w:t>detectable</w:t>
      </w:r>
      <w:r>
        <w:rPr>
          <w:rStyle w:val="None A"/>
          <w:rFonts w:ascii="Arial" w:hAnsi="Arial"/>
          <w:sz w:val="22"/>
          <w:szCs w:val="22"/>
          <w:rtl w:val="0"/>
          <w:lang w:val="en-US"/>
        </w:rPr>
        <w:t xml:space="preserve"> in each condition, despite apparent differences in toxin and spore production (Fig. 3</w:t>
      </w:r>
      <w:r>
        <w:rPr>
          <w:rStyle w:val="None A"/>
          <w:rFonts w:ascii="Arial" w:hAnsi="Arial"/>
          <w:sz w:val="22"/>
          <w:szCs w:val="22"/>
          <w:rtl w:val="0"/>
          <w:lang w:val="en-US"/>
        </w:rPr>
        <w:t>a</w:t>
      </w:r>
      <w:r>
        <w:rPr>
          <w:rStyle w:val="None A"/>
          <w:rFonts w:ascii="Arial" w:hAnsi="Arial"/>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rPr>
          <w:rStyle w:val="None A"/>
          <w:rFonts w:ascii="Arial" w:cs="Arial" w:hAnsi="Arial" w:eastAsia="Arial"/>
          <w:sz w:val="22"/>
          <w:szCs w:val="22"/>
        </w:rPr>
      </w:pPr>
      <w:r>
        <w:rPr>
          <w:rtl w:val="0"/>
          <w:lang w:val="en-US"/>
        </w:rPr>
        <w:t xml:space="preserve">SpoA0 expression </w:t>
      </w:r>
      <w:r>
        <w:rPr>
          <w:rStyle w:val="None A"/>
          <w:rFonts w:ascii="Arial" w:hAnsi="Arial"/>
          <w:sz w:val="22"/>
          <w:szCs w:val="22"/>
          <w:rtl w:val="0"/>
          <w:lang w:val="en-US"/>
        </w:rPr>
        <w:t>This agrees with the measured differences in CFU due to spores (Fig. 2</w:t>
      </w:r>
      <w:r>
        <w:rPr>
          <w:rStyle w:val="None A"/>
          <w:rFonts w:ascii="Arial" w:hAnsi="Arial"/>
          <w:sz w:val="22"/>
          <w:szCs w:val="22"/>
          <w:rtl w:val="0"/>
          <w:lang w:val="en-US"/>
        </w:rPr>
        <w:t>c</w:t>
      </w:r>
      <w:r>
        <w:rPr>
          <w:rStyle w:val="None A"/>
          <w:rFonts w:ascii="Arial" w:hAnsi="Arial"/>
          <w:sz w:val="22"/>
          <w:szCs w:val="22"/>
          <w:rtl w:val="0"/>
          <w:lang w:val="en-US"/>
        </w:rPr>
        <w:t xml:space="preserve">) where cefoperazone treatment resulted in </w:t>
      </w:r>
      <w:r>
        <w:rPr>
          <w:rStyle w:val="None A"/>
          <w:rFonts w:ascii="Arial" w:hAnsi="Arial"/>
          <w:sz w:val="22"/>
          <w:szCs w:val="22"/>
          <w:rtl w:val="0"/>
          <w:lang w:val="en-US"/>
        </w:rPr>
        <w:t>lower</w:t>
      </w:r>
      <w:r>
        <w:rPr>
          <w:rStyle w:val="None A"/>
          <w:rFonts w:ascii="Arial" w:hAnsi="Arial"/>
          <w:sz w:val="22"/>
          <w:szCs w:val="22"/>
          <w:rtl w:val="0"/>
          <w:lang w:val="en-US"/>
        </w:rPr>
        <w:t xml:space="preserve"> sporulation.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also varies virulence gene expression between antibiotic treatment groups.</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3</w:t>
      </w:r>
      <w:r>
        <w:rPr>
          <w:rStyle w:val="None A"/>
          <w:rFonts w:ascii="Arial" w:hAnsi="Arial"/>
          <w:sz w:val="22"/>
          <w:szCs w:val="22"/>
          <w:rtl w:val="0"/>
          <w:lang w:val="en-US"/>
        </w:rPr>
        <w:t>D</w:t>
      </w:r>
      <w:r>
        <w:rPr>
          <w:rStyle w:val="None A"/>
          <w:rFonts w:ascii="Arial" w:hAnsi="Arial"/>
          <w:sz w:val="22"/>
          <w:szCs w:val="22"/>
          <w:rtl w:val="0"/>
          <w:lang w:val="en-US"/>
        </w:rPr>
        <w:t xml:space="preserve">). We further examined transcription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t>
      </w:r>
      <w:r>
        <w:rPr>
          <w:rStyle w:val="None A"/>
          <w:rFonts w:ascii="Arial" w:hAnsi="Arial"/>
          <w:sz w:val="22"/>
          <w:szCs w:val="22"/>
          <w:rtl w:val="0"/>
          <w:lang w:val="en-US"/>
        </w:rPr>
        <w:t xml:space="preserve">Alvarez, 2007; Fimlaid, 2013; </w:t>
      </w:r>
      <w:r>
        <w:rPr>
          <w:rStyle w:val="None A"/>
          <w:rFonts w:ascii="Arial" w:hAnsi="Arial"/>
          <w:sz w:val="22"/>
          <w:szCs w:val="22"/>
          <w:rtl w:val="0"/>
          <w:lang w:val="en-US"/>
        </w:rPr>
        <w:t>Saujet, 2014), focusing on those that demonstrated the highest variance between antibiotic treatments (</w:t>
      </w:r>
      <w:r>
        <w:rPr>
          <w:rStyle w:val="None A"/>
          <w:rFonts w:ascii="Arial" w:hAnsi="Arial"/>
          <w:sz w:val="22"/>
          <w:szCs w:val="22"/>
          <w:rtl w:val="0"/>
          <w:lang w:val="en-US"/>
        </w:rPr>
        <w:t>&gt; 0.01</w:t>
      </w:r>
      <w:r>
        <w:rPr>
          <w:rStyle w:val="None A"/>
          <w:rFonts w:ascii="Arial" w:hAnsi="Arial"/>
          <w:sz w:val="22"/>
          <w:szCs w:val="22"/>
          <w:rtl w:val="0"/>
          <w:lang w:val="en-US"/>
        </w:rPr>
        <w:t xml:space="preserve">). </w:t>
      </w:r>
      <w:r>
        <w:rPr>
          <w:rStyle w:val="None A"/>
          <w:rFonts w:ascii="Arial" w:hAnsi="Arial"/>
          <w:sz w:val="22"/>
          <w:szCs w:val="22"/>
          <w:rtl w:val="0"/>
          <w:lang w:val="en-US"/>
        </w:rPr>
        <w:t>I</w:t>
      </w:r>
      <w:r>
        <w:rPr>
          <w:rStyle w:val="None A"/>
          <w:rFonts w:ascii="Arial" w:hAnsi="Arial"/>
          <w:sz w:val="22"/>
          <w:szCs w:val="22"/>
          <w:rtl w:val="0"/>
          <w:lang w:val="en-US"/>
        </w:rPr>
        <w:t>n Cefoperzone</w:t>
      </w:r>
      <w:r>
        <w:rPr>
          <w:rStyle w:val="None A"/>
          <w:rFonts w:ascii="Arial" w:hAnsi="Arial"/>
          <w:sz w:val="22"/>
          <w:szCs w:val="22"/>
          <w:rtl w:val="0"/>
          <w:lang w:val="en-US"/>
        </w:rPr>
        <w:t>-</w:t>
      </w:r>
      <w:r>
        <w:rPr>
          <w:rStyle w:val="None A"/>
          <w:rFonts w:ascii="Arial" w:hAnsi="Arial"/>
          <w:sz w:val="22"/>
          <w:szCs w:val="22"/>
          <w:rtl w:val="0"/>
          <w:lang w:val="en-US"/>
        </w:rPr>
        <w:t xml:space="preserve">treated </w:t>
      </w:r>
      <w:r>
        <w:rPr>
          <w:rStyle w:val="None A"/>
          <w:rFonts w:ascii="Arial" w:hAnsi="Arial"/>
          <w:sz w:val="22"/>
          <w:szCs w:val="22"/>
          <w:rtl w:val="0"/>
          <w:lang w:val="en-US"/>
        </w:rPr>
        <w:t>mice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all associated with later sporulation stages (Permpoonpattan, 2013). 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3C).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cefoperazone-treated mice.</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w:t>
      </w:r>
      <w:r>
        <w:rPr>
          <w:rStyle w:val="None A"/>
          <w:rFonts w:ascii="Arial" w:hAnsi="Arial"/>
          <w:sz w:val="22"/>
          <w:szCs w:val="22"/>
          <w:rtl w:val="0"/>
          <w:lang w:val="en-US"/>
        </w:rPr>
        <w:t>but</w:t>
      </w:r>
      <w:r>
        <w:rPr>
          <w:rStyle w:val="None A"/>
          <w:rFonts w:ascii="Arial" w:hAnsi="Arial"/>
          <w:sz w:val="22"/>
          <w:szCs w:val="22"/>
          <w:rtl w:val="0"/>
          <w:lang w:val="en-US"/>
        </w:rPr>
        <w:t xml:space="preserve"> differential expression of genes </w:t>
      </w:r>
      <w:r>
        <w:rPr>
          <w:rStyle w:val="None A"/>
          <w:rFonts w:ascii="Arial" w:hAnsi="Arial"/>
          <w:sz w:val="22"/>
          <w:szCs w:val="22"/>
          <w:rtl w:val="0"/>
          <w:lang w:val="en-US"/>
        </w:rPr>
        <w:t>under the control of specific nutrient concentrations in antibiotic-treated animals</w:t>
      </w:r>
      <w:r>
        <w:rPr>
          <w:rStyle w:val="None A"/>
          <w:rFonts w:ascii="Arial" w:hAnsi="Arial"/>
          <w:sz w:val="22"/>
          <w:szCs w:val="22"/>
          <w:rtl w:val="0"/>
          <w:lang w:val="en-US"/>
        </w:rPr>
        <w:t xml:space="preserve"> suggest</w:t>
      </w:r>
      <w:r>
        <w:rPr>
          <w:rStyle w:val="None A"/>
          <w:rFonts w:ascii="Arial" w:hAnsi="Arial"/>
          <w:sz w:val="22"/>
          <w:szCs w:val="22"/>
          <w:rtl w:val="0"/>
          <w:lang w:val="en-US"/>
        </w:rPr>
        <w:t>s</w:t>
      </w:r>
      <w:r>
        <w:rPr>
          <w:rStyle w:val="None A"/>
          <w:rFonts w:ascii="Arial" w:hAnsi="Arial"/>
          <w:sz w:val="22"/>
          <w:szCs w:val="22"/>
          <w:rtl w:val="0"/>
          <w:lang w:val="en-US"/>
        </w:rPr>
        <w:t xml:space="preserv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adapting </w:t>
      </w:r>
      <w:r>
        <w:rPr>
          <w:rStyle w:val="None A"/>
          <w:rFonts w:ascii="Arial" w:hAnsi="Arial"/>
          <w:sz w:val="22"/>
          <w:szCs w:val="22"/>
          <w:rtl w:val="0"/>
          <w:lang w:val="en-US"/>
        </w:rPr>
        <w:t xml:space="preserve">differently </w:t>
      </w:r>
      <w:r>
        <w:rPr>
          <w:rStyle w:val="None A"/>
          <w:rFonts w:ascii="Arial" w:hAnsi="Arial"/>
          <w:sz w:val="22"/>
          <w:szCs w:val="22"/>
          <w:rtl w:val="0"/>
          <w:lang w:val="en-US"/>
        </w:rPr>
        <w:t xml:space="preserve">to </w:t>
      </w:r>
      <w:r>
        <w:rPr>
          <w:rStyle w:val="None A"/>
          <w:rFonts w:ascii="Arial" w:hAnsi="Arial"/>
          <w:sz w:val="22"/>
          <w:szCs w:val="22"/>
          <w:rtl w:val="0"/>
          <w:lang w:val="en-US"/>
        </w:rPr>
        <w:t xml:space="preserve">each </w:t>
      </w:r>
      <w:r>
        <w:rPr>
          <w:rStyle w:val="None A"/>
          <w:rFonts w:ascii="Arial" w:hAnsi="Arial"/>
          <w:sz w:val="22"/>
          <w:szCs w:val="22"/>
          <w:rtl w:val="0"/>
          <w:lang w:val="en-US"/>
        </w:rPr>
        <w:t xml:space="preserve">environment. To test this further, we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quantified the differential expression of genes in each gene set (Fig. 4a). Among the genes classified as sugar transporters, those that are PTS transporters (Fig. 4b) were overrepresented in both clindamycin and streptomycin-treated mice, and ABC sugar transporters (Fig. 4c) were overrepresented in the cefoparazone-treated mice. Sugar alcohol catabolism genes were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w:t>
      </w:r>
      <w:r>
        <w:rPr>
          <w:rtl w:val="0"/>
          <w:lang w:val="en-US"/>
        </w:rPr>
        <w:t xml:space="preserve"> </w:t>
      </w:r>
      <w:r>
        <w:rPr>
          <w:rStyle w:val="None A"/>
          <w:rFonts w:ascii="Arial" w:hAnsi="Arial"/>
          <w:sz w:val="22"/>
          <w:szCs w:val="22"/>
          <w:rtl w:val="0"/>
          <w:lang w:val="en-US"/>
        </w:rPr>
        <w:t>(Fig. 4d). Monosaccharide catabolism includes genes for the steps involved in glycolysis as well as several genes that mediate entry points of a number of monosaccharides to this pathway</w:t>
      </w:r>
      <w:r>
        <w:rPr>
          <w:rtl w:val="0"/>
          <w:lang w:val="en-US"/>
        </w:rPr>
        <w:t xml:space="preserve"> </w:t>
      </w:r>
      <w:r>
        <w:rPr>
          <w:rStyle w:val="None A"/>
          <w:rFonts w:ascii="Arial" w:hAnsi="Arial"/>
          <w:sz w:val="22"/>
          <w:szCs w:val="22"/>
          <w:rtl w:val="0"/>
          <w:lang w:val="en-US"/>
        </w:rPr>
        <w:t>(Fig. 4e). Transcripts for several genes in glycolysis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and catalyzes the committed step of glycolysis.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different conditions</w:t>
      </w:r>
      <w:r>
        <w:rPr>
          <w:rtl w:val="0"/>
          <w:lang w:val="en-US"/>
        </w:rPr>
        <w:t xml:space="preserve"> </w:t>
      </w:r>
      <w:r>
        <w:rPr>
          <w:rStyle w:val="None A"/>
          <w:rFonts w:ascii="Arial" w:hAnsi="Arial"/>
          <w:sz w:val="22"/>
          <w:szCs w:val="22"/>
          <w:rtl w:val="0"/>
          <w:lang w:val="en-US"/>
        </w:rPr>
        <w:t xml:space="preserve">(Fig. 4f).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1"/>
      <w:r>
        <w:rPr>
          <w:rStyle w:val="None A"/>
          <w:rFonts w:ascii="Arial" w:hAnsi="Arial"/>
          <w:i w:val="1"/>
          <w:iCs w:val="1"/>
          <w:sz w:val="22"/>
          <w:szCs w:val="22"/>
          <w:rtl w:val="0"/>
          <w:lang w:val="en-US"/>
        </w:rPr>
        <w:t>adhE</w:t>
      </w:r>
      <w:bookmarkEnd w:id="1"/>
      <w:r>
        <w:rPr>
          <w:rStyle w:val="None A"/>
          <w:rFonts w:ascii="Arial" w:hAnsi="Arial"/>
          <w:sz w:val="22"/>
          <w:szCs w:val="22"/>
          <w:rtl w:val="0"/>
          <w:lang w:val="en-US"/>
        </w:rPr>
        <w:t>) in addition to those for common plant polysaccharide degradation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xml:space="preserve">) were overrepresented in clindamycin-treated mice (Fig. 4g).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rPr>
          <w:rStyle w:val="None A"/>
          <w:rFonts w:ascii="Arial" w:cs="Arial" w:hAnsi="Arial" w:eastAsia="Arial"/>
          <w:sz w:val="22"/>
          <w:szCs w:val="22"/>
        </w:rPr>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simple sugars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and may be expressed under any conditions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To move beyond a static representation of the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Style w:val="None A"/>
          <w:rFonts w:ascii="Arial" w:hAnsi="Arial"/>
          <w:i w:val="1"/>
          <w:iCs w:val="1"/>
          <w:sz w:val="22"/>
          <w:szCs w:val="22"/>
          <w:shd w:val="clear" w:color="auto" w:fill="00ffff"/>
          <w:rtl w:val="0"/>
          <w:lang w:val="en-US"/>
        </w:rPr>
        <w:t xml:space="preserve">C. difficile </w:t>
      </w:r>
      <w:r>
        <w:rPr>
          <w:rStyle w:val="None A"/>
          <w:rFonts w:ascii="Arial" w:hAnsi="Arial"/>
          <w:sz w:val="22"/>
          <w:szCs w:val="22"/>
          <w:shd w:val="clear" w:color="auto" w:fill="00ffff"/>
          <w:rtl w:val="0"/>
          <w:lang w:val="en-US"/>
        </w:rPr>
        <w:t xml:space="preserve">(Ho, 2015; Neumann-Schaal, 2015).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480" w:lineRule="auto"/>
        <w:jc w:val="both"/>
      </w:pPr>
      <w:r>
        <w:rPr>
          <w:rStyle w:val="None A"/>
          <w:rFonts w:ascii="Arial" w:cs="Arial" w:hAnsi="Arial" w:eastAsia="Arial"/>
          <w:sz w:val="22"/>
          <w:szCs w:val="22"/>
          <w:rtl w:val="0"/>
        </w:rPr>
        <w:tab/>
        <w:t xml:space="preserve">We sought to identify the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This included D-fructose, mannitol, N-acetylneuraminic acid, salicin, and D-sorbitol (Ng, 2013; Theriot, 2014).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5C).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 for antibiotic pretreatment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after 18 hours of infection. </w:t>
      </w:r>
      <w:r>
        <w:rPr>
          <w:rStyle w:val="None A"/>
          <w:rFonts w:ascii="Arial" w:hAnsi="Arial"/>
          <w:sz w:val="22"/>
          <w:szCs w:val="22"/>
          <w:rtl w:val="0"/>
          <w:lang w:val="en-US"/>
        </w:rPr>
        <w:t xml:space="preserve"> Nine mice per treatment group were infected with 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Dotted lines indicate the limit of detection for each assay.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transcript relative abundances within treatment groups.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w:t>
      </w:r>
    </w:p>
    <w:p>
      <w:pPr>
        <w:pStyle w:val="Default"/>
        <w:shd w:val="clear" w:color="auto" w:fill="ffffff"/>
        <w:spacing w:line="480" w:lineRule="auto"/>
        <w:jc w:val="both"/>
      </w:pPr>
      <w:r>
        <w:rPr>
          <w:rStyle w:val="None A"/>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w:t>
      </w:r>
      <w:r>
        <w:rPr>
          <w:rStyle w:val="None A"/>
          <w:rFonts w:ascii="Arial" w:hAnsi="Arial"/>
          <w:b w:val="1"/>
          <w:bCs w:val="1"/>
          <w:sz w:val="22"/>
          <w:szCs w:val="22"/>
          <w:rtl w:val="0"/>
          <w:lang w:val="en-US"/>
        </w:rPr>
        <w:t>(b - i)</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p>
    <w:p>
      <w:pPr>
        <w:pStyle w:val="Default"/>
        <w:shd w:val="clear" w:color="auto" w:fill="ffffff"/>
        <w:spacing w:line="480" w:lineRule="auto"/>
        <w:jc w:val="both"/>
      </w:pPr>
      <w:r>
        <w:rPr>
          <w:rStyle w:val="None A"/>
          <w:rFonts w:ascii="Arial" w:hAnsi="Arial"/>
          <w:b w:val="1"/>
          <w:bCs w:val="1"/>
          <w:sz w:val="22"/>
          <w:szCs w:val="22"/>
          <w:rtl w:val="0"/>
          <w:lang w:val="en-US"/>
        </w:rPr>
        <w:t xml:space="preserve">C)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F-values &gt; ).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Selmer, T., &amp; Andrei, P. I. (2001). p-hydroxyphenylacetate decarboxylase from Clostridium difficile: A novel glycyl radical enzyme catalysing the formation of p-cresol. European Journal of Biochemistry, 268(5), 1363</w:t>
      </w:r>
      <w:r>
        <w:rPr>
          <w:rStyle w:val="None A"/>
          <w:rFonts w:ascii="Arial" w:hAnsi="Arial" w:hint="default"/>
          <w:sz w:val="18"/>
          <w:szCs w:val="18"/>
          <w:rtl w:val="0"/>
          <w:lang w:val="en-US"/>
        </w:rPr>
        <w:t>–</w:t>
      </w:r>
      <w:r>
        <w:rPr>
          <w:rStyle w:val="None A"/>
          <w:rFonts w:ascii="Arial" w:hAnsi="Arial"/>
          <w:sz w:val="18"/>
          <w:szCs w:val="18"/>
          <w:rtl w:val="0"/>
          <w:lang w:val="en-US"/>
        </w:rPr>
        <w:t xml:space="preserve">1372. http://doi.org/10.1046/j.1432-1327.2001.02001.xSonger,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