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0.05; Fig. 2</w:t>
      </w:r>
      <w:r>
        <w:rPr>
          <w:rStyle w:val="None A"/>
          <w:rFonts w:ascii="Arial" w:hAnsi="Arial"/>
          <w:sz w:val="22"/>
          <w:szCs w:val="22"/>
          <w:rtl w:val="0"/>
          <w:lang w:val="en-US"/>
        </w:rPr>
        <w:t>a</w:t>
      </w:r>
      <w:r>
        <w:rPr>
          <w:rStyle w:val="None A"/>
          <w:rFonts w:ascii="Arial" w:hAnsi="Arial"/>
          <w:sz w:val="22"/>
          <w:szCs w:val="22"/>
          <w:rtl w:val="0"/>
          <w:lang w:val="en-US"/>
        </w:rPr>
        <w:t>).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0.01) were detected in gnotobiotic mice than in the antibiotic treated mice (Fig. 2</w:t>
      </w:r>
      <w:r>
        <w:rPr>
          <w:rStyle w:val="None A"/>
          <w:rFonts w:ascii="Arial" w:hAnsi="Arial"/>
          <w:sz w:val="22"/>
          <w:szCs w:val="22"/>
          <w:rtl w:val="0"/>
          <w:lang w:val="en-US"/>
        </w:rPr>
        <w:t>b</w:t>
      </w:r>
      <w:r>
        <w:rPr>
          <w:rStyle w:val="None A"/>
          <w:rFonts w:ascii="Arial" w:hAnsi="Arial"/>
          <w:sz w:val="22"/>
          <w:szCs w:val="22"/>
          <w:rtl w:val="0"/>
          <w:lang w:val="en-US"/>
        </w:rPr>
        <w:t xml:space="preserve">). The spore densities in both streptomycin and clindamycin-treated mice were significantly higher than that in cefoperazone-treated mice. There was significantly more toxin titer in gnotobiotic animals than any other colonized group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0.01), but toxin titer also varied between antibiotic treatment groups (Fig. 2</w:t>
      </w:r>
      <w:r>
        <w:rPr>
          <w:rStyle w:val="None A"/>
          <w:rFonts w:ascii="Arial" w:hAnsi="Arial"/>
          <w:sz w:val="22"/>
          <w:szCs w:val="22"/>
          <w:rtl w:val="0"/>
          <w:lang w:val="en-US"/>
        </w:rPr>
        <w:t>c</w:t>
      </w:r>
      <w:r>
        <w:rPr>
          <w:rStyle w:val="None A"/>
          <w:rFonts w:ascii="Arial" w:hAnsi="Arial"/>
          <w:sz w:val="22"/>
          <w:szCs w:val="22"/>
          <w:rtl w:val="0"/>
          <w:lang w:val="en-US"/>
        </w:rPr>
        <w:t xml:space="preserve">).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w:t>
      </w:r>
      <w:r>
        <w:rPr>
          <w:rStyle w:val="None A"/>
          <w:rFonts w:ascii="Arial" w:hAnsi="Arial"/>
          <w:b w:val="1"/>
          <w:bCs w:val="1"/>
          <w:sz w:val="22"/>
          <w:szCs w:val="22"/>
          <w:rtl w:val="0"/>
          <w:lang w:val="en-US"/>
        </w:rPr>
        <w:t xml:space="preserve">the </w:t>
      </w:r>
      <w:r>
        <w:rPr>
          <w:rStyle w:val="None A"/>
          <w:rFonts w:ascii="Arial" w:hAnsi="Arial"/>
          <w:b w:val="1"/>
          <w:bCs w:val="1"/>
          <w:sz w:val="22"/>
          <w:szCs w:val="22"/>
          <w:rtl w:val="0"/>
          <w:lang w:val="en-US"/>
        </w:rPr>
        <w:t xml:space="preserve">expression of </w:t>
      </w:r>
      <w:r>
        <w:rPr>
          <w:rStyle w:val="None A"/>
          <w:rFonts w:ascii="Arial" w:hAnsi="Arial"/>
          <w:b w:val="1"/>
          <w:bCs w:val="1"/>
          <w:sz w:val="22"/>
          <w:szCs w:val="22"/>
          <w:rtl w:val="0"/>
          <w:lang w:val="en-US"/>
        </w:rPr>
        <w:t xml:space="preserve">genes for virulence and </w:t>
      </w:r>
      <w:r>
        <w:rPr>
          <w:rStyle w:val="None A"/>
          <w:rFonts w:ascii="Arial" w:hAnsi="Arial"/>
          <w:b w:val="1"/>
          <w:bCs w:val="1"/>
          <w:sz w:val="22"/>
          <w:szCs w:val="22"/>
          <w:rtl w:val="0"/>
          <w:lang w:val="en-US"/>
        </w:rPr>
        <w:t xml:space="preserve">key sigma factors </w:t>
      </w:r>
      <w:r>
        <w:rPr>
          <w:rStyle w:val="None A"/>
          <w:rFonts w:ascii="Arial" w:hAnsi="Arial"/>
          <w:b w:val="1"/>
          <w:bCs w:val="1"/>
          <w:sz w:val="22"/>
          <w:szCs w:val="22"/>
          <w:rtl w:val="0"/>
          <w:lang w:val="en-US"/>
        </w:rPr>
        <w:t>that are under the control of environmental nutrient concentrations</w:t>
      </w:r>
      <w:r>
        <w:rPr>
          <w:rStyle w:val="None A"/>
          <w:rFonts w:ascii="Arial" w:hAnsi="Arial"/>
          <w:b w:val="1"/>
          <w:bCs w:val="1"/>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t>
      </w:r>
      <w:r>
        <w:rPr>
          <w:rStyle w:val="None A"/>
          <w:rFonts w:ascii="Arial" w:hAnsi="Arial"/>
          <w:sz w:val="22"/>
          <w:szCs w:val="22"/>
          <w:rtl w:val="0"/>
          <w:lang w:val="en-US"/>
        </w:rPr>
        <w:t>After observing differences in spore CFU loads, w</w:t>
      </w:r>
      <w:r>
        <w:rPr>
          <w:rStyle w:val="None A"/>
          <w:rFonts w:ascii="Arial" w:hAnsi="Arial"/>
          <w:sz w:val="22"/>
          <w:szCs w:val="22"/>
          <w:rtl w:val="0"/>
          <w:lang w:val="en-US"/>
        </w:rPr>
        <w:t>e f</w:t>
      </w:r>
      <w:r>
        <w:rPr>
          <w:rStyle w:val="None A"/>
          <w:rFonts w:ascii="Arial" w:hAnsi="Arial"/>
          <w:sz w:val="22"/>
          <w:szCs w:val="22"/>
          <w:rtl w:val="0"/>
          <w:lang w:val="en-US"/>
        </w:rPr>
        <w:t>irst</w:t>
      </w:r>
      <w:r>
        <w:rPr>
          <w:rStyle w:val="None A"/>
          <w:rFonts w:ascii="Arial" w:hAnsi="Arial"/>
          <w:sz w:val="22"/>
          <w:szCs w:val="22"/>
          <w:rtl w:val="0"/>
          <w:lang w:val="en-US"/>
        </w:rPr>
        <w:t xml:space="preserve"> examined transcription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t>
      </w:r>
      <w:r>
        <w:rPr>
          <w:rStyle w:val="None A"/>
          <w:rFonts w:ascii="Arial" w:hAnsi="Arial"/>
          <w:sz w:val="22"/>
          <w:szCs w:val="22"/>
          <w:rtl w:val="0"/>
          <w:lang w:val="en-US"/>
        </w:rPr>
        <w:t xml:space="preserve">Alvarez, 2007; Fimlaid, 2013; </w:t>
      </w:r>
      <w:r>
        <w:rPr>
          <w:rStyle w:val="None A"/>
          <w:rFonts w:ascii="Arial" w:hAnsi="Arial"/>
          <w:sz w:val="22"/>
          <w:szCs w:val="22"/>
          <w:rtl w:val="0"/>
          <w:lang w:val="en-US"/>
        </w:rPr>
        <w:t>Saujet, 2014), focusing on those that demonstrated the highest varia</w:t>
      </w:r>
      <w:r>
        <w:rPr>
          <w:rStyle w:val="None A"/>
          <w:rFonts w:ascii="Arial" w:hAnsi="Arial"/>
          <w:sz w:val="22"/>
          <w:szCs w:val="22"/>
          <w:rtl w:val="0"/>
          <w:lang w:val="en-US"/>
        </w:rPr>
        <w:t xml:space="preserve">tion </w:t>
      </w:r>
      <w:r>
        <w:rPr>
          <w:rStyle w:val="None A"/>
          <w:rFonts w:ascii="Arial" w:hAnsi="Arial"/>
          <w:sz w:val="22"/>
          <w:szCs w:val="22"/>
          <w:rtl w:val="0"/>
          <w:lang w:val="en-US"/>
        </w:rPr>
        <w:t>between treatment</w:t>
      </w:r>
      <w:r>
        <w:rPr>
          <w:rStyle w:val="None A"/>
          <w:rFonts w:ascii="Arial" w:hAnsi="Arial"/>
          <w:sz w:val="22"/>
          <w:szCs w:val="22"/>
          <w:rtl w:val="0"/>
          <w:lang w:val="en-US"/>
        </w:rPr>
        <w:t xml:space="preserve"> group</w:t>
      </w:r>
      <w:r>
        <w:rPr>
          <w:rStyle w:val="None A"/>
          <w:rFonts w:ascii="Arial" w:hAnsi="Arial"/>
          <w:sz w:val="22"/>
          <w:szCs w:val="22"/>
          <w:rtl w:val="0"/>
          <w:lang w:val="en-US"/>
        </w:rPr>
        <w:t>s (Fig. 3</w:t>
      </w:r>
      <w:r>
        <w:rPr>
          <w:rStyle w:val="None A"/>
          <w:rFonts w:ascii="Arial" w:hAnsi="Arial"/>
          <w:sz w:val="22"/>
          <w:szCs w:val="22"/>
          <w:rtl w:val="0"/>
          <w:lang w:val="en-US"/>
        </w:rPr>
        <w:t>a</w:t>
      </w:r>
      <w:r>
        <w:rPr>
          <w:rStyle w:val="None A"/>
          <w:rFonts w:ascii="Arial" w:hAnsi="Arial"/>
          <w:sz w:val="22"/>
          <w:szCs w:val="22"/>
          <w:rtl w:val="0"/>
          <w:lang w:val="en-US"/>
        </w:rPr>
        <w:t xml:space="preserve">). </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I</w:t>
      </w:r>
      <w:r>
        <w:rPr>
          <w:rStyle w:val="None A"/>
          <w:rFonts w:ascii="Arial" w:hAnsi="Arial"/>
          <w:sz w:val="22"/>
          <w:szCs w:val="22"/>
          <w:rtl w:val="0"/>
          <w:lang w:val="en-US"/>
        </w:rPr>
        <w:t>n Cefoperzone</w:t>
      </w:r>
      <w:r>
        <w:rPr>
          <w:rStyle w:val="None A"/>
          <w:rFonts w:ascii="Arial" w:hAnsi="Arial"/>
          <w:sz w:val="22"/>
          <w:szCs w:val="22"/>
          <w:rtl w:val="0"/>
          <w:lang w:val="en-US"/>
        </w:rPr>
        <w:t>-</w:t>
      </w:r>
      <w:r>
        <w:rPr>
          <w:rStyle w:val="None A"/>
          <w:rFonts w:ascii="Arial" w:hAnsi="Arial"/>
          <w:sz w:val="22"/>
          <w:szCs w:val="22"/>
          <w:rtl w:val="0"/>
          <w:lang w:val="en-US"/>
        </w:rPr>
        <w:t xml:space="preserve">treated </w:t>
      </w:r>
      <w:r>
        <w:rPr>
          <w:rStyle w:val="None A"/>
          <w:rFonts w:ascii="Arial" w:hAnsi="Arial"/>
          <w:sz w:val="22"/>
          <w:szCs w:val="22"/>
          <w:rtl w:val="0"/>
          <w:lang w:val="en-US"/>
        </w:rPr>
        <w:t>mice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a number of putative anti-sigma factors including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w:t>
      </w:r>
      <w:r>
        <w:rPr>
          <w:rStyle w:val="None A"/>
          <w:rFonts w:ascii="Arial" w:hAnsi="Arial"/>
          <w:i w:val="1"/>
          <w:iCs w:val="1"/>
          <w:sz w:val="22"/>
          <w:szCs w:val="22"/>
          <w:rtl w:val="0"/>
          <w:lang w:val="en-US"/>
        </w:rPr>
        <w:t>S</w:t>
      </w:r>
      <w:r>
        <w:rPr>
          <w:rStyle w:val="None A"/>
          <w:rFonts w:ascii="Arial" w:hAnsi="Arial"/>
          <w:sz w:val="22"/>
          <w:szCs w:val="22"/>
          <w:rtl w:val="0"/>
          <w:lang w:val="en-US"/>
        </w:rPr>
        <w:t xml:space="preserve"> involved in suppressing other sporulation-related gene expression (Matsuno, 1999). This pattern was </w:t>
      </w:r>
      <w:r>
        <w:rPr>
          <w:rStyle w:val="None A"/>
          <w:rFonts w:ascii="Arial" w:hAnsi="Arial"/>
          <w:sz w:val="22"/>
          <w:szCs w:val="22"/>
          <w:rtl w:val="0"/>
          <w:lang w:val="en-US"/>
        </w:rPr>
        <w:t>also</w:t>
      </w:r>
      <w:r>
        <w:rPr>
          <w:rStyle w:val="None A"/>
          <w:rFonts w:ascii="Arial" w:hAnsi="Arial"/>
          <w:sz w:val="22"/>
          <w:szCs w:val="22"/>
          <w:rtl w:val="0"/>
          <w:lang w:val="en-US"/>
        </w:rPr>
        <w:t xml:space="preserve"> </w:t>
      </w:r>
      <w:r>
        <w:rPr>
          <w:rStyle w:val="None A"/>
          <w:rFonts w:ascii="Arial" w:hAnsi="Arial"/>
          <w:sz w:val="22"/>
          <w:szCs w:val="22"/>
          <w:rtl w:val="0"/>
          <w:lang w:val="en-US"/>
        </w:rPr>
        <w:t xml:space="preserve">seen at a lower degree </w:t>
      </w:r>
      <w:r>
        <w:rPr>
          <w:rStyle w:val="None A"/>
          <w:rFonts w:ascii="Arial" w:hAnsi="Arial"/>
          <w:sz w:val="22"/>
          <w:szCs w:val="22"/>
          <w:rtl w:val="0"/>
          <w:lang w:val="en-US"/>
        </w:rPr>
        <w:t>in either Streptomycin</w:t>
      </w:r>
      <w:r>
        <w:rPr>
          <w:rStyle w:val="None A"/>
          <w:rFonts w:ascii="Arial" w:hAnsi="Arial"/>
          <w:sz w:val="22"/>
          <w:szCs w:val="22"/>
          <w:rtl w:val="0"/>
          <w:lang w:val="en-US"/>
        </w:rPr>
        <w:t>-treated mice</w:t>
      </w:r>
      <w:r>
        <w:rPr>
          <w:rStyle w:val="None A"/>
          <w:rFonts w:ascii="Arial" w:hAnsi="Arial"/>
          <w:sz w:val="22"/>
          <w:szCs w:val="22"/>
          <w:rtl w:val="0"/>
          <w:lang w:val="en-US"/>
        </w:rPr>
        <w:t xml:space="preserve">, </w:t>
      </w:r>
      <w:r>
        <w:rPr>
          <w:rStyle w:val="None A"/>
          <w:rFonts w:ascii="Arial" w:hAnsi="Arial"/>
          <w:sz w:val="22"/>
          <w:szCs w:val="22"/>
          <w:rtl w:val="0"/>
          <w:lang w:val="en-US"/>
        </w:rPr>
        <w:t>but not in other Clindamycin or Germ free groups</w:t>
      </w:r>
      <w:r>
        <w:rPr>
          <w:rStyle w:val="None A"/>
          <w:rFonts w:ascii="Arial" w:hAnsi="Arial"/>
          <w:sz w:val="22"/>
          <w:szCs w:val="22"/>
          <w:rtl w:val="0"/>
          <w:lang w:val="en-US"/>
        </w:rPr>
        <w:t xml:space="preserve">. </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Instead, these conditions induced expression of genes for spore coat components, coat assembly, and spore morphogenesis (including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cotJB2</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all associated with later sporulation stages (Permpoonpattan, 2013). Along with sporulation, expression of PaLoc genes has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(Fig. 3C). We found approximately 3-fold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xml:space="preserve">,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pretreatments. 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(negatively regulator) and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(positive regulator) (Carter, 2012). Between both genes, only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transcript was detectable at 10-fold greater abundance than that of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across all groups. Finally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the gene for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cefoperazone-treated mice.</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To narrow our analysis of the transcriptomic data, we chose to focus on genes that code for sigma factors, sporulation, pathogenesis, and quorum sensing.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sigma factors are the master regulators of transcription and a subset have been shown to respond to environmental nutrient concentrations (Antunes, 2012; Fimlaid, 2013; Bouillaut, 2015; Donnelly, 2016). Transcript </w:t>
      </w:r>
      <w:r>
        <w:rPr>
          <w:rStyle w:val="None A"/>
          <w:rFonts w:ascii="Arial" w:hAnsi="Arial"/>
          <w:sz w:val="22"/>
          <w:szCs w:val="22"/>
          <w:rtl w:val="0"/>
          <w:lang w:val="en-US"/>
        </w:rPr>
        <w:t xml:space="preserve"> for t</w:t>
      </w:r>
      <w:r>
        <w:rPr>
          <w:rStyle w:val="None A"/>
          <w:rFonts w:ascii="Arial" w:hAnsi="Arial"/>
          <w:sz w:val="22"/>
          <w:szCs w:val="22"/>
          <w:rtl w:val="0"/>
          <w:lang w:val="en-US"/>
        </w:rPr>
        <w:t xml:space="preserve">he global nutritional regulator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was highly </w:t>
      </w:r>
      <w:r>
        <w:rPr>
          <w:rStyle w:val="None A"/>
          <w:rFonts w:ascii="Arial" w:hAnsi="Arial"/>
          <w:sz w:val="22"/>
          <w:szCs w:val="22"/>
          <w:rtl w:val="0"/>
          <w:lang w:val="en-US"/>
        </w:rPr>
        <w:t>detectable</w:t>
      </w:r>
      <w:r>
        <w:rPr>
          <w:rStyle w:val="None A"/>
          <w:rFonts w:ascii="Arial" w:hAnsi="Arial"/>
          <w:sz w:val="22"/>
          <w:szCs w:val="22"/>
          <w:rtl w:val="0"/>
          <w:lang w:val="en-US"/>
        </w:rPr>
        <w:t xml:space="preserve"> in each condition, despite apparent differences in toxin and spore production (Fig. 3</w:t>
      </w:r>
      <w:r>
        <w:rPr>
          <w:rStyle w:val="None A"/>
          <w:rFonts w:ascii="Arial" w:hAnsi="Arial"/>
          <w:sz w:val="22"/>
          <w:szCs w:val="22"/>
          <w:rtl w:val="0"/>
          <w:lang w:val="en-US"/>
        </w:rPr>
        <w:t>a</w:t>
      </w:r>
      <w:r>
        <w:rPr>
          <w:rStyle w:val="None A"/>
          <w:rFonts w:ascii="Arial" w:hAnsi="Arial"/>
          <w:sz w:val="22"/>
          <w:szCs w:val="22"/>
          <w:rtl w:val="0"/>
          <w:lang w:val="en-US"/>
        </w:rPr>
        <w:t>).</w:t>
      </w:r>
    </w:p>
    <w:p>
      <w:pPr>
        <w:pStyle w:val="Default"/>
        <w:shd w:val="clear" w:color="auto" w:fill="ffffff"/>
        <w:spacing w:line="480" w:lineRule="auto"/>
        <w:ind w:firstLine="709"/>
        <w:jc w:val="both"/>
        <w:rPr>
          <w:rStyle w:val="None A"/>
          <w:rFonts w:ascii="Arial" w:cs="Arial" w:hAnsi="Arial" w:eastAsia="Arial"/>
          <w:sz w:val="22"/>
          <w:szCs w:val="22"/>
        </w:rPr>
      </w:pPr>
    </w:p>
    <w:p>
      <w:pPr>
        <w:pStyle w:val="Default"/>
        <w:shd w:val="clear" w:color="auto" w:fill="ffffff"/>
        <w:spacing w:line="480" w:lineRule="auto"/>
        <w:ind w:firstLine="709"/>
        <w:jc w:val="both"/>
        <w:rPr>
          <w:rStyle w:val="None A"/>
          <w:rFonts w:ascii="Arial" w:cs="Arial" w:hAnsi="Arial" w:eastAsia="Arial"/>
          <w:sz w:val="22"/>
          <w:szCs w:val="22"/>
        </w:rPr>
      </w:pP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ind w:firstLine="709"/>
        <w:jc w:val="both"/>
        <w:rPr>
          <w:rStyle w:val="None A"/>
          <w:rFonts w:ascii="Arial" w:cs="Arial" w:hAnsi="Arial" w:eastAsia="Arial"/>
          <w:sz w:val="22"/>
          <w:szCs w:val="22"/>
        </w:rPr>
      </w:pPr>
      <w:r>
        <w:rPr>
          <w:rFonts w:ascii="Arial" w:hAnsi="Arial"/>
          <w:sz w:val="22"/>
          <w:szCs w:val="22"/>
          <w:rtl w:val="0"/>
          <w:lang w:val="en-US"/>
        </w:rPr>
        <w:t>M</w:t>
      </w:r>
      <w:r>
        <w:rPr>
          <w:rFonts w:ascii="Arial" w:hAnsi="Arial"/>
          <w:sz w:val="22"/>
          <w:szCs w:val="22"/>
          <w:rtl w:val="0"/>
          <w:lang w:val="en-US"/>
        </w:rPr>
        <w:t xml:space="preserve">easured differences in </w:t>
      </w:r>
      <w:r>
        <w:rPr>
          <w:rFonts w:ascii="Arial" w:hAnsi="Arial"/>
          <w:sz w:val="22"/>
          <w:szCs w:val="22"/>
          <w:rtl w:val="0"/>
          <w:lang w:val="en-US"/>
        </w:rPr>
        <w:t xml:space="preserve">spore </w:t>
      </w:r>
      <w:r>
        <w:rPr>
          <w:rFonts w:ascii="Arial" w:hAnsi="Arial"/>
          <w:sz w:val="22"/>
          <w:szCs w:val="22"/>
          <w:rtl w:val="0"/>
          <w:lang w:val="en-US"/>
        </w:rPr>
        <w:t>CFU</w:t>
      </w:r>
      <w:r>
        <w:rPr>
          <w:rFonts w:ascii="Arial" w:hAnsi="Arial"/>
          <w:sz w:val="22"/>
          <w:szCs w:val="22"/>
          <w:rtl w:val="0"/>
          <w:lang w:val="en-US"/>
        </w:rPr>
        <w:t xml:space="preserve"> </w:t>
      </w:r>
      <w:r>
        <w:rPr>
          <w:rFonts w:ascii="Arial" w:hAnsi="Arial"/>
          <w:sz w:val="22"/>
          <w:szCs w:val="22"/>
          <w:rtl w:val="0"/>
          <w:lang w:val="en-US"/>
        </w:rPr>
        <w:t>(Fig. 2</w:t>
      </w:r>
      <w:r>
        <w:rPr>
          <w:rFonts w:ascii="Arial" w:hAnsi="Arial"/>
          <w:sz w:val="22"/>
          <w:szCs w:val="22"/>
          <w:rtl w:val="0"/>
          <w:lang w:val="en-US"/>
        </w:rPr>
        <w:t>b</w:t>
      </w:r>
      <w:r>
        <w:rPr>
          <w:rFonts w:ascii="Arial" w:hAnsi="Arial"/>
          <w:sz w:val="22"/>
          <w:szCs w:val="22"/>
          <w:rtl w:val="0"/>
          <w:lang w:val="en-US"/>
        </w:rPr>
        <w:t xml:space="preserve">) </w:t>
      </w:r>
      <w:r>
        <w:rPr>
          <w:rFonts w:ascii="Arial" w:hAnsi="Arial"/>
          <w:sz w:val="22"/>
          <w:szCs w:val="22"/>
          <w:rtl w:val="0"/>
          <w:lang w:val="en-US"/>
        </w:rPr>
        <w:t xml:space="preserve">are discordant with differences seen in expression of </w:t>
      </w:r>
      <w:r>
        <w:rPr>
          <w:rStyle w:val="None A"/>
          <w:rFonts w:ascii="Arial" w:hAnsi="Arial"/>
          <w:i w:val="1"/>
          <w:iCs w:val="1"/>
          <w:sz w:val="22"/>
          <w:szCs w:val="22"/>
          <w:rtl w:val="0"/>
          <w:lang w:val="en-US"/>
        </w:rPr>
        <w:t>spoA0</w:t>
      </w:r>
      <w:r>
        <w:rPr>
          <w:rFonts w:ascii="Arial" w:hAnsi="Arial"/>
          <w:sz w:val="22"/>
          <w:szCs w:val="22"/>
          <w:rtl w:val="0"/>
          <w:lang w:val="en-US"/>
        </w:rPr>
        <w:t xml:space="preserve"> (spurolation activating sigma factor, Fig. 3a) and sporulation pathway components (Fig 3d)</w:t>
      </w:r>
      <w:r>
        <w:rPr>
          <w:rFonts w:ascii="Arial" w:hAnsi="Arial"/>
          <w:sz w:val="22"/>
          <w:szCs w:val="22"/>
          <w:rtl w:val="0"/>
          <w:lang w:val="en-US"/>
        </w:rPr>
        <w:t>.</w:t>
      </w:r>
      <w:r>
        <w:rPr>
          <w:rFonts w:ascii="Arial" w:hAnsi="Arial"/>
          <w:sz w:val="22"/>
          <w:szCs w:val="22"/>
          <w:rtl w:val="0"/>
          <w:lang w:val="en-US"/>
        </w:rPr>
        <w:t xml:space="preserve">  This reflects the fact that sporulation is a complex process that requires tight expression regulation at multiple levels and cannot be captured in the transcript level differences of a handful of genes.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the discrepancies in sporulation, we chose to quantify specific changes in expression within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(Fig. 3</w:t>
      </w:r>
      <w:r>
        <w:rPr>
          <w:rStyle w:val="None A"/>
          <w:rFonts w:ascii="Arial" w:hAnsi="Arial"/>
          <w:sz w:val="22"/>
          <w:szCs w:val="22"/>
          <w:rtl w:val="0"/>
          <w:lang w:val="en-US"/>
        </w:rPr>
        <w:t>D</w:t>
      </w:r>
      <w:r>
        <w:rPr>
          <w:rStyle w:val="None A"/>
          <w:rFonts w:ascii="Arial" w:hAnsi="Arial"/>
          <w:sz w:val="22"/>
          <w:szCs w:val="22"/>
          <w:rtl w:val="0"/>
          <w:lang w:val="en-US"/>
        </w:rPr>
        <w:t xml:space="preserve">). We further examined transcription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t>
      </w:r>
      <w:r>
        <w:rPr>
          <w:rStyle w:val="None A"/>
          <w:rFonts w:ascii="Arial" w:hAnsi="Arial"/>
          <w:sz w:val="22"/>
          <w:szCs w:val="22"/>
          <w:rtl w:val="0"/>
          <w:lang w:val="en-US"/>
        </w:rPr>
        <w:t xml:space="preserve">Alvarez, 2007; Fimlaid, 2013; </w:t>
      </w:r>
      <w:r>
        <w:rPr>
          <w:rStyle w:val="None A"/>
          <w:rFonts w:ascii="Arial" w:hAnsi="Arial"/>
          <w:sz w:val="22"/>
          <w:szCs w:val="22"/>
          <w:rtl w:val="0"/>
          <w:lang w:val="en-US"/>
        </w:rPr>
        <w:t>Saujet, 2014), focusing on those that demonstrated the highest variance between antibiotic treatments (</w:t>
      </w:r>
      <w:r>
        <w:rPr>
          <w:rStyle w:val="None A"/>
          <w:rFonts w:ascii="Arial" w:hAnsi="Arial"/>
          <w:sz w:val="22"/>
          <w:szCs w:val="22"/>
          <w:rtl w:val="0"/>
          <w:lang w:val="en-US"/>
        </w:rPr>
        <w:t>&gt; 0.01</w:t>
      </w:r>
      <w:r>
        <w:rPr>
          <w:rStyle w:val="None A"/>
          <w:rFonts w:ascii="Arial" w:hAnsi="Arial"/>
          <w:sz w:val="22"/>
          <w:szCs w:val="22"/>
          <w:rtl w:val="0"/>
          <w:lang w:val="en-US"/>
        </w:rPr>
        <w:t xml:space="preserve">). </w:t>
      </w:r>
      <w:r>
        <w:rPr>
          <w:rStyle w:val="None A"/>
          <w:rFonts w:ascii="Arial" w:hAnsi="Arial"/>
          <w:sz w:val="22"/>
          <w:szCs w:val="22"/>
          <w:rtl w:val="0"/>
          <w:lang w:val="en-US"/>
        </w:rPr>
        <w:t>I</w:t>
      </w:r>
      <w:r>
        <w:rPr>
          <w:rStyle w:val="None A"/>
          <w:rFonts w:ascii="Arial" w:hAnsi="Arial"/>
          <w:sz w:val="22"/>
          <w:szCs w:val="22"/>
          <w:rtl w:val="0"/>
          <w:lang w:val="en-US"/>
        </w:rPr>
        <w:t>n Cefoperzone</w:t>
      </w:r>
      <w:r>
        <w:rPr>
          <w:rStyle w:val="None A"/>
          <w:rFonts w:ascii="Arial" w:hAnsi="Arial"/>
          <w:sz w:val="22"/>
          <w:szCs w:val="22"/>
          <w:rtl w:val="0"/>
          <w:lang w:val="en-US"/>
        </w:rPr>
        <w:t>-</w:t>
      </w:r>
      <w:r>
        <w:rPr>
          <w:rStyle w:val="None A"/>
          <w:rFonts w:ascii="Arial" w:hAnsi="Arial"/>
          <w:sz w:val="22"/>
          <w:szCs w:val="22"/>
          <w:rtl w:val="0"/>
          <w:lang w:val="en-US"/>
        </w:rPr>
        <w:t xml:space="preserve">treated </w:t>
      </w:r>
      <w:r>
        <w:rPr>
          <w:rStyle w:val="None A"/>
          <w:rFonts w:ascii="Arial" w:hAnsi="Arial"/>
          <w:sz w:val="22"/>
          <w:szCs w:val="22"/>
          <w:rtl w:val="0"/>
          <w:lang w:val="en-US"/>
        </w:rPr>
        <w:t>mice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a number of putative anti-sigma factors including </w:t>
      </w:r>
      <w:r>
        <w:rPr>
          <w:rStyle w:val="None A"/>
          <w:rFonts w:ascii="Arial" w:hAnsi="Arial"/>
          <w:i w:val="1"/>
          <w:iCs w:val="1"/>
          <w:sz w:val="22"/>
          <w:szCs w:val="22"/>
          <w:rtl w:val="0"/>
          <w:lang w:val="en-US"/>
        </w:rPr>
        <w:t>spoIIAA,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spoIIAB,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involved in suppressing other sporulation-related gene expression</w:t>
      </w:r>
      <w:r>
        <w:rPr>
          <w:rStyle w:val="None A"/>
          <w:rFonts w:ascii="Arial" w:hAnsi="Arial"/>
          <w:sz w:val="22"/>
          <w:szCs w:val="22"/>
          <w:rtl w:val="0"/>
          <w:lang w:val="en-US"/>
        </w:rPr>
        <w:t xml:space="preserve">. </w:t>
      </w:r>
      <w:r>
        <w:rPr>
          <w:rStyle w:val="None A"/>
          <w:rFonts w:ascii="Arial" w:hAnsi="Arial"/>
          <w:sz w:val="22"/>
          <w:szCs w:val="22"/>
          <w:rtl w:val="0"/>
          <w:lang w:val="en-US"/>
        </w:rPr>
        <w:t xml:space="preserve">This pattern was not seen in either Streptomycin or Clindamycin pretreatments, possibly explaining the observed differences in spore CFU. Instead, these conditions induced expression of genes for spore coat components, coat assembly, and spore morphogenesis (including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cotJB2</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all associated with later sporulation stages (Permpoonpattan, 2013). Along with sporulation, expression of PaLoc genes has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(Fig. 3C). We found approximately 3-fold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xml:space="preserve">,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pretreatments. 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(negatively regulator) and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(positive regulator) (Carter, 2012). Between both genes, only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transcript was detectable at 10-fold greater abundance than that of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across all groups. Finally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the gene for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cefoperazone-treated mice.</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 xml:space="preserve">In the context of similar colonization, </w:t>
      </w:r>
      <w:r>
        <w:rPr>
          <w:rStyle w:val="None A"/>
          <w:rFonts w:ascii="Arial" w:hAnsi="Arial"/>
          <w:sz w:val="22"/>
          <w:szCs w:val="22"/>
          <w:rtl w:val="0"/>
          <w:lang w:val="en-US"/>
        </w:rPr>
        <w:t>but</w:t>
      </w:r>
      <w:r>
        <w:rPr>
          <w:rStyle w:val="None A"/>
          <w:rFonts w:ascii="Arial" w:hAnsi="Arial"/>
          <w:sz w:val="22"/>
          <w:szCs w:val="22"/>
          <w:rtl w:val="0"/>
          <w:lang w:val="en-US"/>
        </w:rPr>
        <w:t xml:space="preserve"> differential expression of genes </w:t>
      </w:r>
      <w:r>
        <w:rPr>
          <w:rStyle w:val="None A"/>
          <w:rFonts w:ascii="Arial" w:hAnsi="Arial"/>
          <w:sz w:val="22"/>
          <w:szCs w:val="22"/>
          <w:rtl w:val="0"/>
          <w:lang w:val="en-US"/>
        </w:rPr>
        <w:t>under the control of specific nutrient concentrations in antibiotic-treated animals</w:t>
      </w:r>
      <w:r>
        <w:rPr>
          <w:rStyle w:val="None A"/>
          <w:rFonts w:ascii="Arial" w:hAnsi="Arial"/>
          <w:sz w:val="22"/>
          <w:szCs w:val="22"/>
          <w:rtl w:val="0"/>
          <w:lang w:val="en-US"/>
        </w:rPr>
        <w:t xml:space="preserve"> suggest</w:t>
      </w:r>
      <w:r>
        <w:rPr>
          <w:rStyle w:val="None A"/>
          <w:rFonts w:ascii="Arial" w:hAnsi="Arial"/>
          <w:sz w:val="22"/>
          <w:szCs w:val="22"/>
          <w:rtl w:val="0"/>
          <w:lang w:val="en-US"/>
        </w:rPr>
        <w:t>s</w:t>
      </w:r>
      <w:r>
        <w:rPr>
          <w:rStyle w:val="None A"/>
          <w:rFonts w:ascii="Arial" w:hAnsi="Arial"/>
          <w:sz w:val="22"/>
          <w:szCs w:val="22"/>
          <w:rtl w:val="0"/>
          <w:lang w:val="en-US"/>
        </w:rPr>
        <w:t xml:space="preserv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adapting </w:t>
      </w:r>
      <w:r>
        <w:rPr>
          <w:rStyle w:val="None A"/>
          <w:rFonts w:ascii="Arial" w:hAnsi="Arial"/>
          <w:sz w:val="22"/>
          <w:szCs w:val="22"/>
          <w:rtl w:val="0"/>
          <w:lang w:val="en-US"/>
        </w:rPr>
        <w:t xml:space="preserve">differently </w:t>
      </w:r>
      <w:r>
        <w:rPr>
          <w:rStyle w:val="None A"/>
          <w:rFonts w:ascii="Arial" w:hAnsi="Arial"/>
          <w:sz w:val="22"/>
          <w:szCs w:val="22"/>
          <w:rtl w:val="0"/>
          <w:lang w:val="en-US"/>
        </w:rPr>
        <w:t xml:space="preserve">to </w:t>
      </w:r>
      <w:r>
        <w:rPr>
          <w:rStyle w:val="None A"/>
          <w:rFonts w:ascii="Arial" w:hAnsi="Arial"/>
          <w:sz w:val="22"/>
          <w:szCs w:val="22"/>
          <w:rtl w:val="0"/>
          <w:lang w:val="en-US"/>
        </w:rPr>
        <w:t xml:space="preserve">each </w:t>
      </w:r>
      <w:r>
        <w:rPr>
          <w:rStyle w:val="None A"/>
          <w:rFonts w:ascii="Arial" w:hAnsi="Arial"/>
          <w:sz w:val="22"/>
          <w:szCs w:val="22"/>
          <w:rtl w:val="0"/>
          <w:lang w:val="en-US"/>
        </w:rPr>
        <w:t>environment</w:t>
      </w:r>
      <w:r>
        <w:rPr>
          <w:rStyle w:val="None A"/>
          <w:rFonts w:ascii="Arial" w:hAnsi="Arial"/>
          <w:sz w:val="22"/>
          <w:szCs w:val="22"/>
          <w:rtl w:val="0"/>
          <w:lang w:val="en-US"/>
        </w:rPr>
        <w:t xml:space="preserve"> when in competition with the resident microbiota</w:t>
      </w:r>
      <w:r>
        <w:rPr>
          <w:rStyle w:val="None A"/>
          <w:rFonts w:ascii="Arial" w:hAnsi="Arial"/>
          <w:sz w:val="22"/>
          <w:szCs w:val="22"/>
          <w:rtl w:val="0"/>
          <w:lang w:val="en-US"/>
        </w:rPr>
        <w:t xml:space="preserve">. To test this further, we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quantified the differential expression of genes in each gene set (Fig. 4a). Among the genes classified as sugar transporters, those that are PTS transporters (Fig. 4b) were overrepresented in both clindamycin and streptomycin-treated mice, and ABC sugar transporters (Fig. 4c) were overrepresented in the cefoparazone-treated mice. Sugar alcohol catabolism genes were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w:t>
      </w:r>
      <w:r>
        <w:rPr>
          <w:rtl w:val="0"/>
          <w:lang w:val="en-US"/>
        </w:rPr>
        <w:t xml:space="preserve"> </w:t>
      </w:r>
      <w:r>
        <w:rPr>
          <w:rStyle w:val="None A"/>
          <w:rFonts w:ascii="Arial" w:hAnsi="Arial"/>
          <w:sz w:val="22"/>
          <w:szCs w:val="22"/>
          <w:rtl w:val="0"/>
          <w:lang w:val="en-US"/>
        </w:rPr>
        <w:t>(Fig. 4d). Monosaccharide catabolism includes genes for the steps involved in glycolysis as well as several genes that mediate entry points of a number of monosaccharides to this pathway</w:t>
      </w:r>
      <w:r>
        <w:rPr>
          <w:rtl w:val="0"/>
          <w:lang w:val="en-US"/>
        </w:rPr>
        <w:t xml:space="preserve"> </w:t>
      </w:r>
      <w:r>
        <w:rPr>
          <w:rStyle w:val="None A"/>
          <w:rFonts w:ascii="Arial" w:hAnsi="Arial"/>
          <w:sz w:val="22"/>
          <w:szCs w:val="22"/>
          <w:rtl w:val="0"/>
          <w:lang w:val="en-US"/>
        </w:rPr>
        <w:t>(Fig. 4e). Transcripts for several genes in glycolysis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and catalyzes the committed step of glycolysis.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different conditions</w:t>
      </w:r>
      <w:r>
        <w:rPr>
          <w:rtl w:val="0"/>
          <w:lang w:val="en-US"/>
        </w:rPr>
        <w:t xml:space="preserve"> </w:t>
      </w:r>
      <w:r>
        <w:rPr>
          <w:rStyle w:val="None A"/>
          <w:rFonts w:ascii="Arial" w:hAnsi="Arial"/>
          <w:sz w:val="22"/>
          <w:szCs w:val="22"/>
          <w:rtl w:val="0"/>
          <w:lang w:val="en-US"/>
        </w:rPr>
        <w:t xml:space="preserve">(Fig. 4f).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1"/>
      <w:r>
        <w:rPr>
          <w:rStyle w:val="None A"/>
          <w:rFonts w:ascii="Arial" w:hAnsi="Arial"/>
          <w:i w:val="1"/>
          <w:iCs w:val="1"/>
          <w:sz w:val="22"/>
          <w:szCs w:val="22"/>
          <w:rtl w:val="0"/>
          <w:lang w:val="en-US"/>
        </w:rPr>
        <w:t>adhE</w:t>
      </w:r>
      <w:bookmarkEnd w:id="1"/>
      <w:r>
        <w:rPr>
          <w:rStyle w:val="None A"/>
          <w:rFonts w:ascii="Arial" w:hAnsi="Arial"/>
          <w:sz w:val="22"/>
          <w:szCs w:val="22"/>
          <w:rtl w:val="0"/>
          <w:lang w:val="en-US"/>
        </w:rPr>
        <w:t>) in addition to those for common plant polysaccharide degradation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xml:space="preserve">) were overrepresented in clindamycin-treated mice (Fig. 4g).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rPr>
          <w:rStyle w:val="None A"/>
          <w:rFonts w:ascii="Arial" w:cs="Arial" w:hAnsi="Arial" w:eastAsia="Arial"/>
          <w:sz w:val="22"/>
          <w:szCs w:val="22"/>
        </w:rPr>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simple sugars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and may be expressed under any conditions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this metric reflects the metabolites and functionalities that are most critical to the overall metabolism of the organism. Enzymes scoring highly included pyruvate kinase, 1-deoxy-D-xylulose-5-phosphate synthase, and transketolase. The metabolites that scored highly included pyruvate, acetyl-CoA, and D-glyceraldehyde 3-phosphate. These highly scoring enzymes and metabolites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To move beyond a static representation of the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mostly likely obtained from the environment because the expression of genes for enzymes that produce the substrate are low. We ranked the importance scores to identify the most important metabolites for each treatment group (Table S5). In both cefoperazone and streptomycin treatment group, several Stickland fermentation intermediates, including propanoate and phosphonoacetate, were scored as highly important relative to scores from randomly assigned transcript abundances. In the clindamycin and gnotobiotic conditions, the mucus derived amino sugars N-acetylglucosamine and N-acetylneurminic acid and glycolysis intermediates scored highly. Well-studied enzyme cofactors, such as Fe2+, were consistently important. Several amino acids were scored highly including proline, threonine, cysteine, leucine, isoleucine, and valine. Many of which are know or suspected auxotrophies of </w:t>
      </w:r>
      <w:r>
        <w:rPr>
          <w:rStyle w:val="None A"/>
          <w:rFonts w:ascii="Arial" w:hAnsi="Arial"/>
          <w:i w:val="1"/>
          <w:iCs w:val="1"/>
          <w:sz w:val="22"/>
          <w:szCs w:val="22"/>
          <w:shd w:val="clear" w:color="auto" w:fill="00ffff"/>
          <w:rtl w:val="0"/>
          <w:lang w:val="en-US"/>
        </w:rPr>
        <w:t xml:space="preserve">C. difficile </w:t>
      </w:r>
      <w:r>
        <w:rPr>
          <w:rStyle w:val="None A"/>
          <w:rFonts w:ascii="Arial" w:hAnsi="Arial"/>
          <w:sz w:val="22"/>
          <w:szCs w:val="22"/>
          <w:shd w:val="clear" w:color="auto" w:fill="00ffff"/>
          <w:rtl w:val="0"/>
          <w:lang w:val="en-US"/>
        </w:rPr>
        <w:t xml:space="preserve">(Ho, 2015; Neumann-Schaal, 2015).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is known to acquire these substrates from its environment to support its growth. The confirmation of previous results demonstrates that our importance-defining algorithm was robust and detects biologically relevant patterns of expression.</w:t>
      </w:r>
    </w:p>
    <w:p>
      <w:pPr>
        <w:pStyle w:val="Default"/>
        <w:shd w:val="clear" w:color="auto" w:fill="ffffff"/>
        <w:spacing w:line="480" w:lineRule="auto"/>
        <w:jc w:val="both"/>
      </w:pPr>
      <w:r>
        <w:rPr>
          <w:rStyle w:val="None A"/>
          <w:rFonts w:ascii="Arial" w:cs="Arial" w:hAnsi="Arial" w:eastAsia="Arial"/>
          <w:sz w:val="22"/>
          <w:szCs w:val="22"/>
          <w:rtl w:val="0"/>
        </w:rPr>
        <w:tab/>
        <w:t xml:space="preserve">We sought to identify the core metabolites that are essential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from each treatment group to uncover patterns of unique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5B). All of these metabolites  were more important than scores for the metabolites where transcript abundances were randomly assigned (black vertical lines). Each group of metabolites contained at least one known carbohydrate growth substrate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This included D-fructose, mannitol, N-acetylneuraminic acid, salicin, and D-sorbitol (Ng, 2013; Theriot, 2014).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metabolic networks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(Fig. 5C).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(Germ-free;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A"/>
          <w:rFonts w:ascii="Arial" w:hAnsi="Arial" w:hint="default"/>
          <w:sz w:val="22"/>
          <w:szCs w:val="22"/>
          <w:rtl w:val="0"/>
          <w:lang w:val="en-US"/>
        </w:rPr>
        <w:t>μ</w:t>
      </w:r>
      <w:r>
        <w:rPr>
          <w:rStyle w:val="None A"/>
          <w:rFonts w:ascii="Arial" w:hAnsi="Arial"/>
          <w:sz w:val="22"/>
          <w:szCs w:val="22"/>
          <w:rtl w:val="0"/>
          <w:lang w:val="en-US"/>
        </w:rPr>
        <w:t>l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A"/>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1 | Experimental timeline for antibiotic pretreatment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ad libitum.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after 18 hours of infection. </w:t>
      </w:r>
      <w:r>
        <w:rPr>
          <w:rStyle w:val="None A"/>
          <w:rFonts w:ascii="Arial" w:hAnsi="Arial"/>
          <w:sz w:val="22"/>
          <w:szCs w:val="22"/>
          <w:rtl w:val="0"/>
          <w:lang w:val="en-US"/>
        </w:rPr>
        <w:t xml:space="preserve"> Nine mice per treatment group were infected with 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Dotted lines indicate the limit of detection for each assay.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Toxin titer from cecal content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and </w:t>
      </w:r>
      <w:r>
        <w:rPr>
          <w:rStyle w:val="None A"/>
          <w:rFonts w:ascii="Arial" w:hAnsi="Arial"/>
          <w:b w:val="1"/>
          <w:bCs w:val="1"/>
          <w:sz w:val="22"/>
          <w:szCs w:val="22"/>
          <w:rtl w:val="0"/>
          <w:lang w:val="en-US"/>
        </w:rPr>
        <w:t xml:space="preserve">(c)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Grey asterisks indicate significant differences between all other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subsampled transcript relative abundances within treatment groups.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sigma factors which their expression has been linked to environment cues.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Majority of known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Many key genes for sporulation display differential expression between treatment groups.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Transcript recruitment to pathogenicity loci, including both the standard PaLoc genes as well as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but not the genes for binary toxin as they are absent in str. 630.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Genes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None A"/>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w:t>
      </w:r>
    </w:p>
    <w:p>
      <w:pPr>
        <w:pStyle w:val="Default"/>
        <w:shd w:val="clear" w:color="auto" w:fill="ffffff"/>
        <w:spacing w:line="480" w:lineRule="auto"/>
        <w:jc w:val="both"/>
      </w:pPr>
      <w:r>
        <w:rPr>
          <w:rStyle w:val="None A"/>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are also plotted separately in without size differences so all points are visible </w:t>
      </w:r>
      <w:r>
        <w:rPr>
          <w:rStyle w:val="None A"/>
          <w:rFonts w:ascii="Arial" w:hAnsi="Arial"/>
          <w:b w:val="1"/>
          <w:bCs w:val="1"/>
          <w:sz w:val="22"/>
          <w:szCs w:val="22"/>
          <w:rtl w:val="0"/>
          <w:lang w:val="en-US"/>
        </w:rPr>
        <w:t>(b - i)</w:t>
      </w:r>
      <w:r>
        <w:rPr>
          <w:rStyle w:val="None A"/>
          <w:rFonts w:ascii="Arial" w:hAnsi="Arial"/>
          <w:sz w:val="22"/>
          <w:szCs w:val="22"/>
          <w:rtl w:val="0"/>
          <w:lang w:val="en-US"/>
        </w:rPr>
        <w: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shared metabolites</w:t>
      </w:r>
    </w:p>
    <w:p>
      <w:pPr>
        <w:pStyle w:val="Default"/>
        <w:shd w:val="clear" w:color="auto" w:fill="ffffff"/>
        <w:spacing w:line="480" w:lineRule="auto"/>
        <w:jc w:val="both"/>
      </w:pPr>
      <w:r>
        <w:rPr>
          <w:rStyle w:val="None A"/>
          <w:rFonts w:ascii="Arial" w:hAnsi="Arial"/>
          <w:b w:val="1"/>
          <w:bCs w:val="1"/>
          <w:sz w:val="22"/>
          <w:szCs w:val="22"/>
          <w:rtl w:val="0"/>
          <w:lang w:val="en-US"/>
        </w:rPr>
        <w:t xml:space="preserve">C) </w:t>
      </w:r>
      <w:r>
        <w:rPr>
          <w:rStyle w:val="None A"/>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&lt;&lt; 0.001, F-values &gt; ). </w:t>
      </w:r>
      <w:r>
        <w:rPr>
          <w:rStyle w:val="None A"/>
          <w:rFonts w:ascii="Arial" w:hAnsi="Arial"/>
          <w:b w:val="1"/>
          <w:bCs w:val="1"/>
          <w:sz w:val="22"/>
          <w:szCs w:val="22"/>
          <w:rtl w:val="0"/>
          <w:lang w:val="en-US"/>
        </w:rPr>
        <w:t>E)</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Purdy, D., Williams, P., &amp; Minton, N. P. (2005). Quorum sensing in Clostridium difficile: Analysis of a luxS-type signalling system. In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(Vol. 54, pp. 119</w:t>
      </w:r>
      <w:r>
        <w:rPr>
          <w:rStyle w:val="None A"/>
          <w:rFonts w:ascii="Arial" w:hAnsi="Arial" w:hint="default"/>
          <w:sz w:val="18"/>
          <w:szCs w:val="18"/>
          <w:rtl w:val="0"/>
          <w:lang w:val="en-US"/>
        </w:rPr>
        <w:t>–</w:t>
      </w:r>
      <w:r>
        <w:rPr>
          <w:rStyle w:val="None A"/>
          <w:rFonts w:ascii="Arial" w:hAnsi="Arial"/>
          <w:sz w:val="18"/>
          <w:szCs w:val="18"/>
          <w:rtl w:val="0"/>
          <w:lang w:val="en-US"/>
        </w:rPr>
        <w:t>127). http://doi.org/10.1099/jmm.0.45817-0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Selmer, T., &amp; Andrei, P. I. (2001). p-hydroxyphenylacetate decarboxylase from Clostridium difficile: A novel glycyl radical enzyme catalysing the formation of p-cresol. European Journal of Biochemistry, 268(5), 1363</w:t>
      </w:r>
      <w:r>
        <w:rPr>
          <w:rStyle w:val="None A"/>
          <w:rFonts w:ascii="Arial" w:hAnsi="Arial" w:hint="default"/>
          <w:sz w:val="18"/>
          <w:szCs w:val="18"/>
          <w:rtl w:val="0"/>
          <w:lang w:val="en-US"/>
        </w:rPr>
        <w:t>–</w:t>
      </w:r>
      <w:r>
        <w:rPr>
          <w:rStyle w:val="None A"/>
          <w:rFonts w:ascii="Arial" w:hAnsi="Arial"/>
          <w:sz w:val="18"/>
          <w:szCs w:val="18"/>
          <w:rtl w:val="0"/>
          <w:lang w:val="en-US"/>
        </w:rPr>
        <w:t xml:space="preserve">1372. http://doi.org/10.1046/j.1432-1327.2001.02001.xSonger, J. G., &amp; Anderson, M. A. (2006). Clostridium difficile: An important pathogen of food animals. </w:t>
      </w:r>
      <w:r>
        <w:rPr>
          <w:rStyle w:val="None A"/>
          <w:rFonts w:ascii="Arial" w:hAnsi="Arial"/>
          <w:i w:val="1"/>
          <w:iCs w:val="1"/>
          <w:sz w:val="18"/>
          <w:szCs w:val="18"/>
          <w:rtl w:val="0"/>
          <w:lang w:val="en-US"/>
        </w:rPr>
        <w:t>Anaerobe</w:t>
      </w:r>
      <w:r>
        <w:rPr>
          <w:rStyle w:val="None A"/>
          <w:rFonts w:ascii="Arial" w:hAnsi="Arial"/>
          <w:sz w:val="18"/>
          <w:szCs w:val="18"/>
          <w:rtl w:val="0"/>
          <w:lang w:val="en-US"/>
        </w:rPr>
        <w:t>. http://doi.org/10.1016/j.anaerobe.2005.09.001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color w:val="0000ff"/>
      <w:u w:val="single" w:color="0000ff"/>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A"/>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