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val="1"/>
          <w:iCs w:val="1"/>
          <w:sz w:val="22"/>
          <w:szCs w:val="22"/>
          <w:rtl w:val="0"/>
          <w:lang w:val="en-US"/>
        </w:rPr>
        <w:t xml:space="preserve">C. difficile </w:t>
      </w:r>
      <w:r>
        <w:rPr>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ceca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val="1"/>
          <w:iCs w:val="1"/>
          <w:sz w:val="22"/>
          <w:szCs w:val="22"/>
          <w:rtl w:val="0"/>
          <w:lang w:val="en-US"/>
        </w:rPr>
        <w:t>P</w:t>
      </w:r>
      <w:r>
        <w:rPr>
          <w:rFonts w:ascii="Arial" w:hAnsi="Arial"/>
          <w:sz w:val="22"/>
          <w:szCs w:val="22"/>
          <w:rtl w:val="0"/>
          <w:lang w:val="en-US"/>
        </w:rPr>
        <w:t xml:space="preserve"> &gt; 0.05; Fig. 2a). All antibiotic treated specific pathogen free (SPF) and germ free (GF)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 per gram of content, while untreated SPF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w:t>
      </w:r>
      <w:r>
        <w:rPr>
          <w:rFonts w:ascii="Arial" w:hAnsi="Arial"/>
          <w:i w:val="1"/>
          <w:iCs w:val="1"/>
          <w:sz w:val="22"/>
          <w:szCs w:val="22"/>
          <w:rtl w:val="0"/>
          <w:lang w:val="en-US"/>
        </w:rPr>
        <w:t>P</w:t>
      </w:r>
      <w:r>
        <w:rPr>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val="1"/>
          <w:iCs w:val="1"/>
          <w:sz w:val="22"/>
          <w:szCs w:val="22"/>
          <w:rtl w:val="0"/>
          <w:lang w:val="en-US"/>
        </w:rPr>
        <w:t>P</w:t>
      </w:r>
      <w:r>
        <w:rPr>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GF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GF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GF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GF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Moving beyond a strictly topological analysis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sought to utilize transcriptomic data to infer which metabolites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network-based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w:t>
      </w:r>
    </w:p>
    <w:p>
      <w:pPr>
        <w:pStyle w:val="Default"/>
        <w:shd w:val="clear" w:color="auto" w:fill="ffffff"/>
        <w:spacing w:line="480" w:lineRule="auto"/>
        <w:ind w:firstLine="709"/>
        <w:jc w:val="both"/>
      </w:pPr>
      <w:r>
        <w:rPr>
          <w:rFonts w:ascii="Arial" w:hAnsi="Arial"/>
          <w:sz w:val="22"/>
          <w:szCs w:val="22"/>
          <w:rtl w:val="0"/>
          <w:lang w:val="en-US"/>
        </w:rPr>
        <w:t xml:space="preserve">At least one carbohydrate highlighted as distinctly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no carbohydrate control (</w:t>
      </w:r>
      <w:r>
        <w:rPr>
          <w:rFonts w:ascii="Arial" w:hAnsi="Arial"/>
          <w:i w:val="1"/>
          <w:iCs w:val="1"/>
          <w:sz w:val="22"/>
          <w:szCs w:val="22"/>
          <w:rtl w:val="0"/>
          <w:lang w:val="en-US"/>
        </w:rPr>
        <w:t>P</w:t>
      </w:r>
      <w:r>
        <w:rPr>
          <w:rFonts w:ascii="Arial" w:hAnsi="Arial"/>
          <w:sz w:val="22"/>
          <w:szCs w:val="22"/>
          <w:rtl w:val="0"/>
          <w:lang w:val="en-US"/>
        </w:rPr>
        <w:t xml:space="preserve"> &lt;&lt; 0.001) (Fig. 6a).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N-acetylneuramininic acid (GF; OD</w:t>
      </w:r>
      <w:r>
        <w:rPr>
          <w:rFonts w:ascii="Arial" w:hAnsi="Arial"/>
          <w:sz w:val="22"/>
          <w:szCs w:val="22"/>
          <w:vertAlign w:val="subscript"/>
          <w:rtl w:val="0"/>
          <w:lang w:val="en-US"/>
        </w:rPr>
        <w:t xml:space="preserve">600 </w:t>
      </w:r>
      <w:r>
        <w:rPr>
          <w:rFonts w:ascii="Arial" w:hAnsi="Arial"/>
          <w:sz w:val="22"/>
          <w:szCs w:val="22"/>
          <w:rtl w:val="0"/>
          <w:lang w:val="en-US"/>
        </w:rPr>
        <w:t>= 0.556). Interestingly, the growth curve for D-sorbitol showed no difference over the negative controls. Furthermore, when assessing the consistently high scoring metabolites shown in Fig. 5c N-acetylglucosamine (OD</w:t>
      </w:r>
      <w:r>
        <w:rPr>
          <w:rFonts w:ascii="Arial" w:hAnsi="Arial"/>
          <w:sz w:val="22"/>
          <w:szCs w:val="22"/>
          <w:vertAlign w:val="subscript"/>
          <w:rtl w:val="0"/>
          <w:lang w:val="en-US"/>
        </w:rPr>
        <w:t xml:space="preserve">600 </w:t>
      </w:r>
      <w:r>
        <w:rPr>
          <w:rFonts w:ascii="Arial" w:hAnsi="Arial"/>
          <w:sz w:val="22"/>
          <w:szCs w:val="22"/>
          <w:rtl w:val="0"/>
          <w:lang w:val="en-US"/>
        </w:rPr>
        <w:t>= 0.671) (</w:t>
      </w:r>
      <w:r>
        <w:rPr>
          <w:rFonts w:ascii="Arial" w:hAnsi="Arial"/>
          <w:i w:val="1"/>
          <w:iCs w:val="1"/>
          <w:sz w:val="22"/>
          <w:szCs w:val="22"/>
          <w:rtl w:val="0"/>
          <w:lang w:val="en-US"/>
        </w:rPr>
        <w:t>P</w:t>
      </w:r>
      <w:r>
        <w:rPr>
          <w:rFonts w:ascii="Arial" w:hAnsi="Arial"/>
          <w:sz w:val="22"/>
          <w:szCs w:val="22"/>
          <w:rtl w:val="0"/>
          <w:lang w:val="en-US"/>
        </w:rPr>
        <w:t xml:space="preserve"> &lt;&lt; 0.001) (Fig. 6a).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6b)</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Shared metabolites tested for growth</w:t>
      </w:r>
      <w:r>
        <w:rPr>
          <w:rFonts w:ascii="Arial" w:hAnsi="Arial" w:hint="default"/>
          <w:sz w:val="22"/>
          <w:szCs w:val="22"/>
          <w:rtl w:val="0"/>
          <w:lang w:val="en-US"/>
        </w:rPr>
        <w:t>…</w:t>
      </w:r>
      <w:r>
        <w:rPr>
          <w:rFonts w:ascii="Arial" w:hAnsi="Arial"/>
          <w:sz w:val="22"/>
          <w:szCs w:val="22"/>
          <w:rtl w:val="0"/>
          <w:lang w:val="en-US"/>
        </w:rPr>
        <w:t>need a new color for shared (purple?)</w:t>
      </w:r>
    </w:p>
    <w:p>
      <w:pPr>
        <w:pStyle w:val="Default"/>
        <w:shd w:val="clear" w:color="auto" w:fill="ffffff"/>
        <w:spacing w:line="480" w:lineRule="auto"/>
        <w:ind w:firstLine="709"/>
        <w:jc w:val="both"/>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pPr>
      <w:r>
        <w:rPr>
          <w:rFonts w:ascii="Arial" w:cs="Arial" w:hAnsi="Arial" w:eastAsia="Arial"/>
          <w:sz w:val="22"/>
          <w:szCs w:val="22"/>
          <w:rtl w:val="0"/>
        </w:rPr>
        <w:tab/>
        <w:t xml:space="preserve">Collectively, our results support our hypothesis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This trend is also true in streptomycin and clindamycin pretreatments, as well as in GF mice with different </w:t>
      </w:r>
      <w:r>
        <w:rPr>
          <w:rFonts w:ascii="Arial" w:hAnsi="Arial"/>
          <w:i w:val="1"/>
          <w:iCs w:val="1"/>
          <w:sz w:val="22"/>
          <w:szCs w:val="22"/>
          <w:rtl w:val="0"/>
          <w:lang w:val="en-US"/>
        </w:rPr>
        <w:t xml:space="preserve">C. difficile </w:t>
      </w:r>
      <w:r>
        <w:rPr>
          <w:rFonts w:ascii="Arial" w:hAnsi="Arial"/>
          <w:sz w:val="22"/>
          <w:szCs w:val="22"/>
          <w:rtl w:val="0"/>
          <w:lang w:val="en-US"/>
        </w:rPr>
        <w:t xml:space="preserve">growth substrates enriched in each. Together, these results provide evidence that our network-based approach accurately predicts which metabolites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r>
        <w:rPr>
          <w:rFonts w:ascii="Arial" w:hAnsi="Arial"/>
          <w:sz w:val="22"/>
          <w:szCs w:val="22"/>
          <w:rtl w:val="0"/>
          <w:lang w:val="en-US"/>
        </w:rPr>
        <w:t xml:space="preserve">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i w:val="1"/>
          <w:i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GF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w:t>
      </w:r>
      <w:r>
        <w:rPr>
          <w:rFonts w:ascii="Arial" w:hAnsi="Arial"/>
          <w:sz w:val="22"/>
          <w:szCs w:val="22"/>
          <w:vertAlign w:val="subscript"/>
          <w:rtl w:val="0"/>
          <w:lang w:val="en-US"/>
        </w:rPr>
        <w:t>2</w:t>
      </w:r>
      <w:r>
        <w:rPr>
          <w:rFonts w:ascii="Arial" w:hAnsi="Arial"/>
          <w:sz w:val="22"/>
          <w:szCs w:val="22"/>
          <w:rtl w:val="0"/>
          <w:lang w:val="en-US"/>
        </w:rPr>
        <w:t xml:space="preserve"> in the shared metabolite list.</w:t>
      </w:r>
    </w:p>
    <w:p>
      <w:pPr>
        <w:pStyle w:val="Default"/>
        <w:shd w:val="clear" w:color="auto" w:fill="ffffff"/>
        <w:spacing w:line="480" w:lineRule="auto"/>
        <w:jc w:val="both"/>
      </w:pPr>
      <w:r>
        <w:rPr>
          <w:rFonts w:ascii="Arial" w:hAnsi="Arial"/>
          <w:sz w:val="22"/>
          <w:szCs w:val="22"/>
          <w:rtl w:val="0"/>
          <w:lang w:val="en-US"/>
        </w:rPr>
        <w:t>http://journals.plos.org/plosone/article?id=10.1371/journal.pone.0062157</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3D).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rPr>
      </w:pPr>
      <w:r>
        <w:rPr>
          <w:rFonts w:ascii="Arial" w:cs="Arial" w:hAnsi="Arial" w:eastAsia="Arial"/>
          <w:sz w:val="22"/>
          <w:szCs w:val="22"/>
          <w:rtl w:val="0"/>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Fonts w:ascii="Arial" w:hAnsi="Arial"/>
          <w:i w:val="1"/>
          <w:iCs w:val="1"/>
          <w:sz w:val="22"/>
          <w:szCs w:val="22"/>
          <w:rtl w:val="0"/>
          <w:lang w:val="en-US"/>
        </w:rPr>
        <w:t>C. difficile</w:t>
      </w:r>
      <w:r>
        <w:rPr>
          <w:rFonts w:ascii="Arial" w:hAnsi="Arial"/>
          <w:sz w:val="22"/>
          <w:szCs w:val="22"/>
          <w:rtl w:val="0"/>
          <w:lang w:val="en-US"/>
        </w:rPr>
        <w:t>. Because of this, these scores aren</w:t>
      </w:r>
      <w:r>
        <w:rPr>
          <w:rFonts w:ascii="Arial" w:hAnsi="Arial" w:hint="default"/>
          <w:sz w:val="22"/>
          <w:szCs w:val="22"/>
          <w:rtl w:val="0"/>
          <w:lang w:val="en-US"/>
        </w:rPr>
        <w:t>’</w:t>
      </w:r>
      <w:r>
        <w:rPr>
          <w:rFonts w:ascii="Arial" w:hAnsi="Arial"/>
          <w:sz w:val="22"/>
          <w:szCs w:val="22"/>
          <w:rtl w:val="0"/>
          <w:lang w:val="en-US"/>
        </w:rPr>
        <w:t>t subject to the effect of subtle differences in metabolism across small groups within the entire collection of activity within the species.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germ free distinct metabolites appear to be mostly auxotrohpies, suggests C. diff can skip a lot of biosynthesis in the absence of competition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hd w:val="clear" w:color="auto" w:fill="ffffff"/>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val="1"/>
          <w:iCs w:val="1"/>
          <w:sz w:val="22"/>
          <w:szCs w:val="22"/>
          <w:rtl w:val="0"/>
          <w:lang w:val="en-US"/>
        </w:rPr>
        <w:t>ad libitum</w:t>
      </w:r>
      <w:r>
        <w:rPr>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w:t>
      </w:r>
      <w:r>
        <w:rPr>
          <w:rStyle w:val="None"/>
          <w:rFonts w:ascii="Arial" w:hAnsi="Arial"/>
          <w:sz w:val="22"/>
          <w:szCs w:val="22"/>
          <w:rtl w:val="0"/>
          <w:lang w:val="en-US"/>
        </w:rPr>
        <w:t xml:space="preserve">a </w:t>
      </w:r>
      <w:r>
        <w:rPr>
          <w:rStyle w:val="None"/>
          <w:rFonts w:ascii="Arial" w:hAnsi="Arial"/>
          <w:sz w:val="22"/>
          <w:szCs w:val="22"/>
          <w:rtl w:val="0"/>
          <w:lang w:val="en-US"/>
        </w:rPr>
        <w:t>median</w:t>
      </w:r>
      <w:r>
        <w:rPr>
          <w:rStyle w:val="None"/>
          <w:rFonts w:ascii="Arial" w:hAnsi="Arial"/>
          <w:sz w:val="22"/>
          <w:szCs w:val="22"/>
          <w:rtl w:val="0"/>
          <w:lang w:val="en-US"/>
        </w:rPr>
        <w:t xml:space="preserve"> expression value </w:t>
      </w:r>
      <w:r>
        <w:rPr>
          <w:rStyle w:val="None"/>
          <w:rFonts w:ascii="Arial" w:hAnsi="Arial"/>
          <w:sz w:val="22"/>
          <w:szCs w:val="22"/>
          <w:rtl w:val="0"/>
          <w:lang w:val="en-US"/>
        </w:rPr>
        <w:t xml:space="preserve">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Reaction Annotation &amp; Bipartite Network Construction.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w:t>
      </w:r>
      <w:r>
        <w:rPr>
          <w:rStyle w:val="None"/>
          <w:rFonts w:ascii="Arial" w:hAnsi="Arial"/>
          <w:sz w:val="22"/>
          <w:szCs w:val="22"/>
          <w:rtl w:val="0"/>
          <w:lang w:val="en-US"/>
        </w:rPr>
        <w:t xml:space="preserve">directed </w:t>
      </w:r>
      <w:r>
        <w:rPr>
          <w:rStyle w:val="None"/>
          <w:rFonts w:ascii="Arial" w:hAnsi="Arial"/>
          <w:sz w:val="22"/>
          <w:szCs w:val="22"/>
          <w:rtl w:val="0"/>
          <w:lang w:val="en-US"/>
        </w:rPr>
        <w:t xml:space="preserve">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Hyperlink.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Hyperlink.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hd w:val="clear" w:color="auto" w:fill="ffffff"/>
        <w:spacing w:line="480" w:lineRule="auto"/>
        <w:jc w:val="center"/>
        <w:rPr>
          <w:rStyle w:val="None"/>
          <w:sz w:val="22"/>
          <w:szCs w:val="22"/>
        </w:rPr>
      </w:pPr>
      <w:r>
        <w:rPr>
          <w:rStyle w:val="Hyperlink.2"/>
          <w:rtl w:val="0"/>
          <w:lang w:val="en-US"/>
        </w:rPr>
        <w:t xml:space="preserve">(i)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i</w:t>
      </w:r>
      <w:r>
        <w:rPr>
          <w:rStyle w:val="Hyperlink.2"/>
          <w:rtl w:val="0"/>
          <w:lang w:val="en-US"/>
        </w:rPr>
        <w:t xml:space="preserve"> </w:t>
      </w:r>
      <w:r>
        <w:rPr>
          <w:rStyle w:val="None"/>
          <w:rFonts w:ascii="Arial" w:hAnsi="Arial" w:hint="default"/>
          <w:caps w:val="0"/>
          <w:smallCaps w:val="0"/>
          <w:color w:val="222222"/>
          <w:spacing w:val="0"/>
          <w:sz w:val="22"/>
          <w:szCs w:val="22"/>
          <w:u w:val="none"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w:t>
        <w:tab/>
        <w:tab/>
        <w:tab/>
        <w:t xml:space="preserve">(ii)  </w:t>
      </w:r>
      <w:r>
        <w:rPr>
          <w:rStyle w:val="None"/>
          <w:rFonts w:ascii="LM Roman Unslanted 10" w:cs="LM Roman Unslanted 10" w:hAnsi="LM Roman Unslanted 10" w:eastAsia="LM Roman Unslanted 10"/>
          <w:i w:val="1"/>
          <w:iCs w:val="1"/>
          <w:position w:val="0"/>
          <w:sz w:val="22"/>
          <w:szCs w:val="22"/>
          <w:vertAlign w:val="baseline"/>
          <w:rtl w:val="0"/>
          <w:lang w:val="en-US"/>
        </w:rPr>
        <w:t>µ</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 xml:space="preserve"> = </w:t>
      </w:r>
      <w:r>
        <w:rPr>
          <w:rStyle w:val="None"/>
          <w:position w:val="0"/>
          <w:sz w:val="28"/>
          <w:szCs w:val="28"/>
          <w:vertAlign w:val="baseline"/>
          <w:rtl w:val="0"/>
          <w:lang w:val="en-US"/>
        </w:rPr>
        <w:t>Σ</w:t>
      </w:r>
      <w:r>
        <w:rPr>
          <w:rStyle w:val="None"/>
          <w:rFonts w:ascii="Arial" w:hAnsi="Arial"/>
          <w:position w:val="0"/>
          <w:sz w:val="22"/>
          <w:szCs w:val="22"/>
          <w:vertAlign w:val="baseline"/>
          <w:rtl w:val="0"/>
          <w:lang w:val="en-US"/>
        </w:rPr>
        <w:t>t</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 xml:space="preserve"> </w:t>
      </w:r>
      <w:r>
        <w:rPr>
          <w:rStyle w:val="None"/>
          <w:rFonts w:ascii="Arial" w:hAnsi="Arial" w:hint="default"/>
          <w:caps w:val="0"/>
          <w:smallCaps w:val="0"/>
          <w:color w:val="222222"/>
          <w:spacing w:val="0"/>
          <w:position w:val="0"/>
          <w:sz w:val="22"/>
          <w:szCs w:val="22"/>
          <w:u w:val="none" w:color="222222"/>
          <w:vertAlign w:val="baseline"/>
          <w:rtl w:val="0"/>
          <w:lang w:val="en-US"/>
        </w:rPr>
        <w:t>÷</w:t>
      </w:r>
      <w:r>
        <w:rPr>
          <w:rStyle w:val="None"/>
          <w:rFonts w:ascii="Arial" w:hAnsi="Arial"/>
          <w:position w:val="0"/>
          <w:sz w:val="22"/>
          <w:szCs w:val="22"/>
          <w:vertAlign w:val="baseline"/>
          <w:rtl w:val="0"/>
          <w:lang w:val="en-US"/>
        </w:rPr>
        <w:t xml:space="preserve"> </w:t>
      </w:r>
      <w:r>
        <w:rPr>
          <w:rStyle w:val="None"/>
          <w:rFonts w:ascii="LM Roman Unslanted 10" w:cs="LM Roman Unslanted 10" w:hAnsi="LM Roman Unslanted 10" w:eastAsia="LM Roman Unslanted 10"/>
          <w:i w:val="1"/>
          <w:iCs w:val="1"/>
          <w:position w:val="0"/>
          <w:sz w:val="22"/>
          <w:szCs w:val="22"/>
          <w:vertAlign w:val="baseline"/>
          <w:rtl w:val="0"/>
          <w:lang w:val="en-US"/>
        </w:rPr>
        <w:t>n</w:t>
      </w:r>
      <w:r>
        <w:rPr>
          <w:rStyle w:val="None"/>
          <w:rFonts w:ascii="Arial" w:hAnsi="Arial"/>
          <w:position w:val="0"/>
          <w:sz w:val="22"/>
          <w:szCs w:val="22"/>
          <w:vertAlign w:val="baseline"/>
          <w:rtl w:val="0"/>
          <w:lang w:val="en-US"/>
        </w:rPr>
        <w:t>(e</w:t>
      </w:r>
      <w:r>
        <w:rPr>
          <w:rStyle w:val="None"/>
          <w:rFonts w:ascii="Arial" w:hAnsi="Arial"/>
          <w:sz w:val="22"/>
          <w:szCs w:val="22"/>
          <w:vertAlign w:val="subscript"/>
          <w:rtl w:val="0"/>
          <w:lang w:val="en-US"/>
        </w:rPr>
        <w:t>i</w:t>
      </w:r>
      <w:r>
        <w:rPr>
          <w:rStyle w:val="None"/>
          <w:rFonts w:ascii="Arial" w:hAnsi="Arial"/>
          <w:position w:val="0"/>
          <w:sz w:val="22"/>
          <w:szCs w:val="22"/>
          <w:vertAlign w:val="baseline"/>
          <w:rtl w:val="0"/>
          <w:lang w:val="en-US"/>
        </w:rPr>
        <w:t>)</w:t>
      </w:r>
    </w:p>
    <w:p>
      <w:pPr>
        <w:pStyle w:val="Default"/>
        <w:shd w:val="clear" w:color="auto" w:fill="ffffff"/>
        <w:spacing w:line="480" w:lineRule="auto"/>
        <w:rPr>
          <w:rStyle w:val="None"/>
          <w:sz w:val="22"/>
          <w:szCs w:val="22"/>
        </w:rPr>
      </w:pPr>
      <w:r>
        <w:rPr>
          <w:rStyle w:val="None"/>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480" w:lineRule="auto"/>
        <w:jc w:val="center"/>
        <w:rPr>
          <w:rStyle w:val="None"/>
          <w:sz w:val="22"/>
          <w:szCs w:val="22"/>
        </w:rPr>
      </w:pPr>
      <w:r>
        <w:rPr>
          <w:rStyle w:val="Hyperlink.2"/>
          <w:rtl w:val="0"/>
          <w:lang w:val="en-US"/>
        </w:rPr>
        <w:t>(iii)  m</w:t>
      </w:r>
      <w:r>
        <w:rPr>
          <w:rStyle w:val="None"/>
          <w:rFonts w:ascii="Arial" w:hAnsi="Arial"/>
          <w:sz w:val="22"/>
          <w:szCs w:val="22"/>
          <w:vertAlign w:val="subscript"/>
          <w:rtl w:val="0"/>
          <w:lang w:val="en-US"/>
        </w:rPr>
        <w:t>i</w:t>
      </w:r>
      <w:r>
        <w:rPr>
          <w:rStyle w:val="Hyperlink.2"/>
          <w:rtl w:val="0"/>
          <w:lang w:val="en-US"/>
        </w:rPr>
        <w:t xml:space="preserve"> = </w:t>
      </w:r>
      <w:bookmarkStart w:name="MathJaxElement43Frame1" w:id="2"/>
      <w:r>
        <w:rPr>
          <w:rStyle w:val="None"/>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None"/>
          <w:rFonts w:ascii="Arial" w:hAnsi="Arial" w:hint="default"/>
          <w:position w:val="0"/>
          <w:sz w:val="22"/>
          <w:szCs w:val="22"/>
          <w:vertAlign w:val="baseline"/>
          <w:rtl w:val="0"/>
          <w:lang w:val="en-US"/>
        </w:rPr>
        <w:t xml:space="preserve"> – </w:t>
      </w:r>
      <w:r>
        <w:rPr>
          <w:rStyle w:val="None"/>
          <w:rFonts w:ascii="LM Roman Unslanted 10" w:cs="LM Roman Unslanted 10" w:hAnsi="LM Roman Unslanted 10" w:eastAsia="LM Roman Unslanted 10"/>
          <w:i w:val="1"/>
          <w:iCs w:val="1"/>
          <w:position w:val="0"/>
          <w:sz w:val="22"/>
          <w:szCs w:val="22"/>
          <w:vertAlign w:val="baseline"/>
          <w:rtl w:val="0"/>
          <w:lang w:val="en-US"/>
        </w:rPr>
        <w:t>µ</w:t>
      </w:r>
      <w:r>
        <w:rPr>
          <w:rStyle w:val="None"/>
          <w:rFonts w:ascii="Arial" w:hAnsi="Arial"/>
          <w:sz w:val="22"/>
          <w:szCs w:val="22"/>
          <w:vertAlign w:val="subscript"/>
          <w:rtl w:val="0"/>
          <w:lang w:val="en-US"/>
        </w:rPr>
        <w:t>o</w:t>
      </w:r>
      <w:bookmarkStart w:name="MathJaxElement43Frame2" w:id="3"/>
      <w:r>
        <w:rPr>
          <w:rStyle w:val="Hyperlink.2"/>
          <w:rtl w:val="0"/>
          <w:lang w:val="en-US"/>
        </w:rPr>
        <w:t>)</w:t>
      </w:r>
    </w:p>
    <w:p>
      <w:pPr>
        <w:pStyle w:val="Default"/>
        <w:shd w:val="clear" w:color="auto" w:fill="ffffff"/>
        <w:spacing w:line="480" w:lineRule="auto"/>
      </w:pPr>
      <w:r>
        <w:rPr>
          <w:rStyle w:val="None"/>
          <w:rFonts w:ascii="Arial" w:hAnsi="Arial"/>
          <w:position w:val="0"/>
          <w:sz w:val="22"/>
          <w:szCs w:val="22"/>
          <w:vertAlign w:val="baseline"/>
          <w:rtl w:val="0"/>
          <w:lang w:val="en-US"/>
        </w:rPr>
        <w:t>The difference is Log</w:t>
      </w:r>
      <w:r>
        <w:rPr>
          <w:rStyle w:val="None"/>
          <w:rFonts w:ascii="Arial" w:hAnsi="Arial"/>
          <w:sz w:val="22"/>
          <w:szCs w:val="22"/>
          <w:vertAlign w:val="subscript"/>
          <w:rtl w:val="0"/>
          <w:lang w:val="en-US"/>
        </w:rPr>
        <w:t>2</w:t>
      </w:r>
      <w:r>
        <w:rPr>
          <w:rStyle w:val="None"/>
          <w:rFonts w:ascii="Arial" w:hAnsi="Arial"/>
          <w:position w:val="0"/>
          <w:sz w:val="22"/>
          <w:szCs w:val="22"/>
          <w:vertAlign w:val="baseline"/>
          <w:rtl w:val="0"/>
          <w:lang w:val="en-US"/>
        </w:rPr>
        <w:t xml:space="preserve"> transformed for comparability between scores of individual metabolites. This results in a final value that reflects the likelihood a metabolite is acquired from the environment. </w:t>
      </w:r>
      <w:r>
        <w:rPr>
          <w:rStyle w:val="Hyperlink.2"/>
          <w:rtl w:val="0"/>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val="1"/>
          <w:bCs w:val="1"/>
          <w:sz w:val="22"/>
          <w:szCs w:val="22"/>
          <w:rtl w:val="0"/>
          <w:lang w:val="en-US"/>
        </w:rPr>
        <w:t>B</w:t>
      </w:r>
      <w:r>
        <w:rPr>
          <w:rStyle w:val="Hyperlink.2"/>
          <w:rtl w:val="0"/>
          <w:lang w:val="en-US"/>
        </w:rPr>
        <w:t>acter</w:t>
      </w:r>
      <w:r>
        <w:rPr>
          <w:rStyle w:val="None"/>
          <w:rFonts w:ascii="Arial" w:hAnsi="Arial"/>
          <w:b w:val="1"/>
          <w:bCs w:val="1"/>
          <w:sz w:val="22"/>
          <w:szCs w:val="22"/>
          <w:rtl w:val="0"/>
          <w:lang w:val="en-US"/>
        </w:rPr>
        <w:t>I</w:t>
      </w:r>
      <w:r>
        <w:rPr>
          <w:rStyle w:val="Hyperlink.2"/>
          <w:rtl w:val="0"/>
          <w:lang w:val="en-US"/>
        </w:rPr>
        <w:t xml:space="preserve">al </w:t>
      </w:r>
      <w:r>
        <w:rPr>
          <w:rStyle w:val="None"/>
          <w:rFonts w:ascii="Arial" w:hAnsi="Arial"/>
          <w:b w:val="1"/>
          <w:bCs w:val="1"/>
          <w:sz w:val="22"/>
          <w:szCs w:val="22"/>
          <w:rtl w:val="0"/>
          <w:lang w:val="en-US"/>
        </w:rPr>
        <w:t>G</w:t>
      </w:r>
      <w:r>
        <w:rPr>
          <w:rStyle w:val="Hyperlink.2"/>
          <w:rtl w:val="0"/>
          <w:lang w:val="en-US"/>
        </w:rPr>
        <w:t>enome-</w:t>
      </w:r>
      <w:r>
        <w:rPr>
          <w:rStyle w:val="None"/>
          <w:rFonts w:ascii="Arial" w:hAnsi="Arial"/>
          <w:b w:val="1"/>
          <w:bCs w:val="1"/>
          <w:sz w:val="22"/>
          <w:szCs w:val="22"/>
          <w:rtl w:val="0"/>
          <w:lang w:val="en-US"/>
        </w:rPr>
        <w:t>S</w:t>
      </w:r>
      <w:r>
        <w:rPr>
          <w:rStyle w:val="Hyperlink.2"/>
          <w:rtl w:val="0"/>
          <w:lang w:val="en-US"/>
        </w:rPr>
        <w:t xml:space="preserve">cale </w:t>
      </w:r>
      <w:r>
        <w:rPr>
          <w:rStyle w:val="None"/>
          <w:rFonts w:ascii="Arial" w:hAnsi="Arial"/>
          <w:b w:val="1"/>
          <w:bCs w:val="1"/>
          <w:sz w:val="22"/>
          <w:szCs w:val="22"/>
          <w:rtl w:val="0"/>
          <w:lang w:val="en-US"/>
        </w:rPr>
        <w:t>M</w:t>
      </w:r>
      <w:r>
        <w:rPr>
          <w:rStyle w:val="Hyperlink.2"/>
          <w:rtl w:val="0"/>
          <w:lang w:val="en-US"/>
        </w:rPr>
        <w:t xml:space="preserve">etabolic models for </w:t>
      </w:r>
      <w:r>
        <w:rPr>
          <w:rStyle w:val="None"/>
          <w:rFonts w:ascii="Arial" w:hAnsi="Arial"/>
          <w:b w:val="1"/>
          <w:bCs w:val="1"/>
          <w:sz w:val="22"/>
          <w:szCs w:val="22"/>
          <w:rtl w:val="0"/>
          <w:lang w:val="en-US"/>
        </w:rPr>
        <w:t>A</w:t>
      </w:r>
      <w:r>
        <w:rPr>
          <w:rStyle w:val="Hyperlink.2"/>
          <w:rtl w:val="0"/>
          <w:lang w:val="en-US"/>
        </w:rPr>
        <w:t>pp</w:t>
      </w:r>
      <w:r>
        <w:rPr>
          <w:rStyle w:val="None"/>
          <w:rFonts w:ascii="Arial" w:hAnsi="Arial"/>
          <w:b w:val="1"/>
          <w:bCs w:val="1"/>
          <w:sz w:val="22"/>
          <w:szCs w:val="22"/>
          <w:rtl w:val="0"/>
          <w:lang w:val="en-US"/>
        </w:rPr>
        <w:t>L</w:t>
      </w:r>
      <w:r>
        <w:rPr>
          <w:rStyle w:val="Hyperlink.2"/>
          <w:rtl w:val="0"/>
          <w:lang w:val="en-US"/>
        </w:rPr>
        <w:t>ied reverse eco</w:t>
      </w:r>
      <w:r>
        <w:rPr>
          <w:rStyle w:val="None"/>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bookmarkStart w:name="MathJaxElement43Frame3" w:id="4"/>
      <w:r>
        <w:rPr>
          <w:rStyle w:val="None"/>
          <w:rFonts w:ascii="Arial" w:hAnsi="Arial"/>
          <w:b w:val="1"/>
          <w:bCs w:val="1"/>
          <w:sz w:val="22"/>
          <w:szCs w:val="22"/>
          <w:rtl w:val="0"/>
          <w:lang w:val="en-US"/>
        </w:rPr>
        <w:t xml:space="preserve">Transcriptome </w:t>
      </w:r>
      <w:r>
        <w:rPr>
          <w:rStyle w:val="None"/>
          <w:rFonts w:ascii="Arial" w:hAnsi="Arial"/>
          <w:b w:val="1"/>
          <w:bCs w:val="1"/>
          <w:sz w:val="22"/>
          <w:szCs w:val="22"/>
          <w:rtl w:val="0"/>
          <w:lang w:val="en-US"/>
        </w:rPr>
        <w:t>Bootstrapping</w:t>
      </w:r>
      <w:r>
        <w:rPr>
          <w:rStyle w:val="None"/>
          <w:rFonts w:ascii="Arial" w:hAnsi="Arial"/>
          <w:b w:val="1"/>
          <w:bCs w:val="1"/>
          <w:sz w:val="22"/>
          <w:szCs w:val="22"/>
          <w:rtl w:val="0"/>
          <w:lang w:val="en-US"/>
        </w:rPr>
        <w:t xml:space="preserve"> and Probability Distribution Comparison.</w:t>
      </w:r>
      <w:bookmarkEnd w:id="4"/>
      <w:bookmarkEnd w:id="3"/>
      <w:r>
        <w:rPr>
          <w:rStyle w:val="None"/>
          <w:rFonts w:ascii="Arial" w:hAnsi="Arial"/>
          <w:b w:val="1"/>
          <w:bCs w:val="1"/>
          <w:sz w:val="22"/>
          <w:szCs w:val="22"/>
          <w:rtl w:val="0"/>
          <w:lang w:val="en-US"/>
        </w:rPr>
        <w:t xml:space="preserve"> </w:t>
      </w:r>
      <w:r>
        <w:rPr>
          <w:rStyle w:val="Hyperlink.2"/>
          <w:rtl w:val="0"/>
          <w:lang w:val="en-US"/>
        </w:rPr>
        <w:t xml:space="preserve">As sequencing replicates of </w:t>
      </w:r>
      <w:r>
        <w:rPr>
          <w:rStyle w:val="None"/>
          <w:rFonts w:ascii="Arial" w:hAnsi="Arial"/>
          <w:i w:val="1"/>
          <w:iCs w:val="1"/>
          <w:sz w:val="22"/>
          <w:szCs w:val="22"/>
          <w:rtl w:val="0"/>
          <w:lang w:val="en-US"/>
        </w:rPr>
        <w:t>in vivo</w:t>
      </w:r>
      <w:r>
        <w:rPr>
          <w:rStyle w:val="Hyperlink.2"/>
          <w:rtl w:val="0"/>
          <w:lang w:val="en-US"/>
        </w:rPr>
        <w:t xml:space="preserve"> transcriptomes w</w:t>
      </w:r>
      <w:r>
        <w:rPr>
          <w:rStyle w:val="Hyperlink.2"/>
          <w:rtl w:val="0"/>
          <w:lang w:val="en-US"/>
        </w:rPr>
        <w:t>as</w:t>
      </w:r>
      <w:r>
        <w:rPr>
          <w:rStyle w:val="Hyperlink.2"/>
          <w:rtl w:val="0"/>
          <w:lang w:val="en-US"/>
        </w:rPr>
        <w:t xml:space="preserve"> not feasible, we applied a Monte-Carlo style simulation to distinguish calculated metabolite importances due to distinct transcriptional patterns for the environment measured from those metabolites that are constitutively important. </w:t>
      </w:r>
      <w:r>
        <w:rPr>
          <w:rStyle w:val="Hyperlink.2"/>
          <w:rtl w:val="0"/>
          <w:lang w:val="en-US"/>
        </w:rPr>
        <w:t>Additionally</w:t>
      </w:r>
      <w:r>
        <w:rPr>
          <w:rStyle w:val="Hyperlink.2"/>
          <w:rtl w:val="0"/>
          <w:lang w:val="en-US"/>
        </w:rPr>
        <w:t xml:space="preserve">, an approach of this type is a powerful tool for hypothesis generation and can provide evidence for future lines of investigation into the role of specific metabolites in the metabolism of bacteria in a given environment. </w:t>
      </w:r>
      <w:r>
        <w:rPr>
          <w:rStyle w:val="Hyperlink.2"/>
          <w:rtl w:val="0"/>
          <w:lang w:val="en-US"/>
        </w:rPr>
        <w:t>We employed</w:t>
      </w:r>
      <w:r>
        <w:rPr>
          <w:rStyle w:val="Hyperlink.2"/>
          <w:rtl w:val="0"/>
          <w:lang w:val="en-US"/>
        </w:rPr>
        <w:t xml:space="preserve"> a 1000</w:t>
      </w:r>
      <w:r>
        <w:rPr>
          <w:rStyle w:val="Hyperlink.2"/>
          <w:rtl w:val="0"/>
          <w:lang w:val="en-US"/>
        </w:rPr>
        <w:t>0</w:t>
      </w:r>
      <w:r>
        <w:rPr>
          <w:rStyle w:val="Hyperlink.2"/>
          <w:rtl w:val="0"/>
          <w:lang w:val="en-US"/>
        </w:rPr>
        <w:t xml:space="preserve">-fold </w:t>
      </w:r>
      <w:r>
        <w:rPr>
          <w:rStyle w:val="Hyperlink.2"/>
          <w:rtl w:val="0"/>
          <w:lang w:val="en-US"/>
        </w:rPr>
        <w:t>bootstrapping</w:t>
      </w:r>
      <w:r>
        <w:rPr>
          <w:rStyle w:val="Hyperlink.2"/>
          <w:rtl w:val="0"/>
          <w:lang w:val="en-US"/>
        </w:rPr>
        <w:t xml:space="preserve">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w:t>
      </w:r>
      <w:r>
        <w:rPr>
          <w:rStyle w:val="Hyperlink.2"/>
          <w:rtl w:val="0"/>
          <w:lang w:val="en-US"/>
        </w:rPr>
        <w:t>5</w:t>
      </w:r>
      <w:r>
        <w:rPr>
          <w:rStyle w:val="Hyperlink.2"/>
          <w:rtl w:val="0"/>
          <w:lang w:val="en-US"/>
        </w:rPr>
        <w:t xml:space="preserve">% confidence interval. This is a superior approach to topology randomization </w:t>
      </w:r>
      <w:r>
        <w:rPr>
          <w:rStyle w:val="Hyperlink.2"/>
          <w:rtl w:val="0"/>
          <w:lang w:val="en-US"/>
        </w:rPr>
        <w:t>since</w:t>
      </w:r>
      <w:r>
        <w:rPr>
          <w:rStyle w:val="Hyperlink.2"/>
          <w:rtl w:val="0"/>
          <w:lang w:val="en-US"/>
        </w:rPr>
        <w:t xml:space="preserve"> the </w:t>
      </w:r>
      <w:r>
        <w:rPr>
          <w:rStyle w:val="Hyperlink.2"/>
          <w:rtl w:val="0"/>
          <w:lang w:val="en-US"/>
        </w:rPr>
        <w:t>connections</w:t>
      </w:r>
      <w:r>
        <w:rPr>
          <w:rStyle w:val="Hyperlink.2"/>
          <w:rtl w:val="0"/>
          <w:lang w:val="en-US"/>
        </w:rPr>
        <w:t xml:space="preserve"> of the network itself was created through natural selection and any large-scale alterations would yield biologically uninformative comparisons. </w:t>
      </w:r>
      <w:r>
        <w:rPr>
          <w:rStyle w:val="Hyperlink.2"/>
          <w:rtl w:val="0"/>
          <w:lang w:val="en-US"/>
        </w:rPr>
        <w:t>These calculations are</w:t>
      </w:r>
      <w:r>
        <w:rPr>
          <w:rStyle w:val="Hyperlink.2"/>
          <w:rtl w:val="0"/>
          <w:lang w:val="en-US"/>
        </w:rPr>
        <w:t xml:space="preserve"> also included within the standard BIGsmall workflow presented above.</w:t>
      </w:r>
    </w:p>
    <w:p>
      <w:pPr>
        <w:pStyle w:val="Default"/>
        <w:shd w:val="clear" w:color="auto" w:fill="ffffff"/>
        <w:spacing w:line="480" w:lineRule="auto"/>
        <w:jc w:val="both"/>
        <w:rPr>
          <w:rStyle w:val="Hyperlink.2"/>
        </w:rPr>
      </w:pPr>
      <w:bookmarkStart w:name="MathJaxElement43Frame5" w:id="5"/>
    </w:p>
    <w:p>
      <w:pPr>
        <w:pStyle w:val="Default"/>
        <w:shd w:val="clear" w:color="auto" w:fill="ffffff"/>
        <w:spacing w:line="480" w:lineRule="auto"/>
        <w:jc w:val="both"/>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w:t>
      </w:r>
      <w:r>
        <w:rPr>
          <w:rStyle w:val="Hyperlink.2"/>
          <w:rtl w:val="0"/>
          <w:lang w:val="en-US"/>
        </w:rPr>
        <w:t>Individual</w:t>
      </w:r>
      <w:r>
        <w:rPr>
          <w:rStyle w:val="Hyperlink.2"/>
          <w:rtl w:val="0"/>
          <w:lang w:val="en-US"/>
        </w:rPr>
        <w:t xml:space="preserve"> carbohydrate sources were added at a final concentration of 5 mg/mL, also as outlined in the aforementioned study. </w:t>
      </w:r>
      <w:r>
        <w:rPr>
          <w:rStyle w:val="Hyperlink.2"/>
          <w:rtl w:val="0"/>
          <w:lang w:val="en-US"/>
        </w:rPr>
        <w:t xml:space="preserve">Pair-wise carbohydrate combinations were added at a respective concentration of 2.5 mg/mL (5 mg/mL total). </w:t>
      </w:r>
      <w:r>
        <w:rPr>
          <w:rStyle w:val="Hyperlink.2"/>
          <w:rtl w:val="0"/>
          <w:lang w:val="en-US"/>
        </w:rPr>
        <w:t xml:space="preserve">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Hyperlink.2"/>
          <w:rtl w:val="0"/>
          <w:lang w:val="en-US"/>
        </w:rPr>
        <w:t>, 92.0% N, 0.0% O</w:t>
      </w:r>
      <w:r>
        <w:rPr>
          <w:rStyle w:val="None"/>
          <w:rFonts w:ascii="Arial" w:hAnsi="Arial"/>
          <w:sz w:val="22"/>
          <w:szCs w:val="22"/>
          <w:vertAlign w:val="subscript"/>
          <w:rtl w:val="0"/>
          <w:lang w:val="en-US"/>
        </w:rPr>
        <w:t>2</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C in 3 ml BHI + 0.5% cysteine. Cultures were then centrifuged at 2000 rpm for 5 minutes and resulting pellets were then washed twice with sterile, anaerobic 1</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lines for mouse model pretreatments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w:rFonts w:ascii="Arial" w:hAnsi="Arial"/>
          <w:b w:val="1"/>
          <w:bCs w:val="1"/>
          <w:sz w:val="22"/>
          <w:szCs w:val="22"/>
          <w:rtl w:val="0"/>
          <w:lang w:val="en-US"/>
        </w:rPr>
        <w:t>(a)</w:t>
      </w:r>
      <w:r>
        <w:rPr>
          <w:rStyle w:val="Hyperlink.2"/>
          <w:rtl w:val="0"/>
          <w:lang w:val="en-US"/>
        </w:rPr>
        <w:t xml:space="preserve"> Streptomycin or </w:t>
      </w:r>
      <w:r>
        <w:rPr>
          <w:rStyle w:val="None"/>
          <w:rFonts w:ascii="Arial" w:hAnsi="Arial"/>
          <w:b w:val="1"/>
          <w:bCs w:val="1"/>
          <w:sz w:val="22"/>
          <w:szCs w:val="22"/>
          <w:rtl w:val="0"/>
          <w:lang w:val="en-US"/>
        </w:rPr>
        <w:t>(b)</w:t>
      </w:r>
      <w:r>
        <w:rPr>
          <w:rStyle w:val="Hyperlink.2"/>
          <w:rtl w:val="0"/>
          <w:lang w:val="en-US"/>
        </w:rPr>
        <w:t xml:space="preserve"> cefoperazone administered </w:t>
      </w:r>
      <w:r>
        <w:rPr>
          <w:rStyle w:val="None"/>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w:rFonts w:ascii="Arial" w:hAnsi="Arial"/>
          <w:sz w:val="22"/>
          <w:szCs w:val="22"/>
          <w:vertAlign w:val="superscript"/>
          <w:rtl w:val="0"/>
          <w:lang w:val="en-US"/>
        </w:rPr>
        <w:t>3</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 xml:space="preserve">(b) </w:t>
      </w:r>
      <w:r>
        <w:rPr>
          <w:rStyle w:val="None"/>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w:rFonts w:ascii="Arial" w:hAnsi="Arial"/>
          <w:i w:val="1"/>
          <w:iCs w:val="1"/>
          <w:sz w:val="22"/>
          <w:szCs w:val="22"/>
          <w:rtl w:val="0"/>
          <w:lang w:val="en-US"/>
        </w:rPr>
        <w:t>P</w:t>
      </w:r>
      <w:r>
        <w:rPr>
          <w:rStyle w:val="Hyperlink.2"/>
          <w:rtl w:val="0"/>
          <w:lang w:val="en-US"/>
        </w:rPr>
        <w:t xml:space="preserve"> &lt; 0.05). </w:t>
      </w:r>
      <w:r>
        <w:rPr>
          <w:rStyle w:val="None"/>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val="1"/>
          <w:iCs w:val="1"/>
          <w:sz w:val="22"/>
          <w:szCs w:val="22"/>
          <w:rtl w:val="0"/>
          <w:lang w:val="en-US"/>
        </w:rPr>
        <w:t>P</w:t>
      </w:r>
      <w:r>
        <w:rPr>
          <w:rStyle w:val="Hyperlink.2"/>
          <w:rtl w:val="0"/>
          <w:lang w:val="en-US"/>
        </w:rPr>
        <w:t xml:space="preserve"> &lt; 0.05). UD*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b</w:t>
      </w:r>
      <w:r>
        <w:rPr>
          <w:rStyle w:val="Hyperlink.2"/>
          <w:rtl w:val="0"/>
          <w:lang w:val="en-US"/>
        </w:rPr>
        <w:t>,</w:t>
      </w:r>
      <w:r>
        <w:rPr>
          <w:rStyle w:val="None"/>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w:rFonts w:ascii="Arial" w:hAnsi="Arial"/>
          <w:i w:val="1"/>
          <w:iCs w:val="1"/>
          <w:sz w:val="22"/>
          <w:szCs w:val="22"/>
          <w:rtl w:val="0"/>
          <w:lang w:val="en-US"/>
        </w:rPr>
        <w:t>C. difficile</w:t>
      </w:r>
      <w:r>
        <w:rPr>
          <w:rStyle w:val="Hyperlink.2"/>
          <w:rtl w:val="0"/>
          <w:lang w:val="en-US"/>
        </w:rPr>
        <w:t xml:space="preserve"> in each condition. </w:t>
      </w:r>
      <w:r>
        <w:rPr>
          <w:rStyle w:val="None"/>
          <w:rFonts w:ascii="Arial" w:hAnsi="Arial"/>
          <w:b w:val="1"/>
          <w:bCs w:val="1"/>
          <w:sz w:val="22"/>
          <w:szCs w:val="22"/>
          <w:rtl w:val="0"/>
          <w:lang w:val="en-US"/>
        </w:rPr>
        <w:t>(a)</w:t>
      </w:r>
      <w:r>
        <w:rPr>
          <w:rStyle w:val="Hyperlink.2"/>
          <w:rtl w:val="0"/>
          <w:lang w:val="en-US"/>
        </w:rPr>
        <w:t xml:space="preserve"> Select genes from the </w:t>
      </w:r>
      <w:r>
        <w:rPr>
          <w:rStyle w:val="None"/>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Hyperlink.2"/>
          <w:rtl w:val="0"/>
          <w:lang w:val="en-US"/>
        </w:rPr>
        <w:t xml:space="preserve"> Genes for effector proteins included in the </w:t>
      </w:r>
      <w:r>
        <w:rPr>
          <w:rStyle w:val="None"/>
          <w:rFonts w:ascii="Arial" w:hAnsi="Arial"/>
          <w:i w:val="1"/>
          <w:iCs w:val="1"/>
          <w:sz w:val="22"/>
          <w:szCs w:val="22"/>
          <w:rtl w:val="0"/>
          <w:lang w:val="en-US"/>
        </w:rPr>
        <w:t>C. difficile</w:t>
      </w:r>
      <w:r>
        <w:rPr>
          <w:rStyle w:val="Hyperlink.2"/>
          <w:rtl w:val="0"/>
          <w:lang w:val="en-US"/>
        </w:rPr>
        <w:t xml:space="preserve"> pathogenicity locus. </w:t>
      </w:r>
      <w:r>
        <w:rPr>
          <w:rStyle w:val="None"/>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d</w:t>
      </w:r>
      <w:r>
        <w:rPr>
          <w:rStyle w:val="Hyperlink.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val="1"/>
          <w:bCs w:val="1"/>
          <w:sz w:val="22"/>
          <w:szCs w:val="22"/>
          <w:rtl w:val="0"/>
          <w:lang w:val="en-US"/>
        </w:rPr>
        <w:t xml:space="preserve">(b </w:t>
      </w:r>
      <w:r>
        <w:rPr>
          <w:rStyle w:val="Hyperlink.2"/>
          <w:rtl w:val="0"/>
          <w:lang w:val="en-US"/>
        </w:rPr>
        <w:t>–</w:t>
      </w:r>
      <w:r>
        <w:rPr>
          <w:rStyle w:val="None"/>
          <w:rFonts w:ascii="Arial" w:hAnsi="Arial"/>
          <w:b w:val="1"/>
          <w:bCs w:val="1"/>
          <w:sz w:val="22"/>
          <w:szCs w:val="22"/>
          <w:rtl w:val="0"/>
          <w:lang w:val="en-US"/>
        </w:rPr>
        <w:t xml:space="preserve"> i) </w:t>
      </w:r>
      <w:r>
        <w:rPr>
          <w:rStyle w:val="Hyperlink.2"/>
          <w:rtl w:val="0"/>
          <w:lang w:val="en-US"/>
        </w:rPr>
        <w:t xml:space="preserve">Groups from </w:t>
      </w:r>
      <w:r>
        <w:rPr>
          <w:rStyle w:val="None"/>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w:rFonts w:ascii="Arial" w:hAnsi="Arial"/>
          <w:i w:val="1"/>
          <w:iCs w:val="1"/>
          <w:sz w:val="22"/>
          <w:szCs w:val="22"/>
          <w:rtl w:val="0"/>
          <w:lang w:val="en-US"/>
        </w:rPr>
        <w:t>P</w:t>
      </w:r>
      <w:r>
        <w:rPr>
          <w:rStyle w:val="Hyperlink.2"/>
          <w:rtl w:val="0"/>
          <w:lang w:val="en-US"/>
        </w:rPr>
        <w:t xml:space="preserve"> &lt; 0.05).</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Hyperlink.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Hyperlink.2"/>
          <w:rtl w:val="0"/>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w:rFonts w:ascii="Arial" w:hAnsi="Arial"/>
          <w:i w:val="1"/>
          <w:iCs w:val="1"/>
          <w:sz w:val="22"/>
          <w:szCs w:val="22"/>
          <w:rtl w:val="0"/>
          <w:lang w:val="en-US"/>
        </w:rPr>
        <w:t>C. difficile</w:t>
      </w:r>
      <w:r>
        <w:rPr>
          <w:rStyle w:val="Hyperlink.2"/>
          <w:rtl w:val="0"/>
          <w:lang w:val="en-US"/>
        </w:rPr>
        <w:t xml:space="preserve"> str. 630 during infection of cefoperazone-treated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Hyperlink.2"/>
          <w:rtl w:val="0"/>
          <w:lang w:val="en-US"/>
        </w:rPr>
        <w:t xml:space="preserve"> Metabolites shared among the 50 highest scoring between all conditions. </w:t>
      </w:r>
      <w:r>
        <w:rPr>
          <w:rStyle w:val="None"/>
          <w:rFonts w:ascii="Arial" w:hAnsi="Arial"/>
          <w:b w:val="1"/>
          <w:bCs w:val="1"/>
          <w:sz w:val="22"/>
          <w:szCs w:val="22"/>
          <w:rtl w:val="0"/>
          <w:lang w:val="en-US"/>
        </w:rPr>
        <w:t>(c)</w:t>
      </w:r>
      <w:r>
        <w:rPr>
          <w:rStyle w:val="Hyperlink.2"/>
          <w:rtl w:val="0"/>
          <w:lang w:val="en-US"/>
        </w:rPr>
        <w:t xml:space="preserve"> Most highly scoring distinctly important metabolites from each treatment group. The top 25 scoring metabolites from each group was cross-referenced against all others to arrive at metabolites differentially important between environments. Points in </w:t>
      </w:r>
      <w:r>
        <w:rPr>
          <w:rStyle w:val="None"/>
          <w:rFonts w:ascii="Arial" w:hAnsi="Arial"/>
          <w:b w:val="1"/>
          <w:bCs w:val="1"/>
          <w:sz w:val="22"/>
          <w:szCs w:val="22"/>
          <w:rtl w:val="0"/>
          <w:lang w:val="en-US"/>
        </w:rPr>
        <w:t>b</w:t>
      </w:r>
      <w:r>
        <w:rPr>
          <w:rStyle w:val="Hyperlink.2"/>
          <w:rtl w:val="0"/>
          <w:lang w:val="en-US"/>
        </w:rPr>
        <w:t xml:space="preserve"> &amp; </w:t>
      </w:r>
      <w:r>
        <w:rPr>
          <w:rStyle w:val="None"/>
          <w:rFonts w:ascii="Arial" w:hAnsi="Arial"/>
          <w:b w:val="1"/>
          <w:bCs w:val="1"/>
          <w:sz w:val="22"/>
          <w:szCs w:val="22"/>
          <w:rtl w:val="0"/>
          <w:lang w:val="en-US"/>
        </w:rPr>
        <w:t>c</w:t>
      </w:r>
      <w:r>
        <w:rPr>
          <w:rStyle w:val="Hyperlink.2"/>
          <w:rtl w:val="0"/>
          <w:lang w:val="en-US"/>
        </w:rPr>
        <w:t xml:space="preserve"> are the calculated metabolite importance scores based on the given sequenced transcriptome. Gray vertical lines in</w:t>
      </w:r>
      <w:bookmarkEnd w:id="5"/>
      <w:bookmarkStart w:name="Bookmark" w:id="6"/>
      <w:r>
        <w:rPr>
          <w:rStyle w:val="Hyperlink.2"/>
          <w:rtl w:val="0"/>
          <w:lang w:val="en-US"/>
        </w:rPr>
        <w:t xml:space="preserve"> </w:t>
      </w:r>
      <w:r>
        <w:rPr>
          <w:rStyle w:val="None"/>
          <w:rFonts w:ascii="Arial" w:hAnsi="Arial"/>
          <w:b w:val="1"/>
          <w:bCs w:val="1"/>
          <w:sz w:val="22"/>
          <w:szCs w:val="22"/>
          <w:rtl w:val="0"/>
          <w:lang w:val="en-US"/>
        </w:rPr>
        <w:t>b</w:t>
      </w:r>
      <w:r>
        <w:rPr>
          <w:rStyle w:val="Hyperlink.2"/>
          <w:rtl w:val="0"/>
          <w:lang w:val="en-US"/>
        </w:rPr>
        <w:t xml:space="preserve"> &amp; </w:t>
      </w:r>
      <w:r>
        <w:rPr>
          <w:rStyle w:val="None"/>
          <w:rFonts w:ascii="Arial" w:hAnsi="Arial"/>
          <w:b w:val="1"/>
          <w:bCs w:val="1"/>
          <w:sz w:val="22"/>
          <w:szCs w:val="22"/>
          <w:rtl w:val="0"/>
          <w:lang w:val="en-US"/>
        </w:rPr>
        <w:t>c</w:t>
      </w:r>
      <w:bookmarkEnd w:id="6"/>
      <w:r>
        <w:rPr>
          <w:rStyle w:val="Hyperlink.2"/>
          <w:rtl w:val="0"/>
          <w:lang w:val="en-US"/>
        </w:rPr>
        <w:t xml:space="preserve"> display the median and 99% confidence interval from 11830-fold iterative transcript abundance randomization. Measured scores of the most important metabolites are shown to be greater than the ranges associated with random noise, supporting a valid biological signal. Red points are distinct from the random probability distribution to an equivalent degree as </w:t>
      </w:r>
      <w:r>
        <w:rPr>
          <w:rStyle w:val="None"/>
          <w:rFonts w:ascii="Arial" w:hAnsi="Arial"/>
          <w:i w:val="1"/>
          <w:iCs w:val="1"/>
          <w:sz w:val="22"/>
          <w:szCs w:val="22"/>
          <w:rtl w:val="0"/>
          <w:lang w:val="en-US"/>
        </w:rPr>
        <w:t>P</w:t>
      </w:r>
      <w:r>
        <w:rPr>
          <w:rStyle w:val="Hyperlink.2"/>
          <w:rtl w:val="0"/>
          <w:lang w:val="en-US"/>
        </w:rPr>
        <w:t xml:space="preserve"> &lt; 0.05.</w:t>
      </w:r>
    </w:p>
    <w:p>
      <w:pPr>
        <w:pStyle w:val="Default"/>
        <w:shd w:val="clear" w:color="auto" w:fill="ffffff"/>
        <w:spacing w:line="480" w:lineRule="auto"/>
        <w:jc w:val="both"/>
      </w:pPr>
    </w:p>
    <w:p>
      <w:pPr>
        <w:pStyle w:val="Default"/>
        <w:shd w:val="clear" w:color="auto" w:fill="ffffff"/>
        <w:spacing w:line="480" w:lineRule="auto"/>
        <w:jc w:val="both"/>
      </w:pPr>
      <w:bookmarkStart w:name="Bookmark1" w:id="7"/>
      <w:r>
        <w:rPr>
          <w:rStyle w:val="None"/>
          <w:rFonts w:ascii="Arial" w:hAnsi="Arial"/>
          <w:b w:val="1"/>
          <w:bCs w:val="1"/>
          <w:sz w:val="22"/>
          <w:szCs w:val="22"/>
          <w:rtl w:val="0"/>
          <w:lang w:val="en-US"/>
        </w:rPr>
        <w:t xml:space="preserve">Figure 6 |  C. difficile growth curves using metabolites predicted from network approach. (a) </w:t>
      </w:r>
      <w:bookmarkEnd w:id="7"/>
      <w:r>
        <w:rPr>
          <w:rStyle w:val="Hyperlink.2"/>
          <w:rtl w:val="0"/>
          <w:lang w:val="en-US"/>
        </w:rPr>
        <w:t xml:space="preserve"> </w:t>
      </w:r>
      <w:r>
        <w:rPr>
          <w:rStyle w:val="None"/>
          <w:rFonts w:ascii="Arial" w:hAnsi="Arial"/>
          <w:i w:val="1"/>
          <w:iCs w:val="1"/>
          <w:sz w:val="22"/>
          <w:szCs w:val="22"/>
          <w:rtl w:val="0"/>
          <w:lang w:val="en-US"/>
        </w:rPr>
        <w:t>In vitro</w:t>
      </w:r>
      <w:r>
        <w:rPr>
          <w:rStyle w:val="Hyperlink.2"/>
          <w:rtl w:val="0"/>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Hyperlink.2"/>
          <w:rtl w:val="0"/>
          <w:lang w:val="en-US"/>
        </w:rPr>
        <w:t xml:space="preserve"> growth significantly more than </w:t>
      </w:r>
      <w:r>
        <w:rPr>
          <w:rStyle w:val="Hyperlink.2"/>
          <w:rtl w:val="0"/>
          <w:lang w:val="en-US"/>
        </w:rPr>
        <w:t xml:space="preserve">– </w:t>
      </w:r>
      <w:r>
        <w:rPr>
          <w:rStyle w:val="Hyperlink.2"/>
          <w:rtl w:val="0"/>
          <w:lang w:val="en-US"/>
        </w:rPr>
        <w:t>Glucose + Amino Acids controls (</w:t>
      </w:r>
      <w:r>
        <w:rPr>
          <w:rStyle w:val="None"/>
          <w:rFonts w:ascii="Arial" w:hAnsi="Arial"/>
          <w:i w:val="1"/>
          <w:iCs w:val="1"/>
          <w:sz w:val="22"/>
          <w:szCs w:val="22"/>
          <w:rtl w:val="0"/>
          <w:lang w:val="en-US"/>
        </w:rPr>
        <w:t>P</w:t>
      </w:r>
      <w:r>
        <w:rPr>
          <w:rStyle w:val="Hyperlink.2"/>
          <w:rtl w:val="0"/>
          <w:lang w:val="en-US"/>
        </w:rPr>
        <w:t xml:space="preserve"> &lt;&lt; 0.001, F-values &gt; ). </w:t>
      </w:r>
      <w:r>
        <w:rPr>
          <w:rStyle w:val="None"/>
          <w:rFonts w:ascii="Arial" w:hAnsi="Arial"/>
          <w:b w:val="1"/>
          <w:bCs w:val="1"/>
          <w:sz w:val="22"/>
          <w:szCs w:val="22"/>
          <w:rtl w:val="0"/>
          <w:lang w:val="en-US"/>
        </w:rPr>
        <w:t>(b)</w:t>
      </w:r>
      <w:r>
        <w:rPr>
          <w:rStyle w:val="Hyperlink.2"/>
          <w:rtl w:val="0"/>
          <w:lang w:val="en-US"/>
        </w:rPr>
        <w:t xml:space="preserve"> distinct metabolites from each group. </w:t>
      </w:r>
      <w:r>
        <w:rPr>
          <w:rStyle w:val="None"/>
          <w:rFonts w:ascii="Arial" w:hAnsi="Arial"/>
          <w:b w:val="1"/>
          <w:bCs w:val="1"/>
          <w:sz w:val="22"/>
          <w:szCs w:val="22"/>
          <w:rtl w:val="0"/>
          <w:lang w:val="en-US"/>
        </w:rPr>
        <w:t>(c)</w:t>
      </w:r>
      <w:r>
        <w:rPr>
          <w:rStyle w:val="Hyperlink.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1 |  Spore % of total C.f.u. and toxin to spore correlations. </w:t>
      </w:r>
      <w:r>
        <w:rPr>
          <w:rStyle w:val="Hyperlink.2"/>
          <w:rtl w:val="0"/>
          <w:lang w:val="en-US"/>
        </w:rPr>
        <w:t xml:space="preserve">Continued analysis of wetlab phenotypic data. </w:t>
      </w:r>
      <w:r>
        <w:rPr>
          <w:rStyle w:val="None"/>
          <w:rFonts w:ascii="Arial" w:hAnsi="Arial"/>
          <w:b w:val="1"/>
          <w:bCs w:val="1"/>
          <w:sz w:val="22"/>
          <w:szCs w:val="22"/>
          <w:rtl w:val="0"/>
          <w:lang w:val="en-US"/>
        </w:rPr>
        <w:t>A)</w:t>
      </w:r>
      <w:r>
        <w:rPr>
          <w:rStyle w:val="Hyperlink.2"/>
          <w:rtl w:val="0"/>
          <w:lang w:val="en-US"/>
        </w:rPr>
        <w:t xml:space="preserve"> Spore %. </w:t>
      </w:r>
      <w:r>
        <w:rPr>
          <w:rStyle w:val="None"/>
          <w:rFonts w:ascii="Arial" w:hAnsi="Arial"/>
          <w:b w:val="1"/>
          <w:bCs w:val="1"/>
          <w:sz w:val="22"/>
          <w:szCs w:val="22"/>
          <w:rtl w:val="0"/>
          <w:lang w:val="en-US"/>
        </w:rPr>
        <w:t>B)</w:t>
      </w:r>
      <w:r>
        <w:rPr>
          <w:rStyle w:val="Hyperlink.2"/>
          <w:rtl w:val="0"/>
          <w:lang w:val="en-US"/>
        </w:rPr>
        <w:t xml:space="preserve"> Spore toxin correlation w/o GF. </w:t>
      </w:r>
      <w:r>
        <w:rPr>
          <w:rStyle w:val="None"/>
          <w:rFonts w:ascii="Arial" w:hAnsi="Arial"/>
          <w:b w:val="1"/>
          <w:bCs w:val="1"/>
          <w:sz w:val="22"/>
          <w:szCs w:val="22"/>
          <w:rtl w:val="0"/>
          <w:lang w:val="en-US"/>
        </w:rPr>
        <w:t>C)</w:t>
      </w:r>
      <w:r>
        <w:rPr>
          <w:rStyle w:val="Hyperlink.2"/>
          <w:rtl w:val="0"/>
          <w:lang w:val="en-US"/>
        </w:rPr>
        <w:t xml:space="preserve"> Spore toxin correlation w/ 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Hyperlink.2"/>
          <w:rtl w:val="0"/>
          <w:lang w:val="en-US"/>
        </w:rPr>
        <w:t xml:space="preserve">High expression of </w:t>
      </w:r>
      <w:r>
        <w:rPr>
          <w:rStyle w:val="None"/>
          <w:rFonts w:ascii="Arial" w:hAnsi="Arial"/>
          <w:i w:val="1"/>
          <w:iCs w:val="1"/>
          <w:sz w:val="22"/>
          <w:szCs w:val="22"/>
          <w:rtl w:val="0"/>
          <w:lang w:val="en-US"/>
        </w:rPr>
        <w:t>cdtR</w:t>
      </w:r>
      <w:r>
        <w:rPr>
          <w:rStyle w:val="Hyperlink.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Hyperlink.2"/>
          <w:rtl w:val="0"/>
          <w:lang w:val="en-US"/>
        </w:rPr>
        <w:t xml:space="preserve"> str. 630 possessing neither </w:t>
      </w:r>
      <w:r>
        <w:rPr>
          <w:rStyle w:val="None"/>
          <w:rFonts w:ascii="Arial" w:hAnsi="Arial"/>
          <w:i w:val="1"/>
          <w:iCs w:val="1"/>
          <w:sz w:val="22"/>
          <w:szCs w:val="22"/>
          <w:rtl w:val="0"/>
          <w:lang w:val="en-US"/>
        </w:rPr>
        <w:t>cdtA</w:t>
      </w:r>
      <w:r>
        <w:rPr>
          <w:rStyle w:val="Hyperlink.2"/>
          <w:rtl w:val="0"/>
          <w:lang w:val="en-US"/>
        </w:rPr>
        <w:t xml:space="preserve"> nor </w:t>
      </w:r>
      <w:r>
        <w:rPr>
          <w:rStyle w:val="None"/>
          <w:rFonts w:ascii="Arial" w:hAnsi="Arial"/>
          <w:i w:val="1"/>
          <w:iCs w:val="1"/>
          <w:sz w:val="22"/>
          <w:szCs w:val="22"/>
          <w:rtl w:val="0"/>
          <w:lang w:val="en-US"/>
        </w:rPr>
        <w:t>cdtB</w:t>
      </w:r>
      <w:r>
        <w:rPr>
          <w:rStyle w:val="Hyperlink.2"/>
          <w:rtl w:val="0"/>
          <w:lang w:val="en-US"/>
        </w:rPr>
        <w:t xml:space="preserve"> genes.</w:t>
      </w: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Hyperlink.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Hyperlink.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Hyperlink.2"/>
        </w:rPr>
      </w:pPr>
      <w:r>
        <w:rPr>
          <w:rStyle w:val="Hyperlink.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w:next w:val="Hyperlink.1"/>
    <w:rPr>
      <w:rFonts w:ascii="Arial" w:cs="Arial" w:hAnsi="Arial" w:eastAsia="Arial"/>
      <w:color w:val="000080"/>
      <w:sz w:val="22"/>
      <w:szCs w:val="22"/>
      <w:u w:val="single" w:color="000080"/>
    </w:rPr>
  </w:style>
  <w:style w:type="character" w:styleId="Hyperlink.2">
    <w:name w:val="Hyperlink.2"/>
    <w:basedOn w:val="None"/>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