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color="2c2d30"/>
          <w:rtl w:val="0"/>
          <w:lang w:val="en-US"/>
        </w:rPr>
        <w:t>Clostridium difficile</w:t>
      </w:r>
      <w:r>
        <w:rPr>
          <w:rStyle w:val="None A"/>
          <w:rFonts w:ascii="Arial" w:hAnsi="Arial"/>
          <w:color w:val="2c2d30"/>
          <w:sz w:val="22"/>
          <w:szCs w:val="22"/>
          <w:u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w:t>
      </w:r>
      <w:r>
        <w:rPr>
          <w:rStyle w:val="None A"/>
          <w:rFonts w:ascii="Arial" w:hAnsi="Arial"/>
          <w:sz w:val="22"/>
          <w:szCs w:val="22"/>
          <w:rtl w:val="0"/>
          <w:lang w:val="en-US"/>
        </w:rPr>
        <w:t xml:space="preserve">systems </w:t>
      </w:r>
      <w:r>
        <w:rPr>
          <w:rStyle w:val="None A"/>
          <w:rFonts w:ascii="Arial" w:hAnsi="Arial"/>
          <w:sz w:val="22"/>
          <w:szCs w:val="22"/>
          <w:rtl w:val="0"/>
          <w:lang w:val="en-US"/>
        </w:rPr>
        <w:t xml:space="preserve">(PTS)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w:t>
      </w:r>
      <w:r>
        <w:rPr>
          <w:rStyle w:val="None A"/>
          <w:rFonts w:ascii="Arial" w:hAnsi="Arial"/>
          <w:sz w:val="22"/>
          <w:szCs w:val="22"/>
          <w:rtl w:val="0"/>
          <w:lang w:val="en-US"/>
        </w:rPr>
        <w:t xml:space="preserve"> (Theriot, 2013; Jump, 2014)</w:t>
      </w:r>
      <w:r>
        <w:rPr>
          <w:rStyle w:val="None A"/>
          <w:rFonts w:ascii="Arial" w:hAnsi="Arial"/>
          <w:sz w:val="22"/>
          <w:szCs w:val="22"/>
          <w:rtl w:val="0"/>
          <w:lang w:val="en-US"/>
        </w:rPr>
        <w:t xml:space="preserve">;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s metabolism and which substrates are preferred by the organism (Patil, 2005</w:t>
      </w:r>
      <w:r>
        <w:rPr>
          <w:rStyle w:val="None A"/>
          <w:rFonts w:ascii="Arial" w:hAnsi="Arial"/>
          <w:sz w:val="22"/>
          <w:szCs w:val="22"/>
          <w:rtl w:val="0"/>
          <w:lang w:val="en-US"/>
        </w:rPr>
        <w:t>; Borenstein, 2008; Suthers, 2009)</w:t>
      </w:r>
      <w:r>
        <w:rPr>
          <w:rStyle w:val="None A"/>
          <w:rFonts w:ascii="Arial" w:hAnsi="Arial"/>
          <w:sz w:val="22"/>
          <w:szCs w:val="22"/>
          <w:rtl w:val="0"/>
          <w:lang w:val="en-US"/>
        </w:rPr>
        <w:t xml:space="preserve">.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Fig. </w:t>
      </w:r>
      <w:r>
        <w:rPr>
          <w:rStyle w:val="None A"/>
          <w:rFonts w:ascii="Arial" w:hAnsi="Arial"/>
          <w:sz w:val="22"/>
          <w:szCs w:val="22"/>
          <w:rtl w:val="0"/>
          <w:lang w:val="en-US"/>
        </w:rPr>
        <w:t>2A</w:t>
      </w:r>
      <w:r>
        <w:rPr>
          <w:rStyle w:val="None A"/>
          <w:rFonts w:ascii="Arial" w:hAnsi="Arial"/>
          <w:sz w:val="22"/>
          <w:szCs w:val="22"/>
          <w:rtl w:val="0"/>
          <w:lang w:val="en-US"/>
        </w:rPr>
        <w:t>).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were detected in gnotobiotic mice than in the antibiotic treated mice (Fig. </w:t>
      </w:r>
      <w:r>
        <w:rPr>
          <w:rStyle w:val="None A"/>
          <w:rFonts w:ascii="Arial" w:hAnsi="Arial"/>
          <w:sz w:val="22"/>
          <w:szCs w:val="22"/>
          <w:rtl w:val="0"/>
          <w:lang w:val="en-US"/>
        </w:rPr>
        <w:t>2B</w:t>
      </w:r>
      <w:r>
        <w:rPr>
          <w:rStyle w:val="None A"/>
          <w:rFonts w:ascii="Arial" w:hAnsi="Arial"/>
          <w:sz w:val="22"/>
          <w:szCs w:val="22"/>
          <w:rtl w:val="0"/>
          <w:lang w:val="en-US"/>
        </w:rPr>
        <w:t xml:space="preserve">).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w:t>
      </w:r>
      <w:r>
        <w:rPr>
          <w:rStyle w:val="None A"/>
          <w:rFonts w:ascii="Arial" w:hAnsi="Arial"/>
          <w:sz w:val="22"/>
          <w:szCs w:val="22"/>
          <w:rtl w:val="0"/>
          <w:lang w:val="en-US"/>
        </w:rPr>
        <w:t>2C</w:t>
      </w:r>
      <w:r>
        <w:rPr>
          <w:rStyle w:val="None A"/>
          <w:rFonts w:ascii="Arial" w:hAnsi="Arial"/>
          <w:sz w:val="22"/>
          <w:szCs w:val="22"/>
          <w:rtl w:val="0"/>
          <w:lang w:val="en-US"/>
        </w:rPr>
        <w:t xml:space="preserve">).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shd w:val="clear" w:color="auto" w:fill="00ffff"/>
          <w:rtl w:val="0"/>
          <w:lang w:val="en-US"/>
        </w:rPr>
        <w:t>C. difficile</w:t>
      </w:r>
      <w:r>
        <w:rPr>
          <w:rStyle w:val="None A"/>
          <w:rFonts w:ascii="Arial" w:hAnsi="Arial"/>
          <w:b w:val="1"/>
          <w:bCs w:val="1"/>
          <w:sz w:val="22"/>
          <w:szCs w:val="22"/>
          <w:shd w:val="clear" w:color="auto" w:fill="00ffff"/>
          <w:rtl w:val="0"/>
          <w:lang w:val="en-US"/>
        </w:rPr>
        <w:t xml:space="preserve"> displays flexible expression genes for sigma factors related to metabolism and pathogenesis across antibiotic pretreatments.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pretreatment models. To narrow our analysis of the transcriptomic data, we chose to focus on genes that code for sigma factors, sporulation, pathogenesis, and quorum sensing.</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sigma factors are the master regulators of transcription and a subset have been shown to respond to environmental nutrient concentrations (</w:t>
      </w:r>
      <w:r>
        <w:rPr>
          <w:rStyle w:val="None A"/>
          <w:rFonts w:ascii="Arial" w:hAnsi="Arial"/>
          <w:sz w:val="22"/>
          <w:szCs w:val="22"/>
          <w:shd w:val="clear" w:color="auto" w:fill="ffff00"/>
          <w:rtl w:val="0"/>
          <w:lang w:val="en-US"/>
        </w:rPr>
        <w:t>references</w:t>
      </w:r>
      <w:r>
        <w:rPr>
          <w:rStyle w:val="None A"/>
          <w:rFonts w:ascii="Arial" w:hAnsi="Arial"/>
          <w:sz w:val="22"/>
          <w:szCs w:val="22"/>
          <w:rtl w:val="0"/>
          <w:lang w:val="en-US"/>
        </w:rPr>
        <w:t xml:space="preserve">). The global nutritional regulator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transcript was highly expressed in each condition, despite apparent differences in toxin and spore production (Fig. </w:t>
      </w:r>
      <w:r>
        <w:rPr>
          <w:rStyle w:val="None A"/>
          <w:rFonts w:ascii="Arial" w:hAnsi="Arial"/>
          <w:sz w:val="22"/>
          <w:szCs w:val="22"/>
          <w:rtl w:val="0"/>
          <w:lang w:val="en-US"/>
        </w:rPr>
        <w:t>3</w:t>
      </w:r>
      <w:r>
        <w:rPr>
          <w:rStyle w:val="None A"/>
          <w:rFonts w:ascii="Arial" w:hAnsi="Arial"/>
          <w:sz w:val="22"/>
          <w:szCs w:val="22"/>
          <w:rtl w:val="0"/>
          <w:lang w:val="en-US"/>
        </w:rPr>
        <w:t xml:space="preserve">A). Canonically,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a strong negative regulator of toxin production and sporulation (Bouillaut, 2015) and could demonstrate a more complex regulatory network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Style w:val="None A"/>
          <w:rFonts w:ascii="Arial" w:hAnsi="Arial"/>
          <w:i w:val="1"/>
          <w:iCs w:val="1"/>
          <w:sz w:val="22"/>
          <w:szCs w:val="22"/>
          <w:rtl w:val="0"/>
          <w:lang w:val="en-US"/>
        </w:rPr>
        <w:t>sigE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sigK, which are involved in sporulation and </w:t>
      </w:r>
      <w:r>
        <w:rPr>
          <w:rStyle w:val="None A"/>
          <w:rFonts w:ascii="Arial" w:hAnsi="Arial"/>
          <w:sz w:val="22"/>
          <w:szCs w:val="22"/>
          <w:rtl w:val="0"/>
          <w:lang w:val="en-US"/>
        </w:rPr>
        <w:t xml:space="preserve">were approximately 10-fold less expressed in cefoperazone than the others (Donnelly, 2016; Fimlaid, 2013). This agrees with the measured differences in CFU due to spores (Fig. </w:t>
      </w:r>
      <w:r>
        <w:rPr>
          <w:rStyle w:val="None A"/>
          <w:rFonts w:ascii="Arial" w:hAnsi="Arial"/>
          <w:sz w:val="22"/>
          <w:szCs w:val="22"/>
          <w:rtl w:val="0"/>
          <w:lang w:val="en-US"/>
        </w:rPr>
        <w:t>2B</w:t>
      </w:r>
      <w:r>
        <w:rPr>
          <w:rStyle w:val="None A"/>
          <w:rFonts w:ascii="Arial" w:hAnsi="Arial"/>
          <w:sz w:val="22"/>
          <w:szCs w:val="22"/>
          <w:rtl w:val="0"/>
          <w:lang w:val="en-US"/>
        </w:rPr>
        <w:t>) where cefoperazone pretreatment resulted in delayed sporulation.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the discrepancies in sporulation, we chose to quantify specific changes in expression within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(Fig. </w:t>
      </w:r>
      <w:r>
        <w:rPr>
          <w:rStyle w:val="None A"/>
          <w:rFonts w:ascii="Arial" w:hAnsi="Arial"/>
          <w:sz w:val="22"/>
          <w:szCs w:val="22"/>
          <w:rtl w:val="0"/>
          <w:lang w:val="en-US"/>
        </w:rPr>
        <w:t>3</w:t>
      </w:r>
      <w:r>
        <w:rPr>
          <w:rStyle w:val="None A"/>
          <w:rFonts w:ascii="Arial" w:hAnsi="Arial"/>
          <w:sz w:val="22"/>
          <w:szCs w:val="22"/>
          <w:rtl w:val="0"/>
          <w:lang w:val="en-US"/>
        </w:rPr>
        <w:t xml:space="preserve">B). The gene list was derived from Saujet et. al., 2014 where the authors reviewed the complex cascade of regulation that occurs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spoIIAA,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spoIIAB,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dpaA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sodA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w:t>
      </w:r>
      <w:r>
        <w:rPr>
          <w:rStyle w:val="None A"/>
          <w:rFonts w:ascii="Arial" w:hAnsi="Arial"/>
          <w:sz w:val="22"/>
          <w:szCs w:val="22"/>
          <w:rtl w:val="0"/>
          <w:lang w:val="en-US"/>
        </w:rPr>
        <w:t>3</w:t>
      </w:r>
      <w:r>
        <w:rPr>
          <w:rStyle w:val="None A"/>
          <w:rFonts w:ascii="Arial" w:hAnsi="Arial"/>
          <w:sz w:val="22"/>
          <w:szCs w:val="22"/>
          <w:rtl w:val="0"/>
          <w:lang w:val="en-US"/>
        </w:rPr>
        <w:t xml:space="preserve">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regulating anti-sigma factor)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regulating sigma factor)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This was interesting as toxin activity was detectable in each condition, but only the negative regulator of toxin expression was seen implying a more complex regulation of toxin production than this mechanism alone.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 pretreatment. Mutants for this gene have been associated with impaired toxin secretion and low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expression of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may partially explain the historically lowered virulence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(Theriot, 2011).</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w:t>
      </w:r>
      <w:r>
        <w:rPr>
          <w:rStyle w:val="None A"/>
          <w:rFonts w:ascii="Arial" w:hAnsi="Arial"/>
          <w:sz w:val="22"/>
          <w:szCs w:val="22"/>
          <w:rtl w:val="0"/>
          <w:lang w:val="en-US"/>
        </w:rPr>
        <w:t>3</w:t>
      </w:r>
      <w:r>
        <w:rPr>
          <w:rStyle w:val="None A"/>
          <w:rFonts w:ascii="Arial" w:hAnsi="Arial"/>
          <w:sz w:val="22"/>
          <w:szCs w:val="22"/>
          <w:rtl w:val="0"/>
          <w:lang w:val="en-US"/>
        </w:rPr>
        <w:t xml:space="preserve">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the context of similar colonization, spore, and toxin levels, differential expression of genes for sigma factors and sporulation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adapting to environmental nutrient concentrations. To test this further, we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quantified the differential expression of genes in each gene set (Fig. </w:t>
      </w:r>
      <w:r>
        <w:rPr>
          <w:rStyle w:val="None A"/>
          <w:rFonts w:ascii="Arial" w:hAnsi="Arial"/>
          <w:sz w:val="22"/>
          <w:szCs w:val="22"/>
          <w:rtl w:val="0"/>
          <w:lang w:val="en-US"/>
        </w:rPr>
        <w:t>2</w:t>
      </w:r>
      <w:r>
        <w:rPr>
          <w:rStyle w:val="None A"/>
          <w:rFonts w:ascii="Arial" w:hAnsi="Arial"/>
          <w:sz w:val="22"/>
          <w:szCs w:val="22"/>
          <w:rtl w:val="0"/>
          <w:lang w:val="en-US"/>
        </w:rPr>
        <w:t xml:space="preserve">). Although we observed overlap in the levels of expression of metabolic gene-sets, the largest differences were observed in carbohydrate metabolism. Among the genes classified as sugar transporters, those that are PTS transporters (Fig. </w:t>
      </w:r>
      <w:r>
        <w:rPr>
          <w:rStyle w:val="None A"/>
          <w:rFonts w:ascii="Arial" w:hAnsi="Arial"/>
          <w:sz w:val="22"/>
          <w:szCs w:val="22"/>
          <w:rtl w:val="0"/>
          <w:lang w:val="en-US"/>
        </w:rPr>
        <w:t>4</w:t>
      </w:r>
      <w:r>
        <w:rPr>
          <w:rStyle w:val="None A"/>
          <w:rFonts w:ascii="Arial" w:hAnsi="Arial"/>
          <w:sz w:val="22"/>
          <w:szCs w:val="22"/>
          <w:rtl w:val="0"/>
          <w:lang w:val="en-US"/>
        </w:rPr>
        <w:t xml:space="preserve">H) were overrepresented in the clinda and strep-treated mice and ABC sugar transporters (Fig. </w:t>
      </w:r>
      <w:r>
        <w:rPr>
          <w:rStyle w:val="None A"/>
          <w:rFonts w:ascii="Arial" w:hAnsi="Arial"/>
          <w:sz w:val="22"/>
          <w:szCs w:val="22"/>
          <w:rtl w:val="0"/>
          <w:lang w:val="en-US"/>
        </w:rPr>
        <w:t>4</w:t>
      </w:r>
      <w:r>
        <w:rPr>
          <w:rStyle w:val="None A"/>
          <w:rFonts w:ascii="Arial" w:hAnsi="Arial"/>
          <w:sz w:val="22"/>
          <w:szCs w:val="22"/>
          <w:rtl w:val="0"/>
          <w:lang w:val="en-US"/>
        </w:rPr>
        <w:t xml:space="preserve">I) were overrepresented in the cef-treated mice. Further differences in carbohydrate metabolism were visible when comparing the polysaccharide catabolism expression set (Fig. </w:t>
      </w:r>
      <w:r>
        <w:rPr>
          <w:rStyle w:val="None A"/>
          <w:rFonts w:ascii="Arial" w:hAnsi="Arial"/>
          <w:sz w:val="22"/>
          <w:szCs w:val="22"/>
          <w:rtl w:val="0"/>
          <w:lang w:val="en-US"/>
        </w:rPr>
        <w:t>4</w:t>
      </w:r>
      <w:r>
        <w:rPr>
          <w:rStyle w:val="None A"/>
          <w:rFonts w:ascii="Arial" w:hAnsi="Arial"/>
          <w:sz w:val="22"/>
          <w:szCs w:val="22"/>
          <w:rtl w:val="0"/>
          <w:lang w:val="en-US"/>
        </w:rPr>
        <w:t>D) with genes associated with beta-glucoside utilization locus (</w:t>
      </w:r>
      <w:r>
        <w:rPr>
          <w:rStyle w:val="None A"/>
          <w:rFonts w:ascii="Arial" w:hAnsi="Arial"/>
          <w:i w:val="1"/>
          <w:iCs w:val="1"/>
          <w:sz w:val="22"/>
          <w:szCs w:val="22"/>
          <w:rtl w:val="0"/>
          <w:lang w:val="en-US"/>
        </w:rPr>
        <w:t>bgl</w:t>
      </w:r>
      <w:r>
        <w:rPr>
          <w:rStyle w:val="None A"/>
          <w:rFonts w:ascii="Arial" w:hAnsi="Arial"/>
          <w:sz w:val="22"/>
          <w:szCs w:val="22"/>
          <w:rtl w:val="0"/>
          <w:lang w:val="en-US"/>
        </w:rPr>
        <w:t xml:space="preserve"> operon), canonically linked with salicin or arbutin metabolism being overrepresented in the clinda-treated mice. Sugar alcohol catabolism genes were absent from clinda-treated mice and expression of genes for mannitol utilization (mtl operon) were overrepresented in cefaparezone-treated mice and expression of genes for sorbitol utilization (srl operon) were overrepresented in streptomycin-treated mice. Conversely, the expression of genes associated with amino acid catabolism were consistently expressed at relatively equal levels across the conditions (Fig. </w:t>
      </w:r>
      <w:r>
        <w:rPr>
          <w:rStyle w:val="None A"/>
          <w:rFonts w:ascii="Arial" w:hAnsi="Arial"/>
          <w:sz w:val="22"/>
          <w:szCs w:val="22"/>
          <w:rtl w:val="0"/>
          <w:lang w:val="en-US"/>
        </w:rPr>
        <w:t>4</w:t>
      </w:r>
      <w:r>
        <w:rPr>
          <w:rStyle w:val="None A"/>
          <w:rFonts w:ascii="Arial" w:hAnsi="Arial"/>
          <w:sz w:val="22"/>
          <w:szCs w:val="22"/>
          <w:rtl w:val="0"/>
          <w:lang w:val="en-US"/>
        </w:rPr>
        <w:t xml:space="preserve">F). Short chain fatty acids (SCFAs) are the product of amino acid and carbohydrate fermentation in C. difficile. Gene for XXXX were overrepresented in clinda-treated mice, while a gene for XXXX was not expressed in clinda-treated mice. Overall, these results support the hypothesis that C. difficile is able to adapt its metabolism to </w:t>
      </w:r>
      <w:r>
        <w:rPr>
          <w:rStyle w:val="None A"/>
          <w:rFonts w:ascii="Arial" w:hAnsi="Arial" w:hint="default"/>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trike w:val="1"/>
          <w:dstrike w:val="0"/>
          <w:sz w:val="22"/>
          <w:szCs w:val="22"/>
        </w:rPr>
      </w:pPr>
      <w:r>
        <w:rPr>
          <w:rStyle w:val="None A"/>
          <w:rFonts w:ascii="Arial" w:hAnsi="Arial"/>
          <w:strike w:val="1"/>
          <w:dstrike w:val="0"/>
          <w:sz w:val="22"/>
          <w:szCs w:val="22"/>
          <w:rtl w:val="0"/>
          <w:lang w:val="en-US"/>
        </w:rPr>
        <w:t>These points all trend toward the center of the plotting area and show no apparent differences between any treatment group. This gene category includes those enzymes involved in Stickland fermentation (</w:t>
      </w:r>
      <w:r>
        <w:rPr>
          <w:rStyle w:val="None A"/>
          <w:rFonts w:ascii="Arial" w:hAnsi="Arial"/>
          <w:i w:val="1"/>
          <w:iCs w:val="1"/>
          <w:strike w:val="1"/>
          <w:dstrike w:val="0"/>
          <w:sz w:val="22"/>
          <w:szCs w:val="22"/>
          <w:rtl w:val="0"/>
          <w:lang w:val="en-US"/>
        </w:rPr>
        <w:t>arg</w:t>
      </w:r>
      <w:r>
        <w:rPr>
          <w:rStyle w:val="None A"/>
          <w:rFonts w:ascii="Arial" w:hAnsi="Arial"/>
          <w:strike w:val="1"/>
          <w:dstrike w:val="0"/>
          <w:sz w:val="22"/>
          <w:szCs w:val="22"/>
          <w:rtl w:val="0"/>
          <w:lang w:val="en-US"/>
        </w:rPr>
        <w:t xml:space="preserve">, </w:t>
      </w:r>
      <w:r>
        <w:rPr>
          <w:rStyle w:val="None A"/>
          <w:rFonts w:ascii="Arial" w:hAnsi="Arial"/>
          <w:i w:val="1"/>
          <w:iCs w:val="1"/>
          <w:strike w:val="1"/>
          <w:dstrike w:val="0"/>
          <w:sz w:val="22"/>
          <w:szCs w:val="22"/>
          <w:rtl w:val="0"/>
          <w:lang w:val="en-US"/>
        </w:rPr>
        <w:t>fdh</w:t>
      </w:r>
      <w:r>
        <w:rPr>
          <w:rStyle w:val="None A"/>
          <w:rFonts w:ascii="Arial" w:hAnsi="Arial"/>
          <w:strike w:val="1"/>
          <w:dstrike w:val="0"/>
          <w:sz w:val="22"/>
          <w:szCs w:val="22"/>
          <w:rtl w:val="0"/>
          <w:lang w:val="en-US"/>
        </w:rPr>
        <w:t xml:space="preserve">, </w:t>
      </w:r>
      <w:r>
        <w:rPr>
          <w:rStyle w:val="None A"/>
          <w:rFonts w:ascii="Arial" w:hAnsi="Arial"/>
          <w:i w:val="1"/>
          <w:iCs w:val="1"/>
          <w:strike w:val="1"/>
          <w:dstrike w:val="0"/>
          <w:sz w:val="22"/>
          <w:szCs w:val="22"/>
          <w:rtl w:val="0"/>
          <w:lang w:val="en-US"/>
        </w:rPr>
        <w:t>grd</w:t>
      </w:r>
      <w:r>
        <w:rPr>
          <w:rStyle w:val="None A"/>
          <w:rFonts w:ascii="Arial" w:hAnsi="Arial"/>
          <w:strike w:val="1"/>
          <w:dstrike w:val="0"/>
          <w:sz w:val="22"/>
          <w:szCs w:val="22"/>
          <w:rtl w:val="0"/>
          <w:lang w:val="en-US"/>
        </w:rPr>
        <w:t xml:space="preserve">, </w:t>
      </w:r>
      <w:r>
        <w:rPr>
          <w:rStyle w:val="None A"/>
          <w:rFonts w:ascii="Arial" w:hAnsi="Arial"/>
          <w:i w:val="1"/>
          <w:iCs w:val="1"/>
          <w:strike w:val="1"/>
          <w:dstrike w:val="0"/>
          <w:sz w:val="22"/>
          <w:szCs w:val="22"/>
          <w:rtl w:val="0"/>
          <w:lang w:val="en-US"/>
        </w:rPr>
        <w:t>had</w:t>
      </w:r>
      <w:r>
        <w:rPr>
          <w:rStyle w:val="None A"/>
          <w:rFonts w:ascii="Arial" w:hAnsi="Arial"/>
          <w:strike w:val="1"/>
          <w:dstrike w:val="0"/>
          <w:sz w:val="22"/>
          <w:szCs w:val="22"/>
          <w:rtl w:val="0"/>
          <w:lang w:val="en-US"/>
        </w:rPr>
        <w:t>,</w:t>
      </w:r>
      <w:r>
        <w:rPr>
          <w:rStyle w:val="None A"/>
          <w:rFonts w:ascii="Arial" w:hAnsi="Arial"/>
          <w:i w:val="1"/>
          <w:iCs w:val="1"/>
          <w:strike w:val="1"/>
          <w:dstrike w:val="0"/>
          <w:sz w:val="22"/>
          <w:szCs w:val="22"/>
          <w:rtl w:val="0"/>
          <w:lang w:val="en-US"/>
        </w:rPr>
        <w:t xml:space="preserve"> </w:t>
      </w:r>
      <w:r>
        <w:rPr>
          <w:rStyle w:val="None A"/>
          <w:rFonts w:ascii="Arial" w:hAnsi="Arial"/>
          <w:strike w:val="1"/>
          <w:dstrike w:val="0"/>
          <w:sz w:val="22"/>
          <w:szCs w:val="22"/>
          <w:rtl w:val="0"/>
          <w:lang w:val="en-US"/>
        </w:rPr>
        <w:t xml:space="preserve">and </w:t>
      </w:r>
      <w:r>
        <w:rPr>
          <w:rStyle w:val="None A"/>
          <w:rFonts w:ascii="Arial" w:hAnsi="Arial"/>
          <w:i w:val="1"/>
          <w:iCs w:val="1"/>
          <w:strike w:val="1"/>
          <w:dstrike w:val="0"/>
          <w:sz w:val="22"/>
          <w:szCs w:val="22"/>
          <w:rtl w:val="0"/>
          <w:lang w:val="en-US"/>
        </w:rPr>
        <w:t xml:space="preserve">prd </w:t>
      </w:r>
      <w:r>
        <w:rPr>
          <w:rStyle w:val="None A"/>
          <w:rFonts w:ascii="Arial" w:hAnsi="Arial"/>
          <w:strike w:val="1"/>
          <w:dstrike w:val="0"/>
          <w:sz w:val="22"/>
          <w:szCs w:val="22"/>
          <w:rtl w:val="0"/>
          <w:lang w:val="en-US"/>
        </w:rPr>
        <w:t>operons) as well as several general peptidases (</w:t>
      </w:r>
      <w:r>
        <w:rPr>
          <w:rStyle w:val="None A"/>
          <w:rFonts w:ascii="Arial" w:hAnsi="Arial"/>
          <w:i w:val="1"/>
          <w:iCs w:val="1"/>
          <w:strike w:val="1"/>
          <w:dstrike w:val="0"/>
          <w:sz w:val="22"/>
          <w:szCs w:val="22"/>
          <w:rtl w:val="0"/>
          <w:lang w:val="en-US"/>
        </w:rPr>
        <w:t>pep</w:t>
      </w:r>
      <w:r>
        <w:rPr>
          <w:rStyle w:val="None A"/>
          <w:rFonts w:ascii="Arial" w:hAnsi="Arial"/>
          <w:strike w:val="1"/>
          <w:dstrike w:val="0"/>
          <w:sz w:val="22"/>
          <w:szCs w:val="22"/>
          <w:rtl w:val="0"/>
          <w:lang w:val="en-US"/>
        </w:rPr>
        <w:t xml:space="preserve"> family). The known Stickland fermentation pathway in </w:t>
      </w:r>
      <w:r>
        <w:rPr>
          <w:rStyle w:val="None A"/>
          <w:rFonts w:ascii="Arial" w:hAnsi="Arial"/>
          <w:i w:val="1"/>
          <w:iCs w:val="1"/>
          <w:strike w:val="1"/>
          <w:dstrike w:val="0"/>
          <w:sz w:val="22"/>
          <w:szCs w:val="22"/>
          <w:rtl w:val="0"/>
          <w:lang w:val="en-US"/>
        </w:rPr>
        <w:t>C. difficile</w:t>
      </w:r>
      <w:r>
        <w:rPr>
          <w:rStyle w:val="None A"/>
          <w:rFonts w:ascii="Arial" w:hAnsi="Arial"/>
          <w:strike w:val="1"/>
          <w:dstrike w:val="0"/>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trike w:val="1"/>
          <w:dstrike w:val="0"/>
          <w:sz w:val="22"/>
          <w:szCs w:val="22"/>
          <w:rtl w:val="0"/>
          <w:lang w:val="en-US"/>
        </w:rPr>
        <w:t>grd</w:t>
      </w:r>
      <w:r>
        <w:rPr>
          <w:rStyle w:val="None A"/>
          <w:rFonts w:ascii="Arial" w:hAnsi="Arial"/>
          <w:strike w:val="1"/>
          <w:dstrike w:val="0"/>
          <w:sz w:val="22"/>
          <w:szCs w:val="22"/>
          <w:rtl w:val="0"/>
          <w:lang w:val="en-US"/>
        </w:rPr>
        <w:t xml:space="preserve"> and </w:t>
      </w:r>
      <w:r>
        <w:rPr>
          <w:rStyle w:val="None A"/>
          <w:rFonts w:ascii="Arial" w:hAnsi="Arial"/>
          <w:i w:val="1"/>
          <w:iCs w:val="1"/>
          <w:strike w:val="1"/>
          <w:dstrike w:val="0"/>
          <w:sz w:val="22"/>
          <w:szCs w:val="22"/>
          <w:rtl w:val="0"/>
          <w:lang w:val="en-US"/>
        </w:rPr>
        <w:t>prd</w:t>
      </w:r>
      <w:r>
        <w:rPr>
          <w:rStyle w:val="None A"/>
          <w:rFonts w:ascii="Arial" w:hAnsi="Arial"/>
          <w:strike w:val="1"/>
          <w:dstrike w:val="0"/>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Style w:val="None A"/>
          <w:rFonts w:ascii="Arial" w:hAnsi="Arial"/>
          <w:i w:val="1"/>
          <w:iCs w:val="1"/>
          <w:strike w:val="1"/>
          <w:dstrike w:val="0"/>
          <w:sz w:val="22"/>
          <w:szCs w:val="22"/>
          <w:rtl w:val="0"/>
          <w:lang w:val="en-US"/>
        </w:rPr>
        <w:t>C. difficile</w:t>
      </w:r>
      <w:r>
        <w:rPr>
          <w:rStyle w:val="None A"/>
          <w:rFonts w:ascii="Arial" w:hAnsi="Arial"/>
          <w:strike w:val="1"/>
          <w:dstrike w:val="0"/>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trike w:val="1"/>
          <w:dstrike w:val="0"/>
          <w:sz w:val="22"/>
          <w:szCs w:val="22"/>
        </w:rPr>
      </w:pPr>
      <w:r>
        <w:rPr>
          <w:rStyle w:val="None A"/>
          <w:rFonts w:ascii="Arial" w:hAnsi="Arial"/>
          <w:strike w:val="1"/>
          <w:dstrike w:val="0"/>
          <w:sz w:val="22"/>
          <w:szCs w:val="22"/>
          <w:rtl w:val="0"/>
          <w:lang w:val="en-US"/>
        </w:rPr>
        <w:t xml:space="preserve">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bipartite graph, where enzyme nodes only connect to substrate nodes and vice versa (Fig. </w:t>
      </w:r>
      <w:r>
        <w:rPr>
          <w:rStyle w:val="None A"/>
          <w:rFonts w:ascii="Arial" w:hAnsi="Arial"/>
          <w:sz w:val="22"/>
          <w:szCs w:val="22"/>
          <w:rtl w:val="0"/>
          <w:lang w:val="en-US"/>
        </w:rPr>
        <w:t>5</w:t>
      </w:r>
      <w:r>
        <w:rPr>
          <w:rStyle w:val="None A"/>
          <w:rFonts w:ascii="Arial" w:hAnsi="Arial"/>
          <w:sz w:val="22"/>
          <w:szCs w:val="22"/>
          <w:rtl w:val="0"/>
          <w:lang w:val="en-US"/>
        </w:rPr>
        <w:t xml:space="preserve">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Betweenness-centrality for all enzyme and substrate nodes in the bipartite metabolic graph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central pathways including glycolysis, the citric acid cycle, and amino acid biosynthesis which are all critical to life for most free-living bacteria. </w:t>
      </w:r>
    </w:p>
    <w:p>
      <w:pPr>
        <w:pStyle w:val="Default"/>
        <w:shd w:val="clear" w:color="auto" w:fill="ffffff"/>
        <w:spacing w:line="480" w:lineRule="auto"/>
        <w:jc w:val="both"/>
      </w:pPr>
      <w:r>
        <w:rPr>
          <w:rStyle w:val="None A"/>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w:t>
      </w:r>
      <w:r>
        <w:rPr>
          <w:rStyle w:val="None A"/>
          <w:rFonts w:ascii="Arial" w:hAnsi="Arial"/>
          <w:sz w:val="22"/>
          <w:szCs w:val="22"/>
          <w:rtl w:val="0"/>
          <w:lang w:val="en-US"/>
        </w:rPr>
        <w:t>5</w:t>
      </w:r>
      <w:r>
        <w:rPr>
          <w:rStyle w:val="None A"/>
          <w:rFonts w:ascii="Arial" w:hAnsi="Arial"/>
          <w:sz w:val="22"/>
          <w:szCs w:val="22"/>
          <w:rtl w:val="0"/>
          <w:lang w:val="en-US"/>
        </w:rPr>
        <w:t xml:space="preserve">A),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A"/>
          <w:rFonts w:ascii="Arial" w:hAnsi="Arial"/>
          <w:sz w:val="22"/>
          <w:szCs w:val="22"/>
          <w:rtl w:val="0"/>
          <w:lang w:val="en-US"/>
        </w:rPr>
        <w:t xml:space="preserve">. Applying this method, we extracted the relative importance values of the 758 unique compounds in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after 18 hours of infection in each treatment group. We included the transcriptome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phosphonoacetate,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and demonstrated that our importance-defining algorithm was robust could detect biologically relevant patterns of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hd w:val="clear" w:color="auto" w:fill="ffffff"/>
        <w:spacing w:line="480" w:lineRule="auto"/>
        <w:jc w:val="both"/>
      </w:pPr>
      <w:r>
        <w:rPr>
          <w:rStyle w:val="None A"/>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between environments. Results from this comparison left only a few substrates in each group (Fig. </w:t>
      </w:r>
      <w:r>
        <w:rPr>
          <w:rStyle w:val="None A"/>
          <w:rFonts w:ascii="Arial" w:hAnsi="Arial"/>
          <w:sz w:val="22"/>
          <w:szCs w:val="22"/>
          <w:rtl w:val="0"/>
          <w:lang w:val="en-US"/>
        </w:rPr>
        <w:t>5</w:t>
      </w:r>
      <w:r>
        <w:rPr>
          <w:rStyle w:val="None A"/>
          <w:rFonts w:ascii="Arial" w:hAnsi="Arial"/>
          <w:sz w:val="22"/>
          <w:szCs w:val="22"/>
          <w:rtl w:val="0"/>
          <w:lang w:val="en-US"/>
        </w:rPr>
        <w:t xml:space="preserve">B). All substrates identified this way scored the comparator mean generated through Monte Carlo simulation (black vertical lines). Each group of substrates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including D-fructose, mannitol, N-acetylneuraminic acid, salicin, and D-sorbitol (Ng, 2013; Theriot, 2014). These 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in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w:t>
      </w:r>
      <w:r>
        <w:rPr>
          <w:rStyle w:val="None A"/>
          <w:rFonts w:ascii="Arial" w:hAnsi="Arial"/>
          <w:sz w:val="22"/>
          <w:szCs w:val="22"/>
          <w:rtl w:val="0"/>
          <w:lang w:val="en-US"/>
        </w:rPr>
        <w:t>3</w:t>
      </w:r>
      <w:r>
        <w:rPr>
          <w:rStyle w:val="None A"/>
          <w:rFonts w:ascii="Arial" w:hAnsi="Arial"/>
          <w:sz w:val="22"/>
          <w:szCs w:val="22"/>
          <w:rtl w:val="0"/>
          <w:lang w:val="en-US"/>
        </w:rPr>
        <w:t xml:space="preserve">) implicated by high importance scores.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(AA) for growth through Stickland fermentation, but is auxotrophic for several, the best comparator are -glucose +AA control wells. This informed whether the presence of the selected carbohydrate effects has positive or negative effects on the growth 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however this analysis does not preclude the possibility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simply grows equally as well as it does using strictly AA for carbon.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At least one carbohydrate highlighted as important in each of the antibiotic treatments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(Fig. </w:t>
      </w:r>
      <w:r>
        <w:rPr>
          <w:rStyle w:val="None A"/>
          <w:rFonts w:ascii="Arial" w:hAnsi="Arial"/>
          <w:sz w:val="22"/>
          <w:szCs w:val="22"/>
          <w:rtl w:val="0"/>
          <w:lang w:val="en-US"/>
        </w:rPr>
        <w:t>5</w:t>
      </w:r>
      <w:r>
        <w:rPr>
          <w:rStyle w:val="None A"/>
          <w:rFonts w:ascii="Arial" w:hAnsi="Arial"/>
          <w:sz w:val="22"/>
          <w:szCs w:val="22"/>
          <w:rtl w:val="0"/>
          <w:lang w:val="en-US"/>
        </w:rPr>
        <w:t>C). This included D-fructose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and salicin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0.888). Each resulted in significantly more growth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than AA-only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than AA-only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These results indicate potential efficiency or preferences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the each carbohydrate source tested.</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0.089). Mannitol was second at 7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0.044), and salicin was third at 13.5 hours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0.076). Interestingly, the salicin growth curve was still near its maximum growth rate at the 12 hour time point, while the D-fructose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0.006) and mannitol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0.888) than BHI rich media control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some curves is most likely due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ceasing division and switching to primarily sporulation, which has been associated with other bacterial species (Van Beilen, 2013).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A"/>
          <w:rFonts w:ascii="Arial" w:hAnsi="Arial"/>
          <w:i w:val="1"/>
          <w:iCs w:val="1"/>
          <w:sz w:val="22"/>
          <w:szCs w:val="22"/>
          <w:rtl w:val="0"/>
          <w:lang w:val="en-US"/>
        </w:rPr>
        <w:t>m</w:t>
      </w:r>
      <w:r>
        <w:rPr>
          <w:rStyle w:val="None A"/>
          <w:rFonts w:ascii="Arial" w:hAnsi="Arial"/>
          <w:sz w:val="22"/>
          <w:szCs w:val="22"/>
          <w:rtl w:val="0"/>
          <w:lang w:val="en-US"/>
        </w:rPr>
        <w:t xml:space="preserve"> = 0.095 at 6.5 hours) is the highest reached by any media tested, yet the maximum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 &lt;&lt; 0.001) than D-sorbitol alone. This could suggest a combinatorial effect of D-fructose and D-sorbitol together on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w:t>
      </w:r>
      <w:r>
        <w:rPr>
          <w:rStyle w:val="None A"/>
          <w:rFonts w:ascii="Arial" w:hAnsi="Arial"/>
          <w:sz w:val="22"/>
          <w:szCs w:val="22"/>
          <w:rtl w:val="0"/>
          <w:lang w:val="en-US"/>
        </w:rPr>
        <w:t xml:space="preserve">studies of intestinal </w:t>
      </w:r>
      <w:r>
        <w:rPr>
          <w:rStyle w:val="None A"/>
          <w:rFonts w:ascii="Arial" w:hAnsi="Arial"/>
          <w:sz w:val="22"/>
          <w:szCs w:val="22"/>
          <w:rtl w:val="0"/>
          <w:lang w:val="en-US"/>
        </w:rPr>
        <w:t xml:space="preserve">content obtained from mice </w:t>
      </w:r>
      <w:r>
        <w:rPr>
          <w:rStyle w:val="None A"/>
          <w:rFonts w:ascii="Arial" w:hAnsi="Arial"/>
          <w:sz w:val="22"/>
          <w:szCs w:val="22"/>
          <w:rtl w:val="0"/>
          <w:lang w:val="en-US"/>
        </w:rPr>
        <w:t>have</w:t>
      </w:r>
      <w:r>
        <w:rPr>
          <w:rStyle w:val="None A"/>
          <w:rFonts w:ascii="Arial" w:hAnsi="Arial"/>
          <w:sz w:val="22"/>
          <w:szCs w:val="22"/>
          <w:rtl w:val="0"/>
          <w:lang w:val="en-US"/>
        </w:rPr>
        <w:t xml:space="preserve"> been </w:t>
      </w:r>
      <w:r>
        <w:rPr>
          <w:rStyle w:val="None A"/>
          <w:rFonts w:ascii="Arial" w:hAnsi="Arial"/>
          <w:sz w:val="22"/>
          <w:szCs w:val="22"/>
          <w:rtl w:val="0"/>
          <w:lang w:val="en-US"/>
        </w:rPr>
        <w:t xml:space="preserve">done using </w:t>
      </w:r>
      <w:r>
        <w:rPr>
          <w:rStyle w:val="None A"/>
          <w:rFonts w:ascii="Arial" w:hAnsi="Arial"/>
          <w:sz w:val="22"/>
          <w:szCs w:val="22"/>
          <w:rtl w:val="0"/>
          <w:lang w:val="en-US"/>
        </w:rPr>
        <w:t xml:space="preserve">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w:t>
      </w:r>
      <w:r>
        <w:rPr>
          <w:rStyle w:val="None A"/>
          <w:rFonts w:ascii="Arial" w:hAnsi="Arial"/>
          <w:sz w:val="22"/>
          <w:szCs w:val="22"/>
          <w:rtl w:val="0"/>
          <w:lang w:val="en-US"/>
        </w:rPr>
        <w:t>Together</w:t>
      </w:r>
      <w:r>
        <w:rPr>
          <w:rStyle w:val="None A"/>
          <w:rFonts w:ascii="Arial" w:hAnsi="Arial"/>
          <w:sz w:val="22"/>
          <w:szCs w:val="22"/>
          <w:rtl w:val="0"/>
          <w:lang w:val="en-US"/>
        </w:rPr>
        <w:t xml:space="preserve">,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w:t>
      </w:r>
      <w:r>
        <w:rPr>
          <w:rStyle w:val="None A"/>
          <w:rFonts w:ascii="Arial" w:hAnsi="Arial"/>
          <w:sz w:val="22"/>
          <w:szCs w:val="22"/>
          <w:rtl w:val="0"/>
          <w:lang w:val="en-US"/>
        </w:rPr>
        <w:t xml:space="preserve"> metabolize when colonizing different environments</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 Conventionally-raised mice were fed LabDiet 5001, and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l of pooled cecal content within each treatment group were anaerobically centrifuged at 1,000 rpm for 5 minutes.  Sterile filter papers disks were then soaked with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pPr>
        <w:pStyle w:val="Default"/>
        <w:shd w:val="clear" w:color="auto" w:fill="ffffff"/>
        <w:spacing w:line="480" w:lineRule="auto"/>
      </w:pP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ffff00"/>
          <w:rtl w:val="0"/>
          <w:lang w:val="en-US"/>
        </w:rPr>
        <w:t xml:space="preserve">In order to generate enough mRNA biomass contributed by </w:t>
      </w:r>
      <w:r>
        <w:rPr>
          <w:rStyle w:val="None A"/>
          <w:rFonts w:ascii="Arial" w:hAnsi="Arial"/>
          <w:i w:val="1"/>
          <w:iCs w:val="1"/>
          <w:sz w:val="22"/>
          <w:szCs w:val="22"/>
          <w:shd w:val="clear" w:color="auto" w:fill="ffff00"/>
          <w:rtl w:val="0"/>
          <w:lang w:val="en-US"/>
        </w:rPr>
        <w:t>C. difficile</w:t>
      </w:r>
      <w:r>
        <w:rPr>
          <w:rStyle w:val="None A"/>
          <w:rFonts w:ascii="Arial" w:hAnsi="Arial"/>
          <w:sz w:val="22"/>
          <w:szCs w:val="22"/>
          <w:shd w:val="clear" w:color="auto" w:fill="ffff00"/>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w:t>
      </w:r>
      <w:r>
        <w:rPr>
          <w:rStyle w:val="None A"/>
          <w:rFonts w:ascii="Arial" w:hAnsi="Arial"/>
          <w:sz w:val="22"/>
          <w:szCs w:val="22"/>
          <w:rtl w:val="0"/>
          <w:lang w:val="en-US"/>
        </w:rPr>
        <w:t xml:space="preserve">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and library preparation. </w:t>
      </w:r>
      <w:r>
        <w:rPr>
          <w:rStyle w:val="None A"/>
          <w:rFonts w:ascii="Arial" w:hAnsi="Arial"/>
          <w:sz w:val="22"/>
          <w:szCs w:val="22"/>
          <w:rtl w:val="0"/>
          <w:lang w:val="en-US"/>
        </w:rPr>
        <w:t>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15 minutes.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l of RNase-free water.</w:t>
      </w:r>
    </w:p>
    <w:p>
      <w:pPr>
        <w:pStyle w:val="Default"/>
        <w:shd w:val="clear" w:color="auto" w:fill="ffffff"/>
        <w:spacing w:line="480" w:lineRule="auto"/>
        <w:jc w:val="both"/>
      </w:pPr>
      <w:r>
        <w:rPr>
          <w:rStyle w:val="None A"/>
          <w:rFonts w:ascii="Arial" w:cs="Arial" w:hAnsi="Arial" w:eastAsia="Arial"/>
          <w:sz w:val="22"/>
          <w:szCs w:val="22"/>
          <w:rtl w:val="0"/>
        </w:rPr>
        <w:tab/>
        <w:t xml:space="preserve">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w:t>
      </w:r>
    </w:p>
    <w:p>
      <w:pPr>
        <w:pStyle w:val="Default"/>
        <w:shd w:val="clear" w:color="auto" w:fill="ffffff"/>
        <w:spacing w:line="480" w:lineRule="auto"/>
        <w:jc w:val="both"/>
      </w:pPr>
      <w:r>
        <w:rPr>
          <w:rStyle w:val="Hyperlink.0"/>
        </w:rPr>
        <w:fldChar w:fldCharType="begin" w:fldLock="0"/>
      </w:r>
      <w:r>
        <w:rPr>
          <w:rStyle w:val="Hyperlink.0"/>
        </w:rPr>
        <w:instrText xml:space="preserve"> HYPERLINK "https://github.com/SchlossLab/Jenior_Transcriptomics_2015/blob/master/doc/wetlab_protocol.txt"</w:instrText>
      </w:r>
      <w:r>
        <w:rPr>
          <w:rStyle w:val="Hyperlink.0"/>
        </w:rPr>
        <w:fldChar w:fldCharType="separate" w:fldLock="0"/>
      </w:r>
      <w:r>
        <w:rPr>
          <w:rStyle w:val="Hyperlink.0"/>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ffff00"/>
          <w:rtl w:val="0"/>
          <w:lang w:val="en-US"/>
        </w:rPr>
        <w:t>Fully curated reads were the mapped to C</w:t>
      </w:r>
      <w:r>
        <w:rPr>
          <w:rStyle w:val="None A"/>
          <w:rFonts w:ascii="Arial" w:hAnsi="Arial"/>
          <w:i w:val="1"/>
          <w:iCs w:val="1"/>
          <w:sz w:val="22"/>
          <w:szCs w:val="22"/>
          <w:shd w:val="clear" w:color="auto" w:fill="ffff00"/>
          <w:rtl w:val="0"/>
          <w:lang w:val="en-US"/>
        </w:rPr>
        <w:t>lostridium difficile</w:t>
      </w:r>
      <w:r>
        <w:rPr>
          <w:rStyle w:val="None A"/>
          <w:rFonts w:ascii="Arial" w:hAnsi="Arial"/>
          <w:sz w:val="22"/>
          <w:szCs w:val="22"/>
          <w:shd w:val="clear" w:color="auto" w:fill="ffff00"/>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(Fig. 2).</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0"/>
        </w:rPr>
        <w:fldChar w:fldCharType="begin" w:fldLock="0"/>
      </w:r>
      <w:r>
        <w:rPr>
          <w:rStyle w:val="Hyperlink.0"/>
        </w:rPr>
        <w:instrText xml:space="preserve"> HYPERLINK "http://broadinstitute.github.io/picard/"</w:instrText>
      </w:r>
      <w:r>
        <w:rPr>
          <w:rStyle w:val="Hyperlink.0"/>
        </w:rPr>
        <w:fldChar w:fldCharType="separate" w:fldLock="0"/>
      </w:r>
      <w:r>
        <w:rPr>
          <w:rStyle w:val="Hyperlink.0"/>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1 | Experimental timelines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18 hours after infection.</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Experimental timelines for the antibiotic treatments used to sensitize animals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and infection (n = 9 per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Toxin titer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assessed through differential plating (plated without germinant) and </w:t>
      </w:r>
      <w:r>
        <w:rPr>
          <w:rStyle w:val="None A"/>
          <w:rFonts w:ascii="Arial" w:hAnsi="Arial"/>
          <w:b w:val="1"/>
          <w:bCs w:val="1"/>
          <w:sz w:val="22"/>
          <w:szCs w:val="22"/>
          <w:rtl w:val="0"/>
          <w:lang w:val="en-US"/>
        </w:rPr>
        <w:t xml:space="preser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measured with an alternative plating strategy (heating to 65</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2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subsampled gene abundances, shown with 95% confidence interval.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sigma factors which their expression has been linked to environment cues.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Majority of known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Many key genes for sporulation display differential expression between treatment groups.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Transcript recruitment to pathogenicity loci, including both the standard PaLoc genes as well as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but not the genes for binary toxin as they are absent in str. 630.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Genes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3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A)</w:t>
      </w:r>
      <w:r>
        <w:rPr>
          <w:rStyle w:val="None A"/>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through </w:t>
      </w:r>
      <w:r>
        <w:rPr>
          <w:rStyle w:val="None A"/>
          <w:rFonts w:ascii="Arial" w:hAnsi="Arial"/>
          <w:b w:val="1"/>
          <w:bCs w:val="1"/>
          <w:sz w:val="22"/>
          <w:szCs w:val="22"/>
          <w:rtl w:val="0"/>
          <w:lang w:val="en-US"/>
        </w:rPr>
        <w:t>I)</w:t>
      </w:r>
      <w:r>
        <w:rPr>
          <w:rStyle w:val="None A"/>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A"/>
          <w:rFonts w:ascii="Arial" w:hAnsi="Arial"/>
          <w:b w:val="1"/>
          <w:bCs w:val="1"/>
          <w:sz w:val="22"/>
          <w:szCs w:val="22"/>
          <w:rtl w:val="0"/>
          <w:lang w:val="en-US"/>
        </w:rPr>
        <w:t xml:space="preserve"> B) </w:t>
      </w:r>
      <w:r>
        <w:rPr>
          <w:rStyle w:val="None A"/>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A"/>
          <w:rFonts w:ascii="Arial" w:hAnsi="Arial"/>
          <w:b w:val="1"/>
          <w:bCs w:val="1"/>
          <w:sz w:val="22"/>
          <w:szCs w:val="22"/>
          <w:rtl w:val="0"/>
          <w:lang w:val="en-US"/>
        </w:rPr>
        <w:t xml:space="preserve">C)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 wells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5 |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concentrations from targeted LC-MS analysis of predicted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nutrient sources from metabolic models. A)</w:t>
      </w:r>
      <w:r>
        <w:rPr>
          <w:rStyle w:val="None A"/>
          <w:rFonts w:ascii="Arial" w:hAnsi="Arial"/>
          <w:sz w:val="22"/>
          <w:szCs w:val="22"/>
          <w:rtl w:val="0"/>
          <w:lang w:val="en-US"/>
        </w:rPr>
        <w:t xml:space="preserve"> Heatmap, group by treatment group on x-axis and hierarchical clustering on y-axis. Comparing No Antibiotics to each treatment group.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Bar charts of the actual concentrations for the substrates identified through metabolic modeling, shown in Figure 4.</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exome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6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Purdy, D., Williams, P., &amp; Minton, N. P. (2005). Quorum sensing in Clostridium difficile: Analysis of a luxS-type signalling system. In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(Vol. 54, pp. 119</w:t>
      </w:r>
      <w:r>
        <w:rPr>
          <w:rStyle w:val="None A"/>
          <w:rFonts w:ascii="Arial" w:hAnsi="Arial" w:hint="default"/>
          <w:sz w:val="18"/>
          <w:szCs w:val="18"/>
          <w:rtl w:val="0"/>
          <w:lang w:val="en-US"/>
        </w:rPr>
        <w:t>–</w:t>
      </w:r>
      <w:r>
        <w:rPr>
          <w:rStyle w:val="None A"/>
          <w:rFonts w:ascii="Arial" w:hAnsi="Arial"/>
          <w:sz w:val="18"/>
          <w:szCs w:val="18"/>
          <w:rtl w:val="0"/>
          <w:lang w:val="en-US"/>
        </w:rPr>
        <w:t>127). http://doi.org/10.1099/jmm.0.45817-0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"http://doi.org/10.1128/JB.00098-15"</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"http://doi.org/10.1111/j.1432-1033.1997.t01-1-00735.x"</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3"/>
        </w:rPr>
        <w:fldChar w:fldCharType="begin" w:fldLock="0"/>
      </w:r>
      <w:r>
        <w:rPr>
          <w:rStyle w:val="Hyperlink.3"/>
        </w:rPr>
        <w:instrText xml:space="preserve"> HYPERLINK "http://doi.org/10.1128/IAI.00515-13"</w:instrText>
      </w:r>
      <w:r>
        <w:rPr>
          <w:rStyle w:val="Hyperlink.3"/>
        </w:rPr>
        <w:fldChar w:fldCharType="separate" w:fldLock="0"/>
      </w:r>
      <w:r>
        <w:rPr>
          <w:rStyle w:val="Hyperlink.3"/>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color="323232"/>
        </w:rPr>
      </w:pPr>
      <w:r>
        <w:rPr>
          <w:rStyle w:val="None A"/>
          <w:rFonts w:ascii="Arial" w:hAnsi="Arial"/>
          <w:color w:val="323232"/>
          <w:sz w:val="18"/>
          <w:szCs w:val="18"/>
          <w:u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color="323232"/>
          <w:rtl w:val="0"/>
          <w:lang w:val="de-DE"/>
        </w:rPr>
        <w:t>PLoS ONE</w:t>
      </w:r>
      <w:r>
        <w:rPr>
          <w:rStyle w:val="None A"/>
          <w:rFonts w:ascii="Arial" w:hAnsi="Arial"/>
          <w:color w:val="323232"/>
          <w:sz w:val="18"/>
          <w:szCs w:val="18"/>
          <w:u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4"/>
        </w:rPr>
        <w:fldChar w:fldCharType="begin" w:fldLock="0"/>
      </w:r>
      <w:r>
        <w:rPr>
          <w:rStyle w:val="Hyperlink.4"/>
        </w:rPr>
        <w:instrText xml:space="preserve"> HYPERLINK "http://doi.org/10.1056/NEJMoa1408913"</w:instrText>
      </w:r>
      <w:r>
        <w:rPr>
          <w:rStyle w:val="Hyperlink.4"/>
        </w:rPr>
        <w:fldChar w:fldCharType="separate" w:fldLock="0"/>
      </w:r>
      <w:r>
        <w:rPr>
          <w:rStyle w:val="Hyperlink.4"/>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Songer, J. G., &amp; Anderson, M. A. (2006). Clostridium difficile: An important pathogen of food animals. </w:t>
      </w:r>
      <w:r>
        <w:rPr>
          <w:rStyle w:val="None A"/>
          <w:rFonts w:ascii="Arial" w:hAnsi="Arial"/>
          <w:i w:val="1"/>
          <w:iCs w:val="1"/>
          <w:sz w:val="18"/>
          <w:szCs w:val="18"/>
          <w:rtl w:val="0"/>
          <w:lang w:val="en-US"/>
        </w:rPr>
        <w:t>Anaerobe</w:t>
      </w:r>
      <w:r>
        <w:rPr>
          <w:rStyle w:val="None A"/>
          <w:rFonts w:ascii="Arial" w:hAnsi="Arial"/>
          <w:sz w:val="18"/>
          <w:szCs w:val="18"/>
          <w:rtl w:val="0"/>
          <w:lang w:val="en-US"/>
        </w:rPr>
        <w:t>. http://doi.org/10.1016/j.anaerobe.2005.09.001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5"/>
        </w:rPr>
        <w:fldChar w:fldCharType="begin" w:fldLock="0"/>
      </w:r>
      <w:r>
        <w:rPr>
          <w:rStyle w:val="Hyperlink.5"/>
        </w:rPr>
        <w:instrText xml:space="preserve"> HYPERLINK "http://doi.org/10.1007/s10096-015-2479-6"</w:instrText>
      </w:r>
      <w:r>
        <w:rPr>
          <w:rStyle w:val="Hyperlink.5"/>
        </w:rPr>
        <w:fldChar w:fldCharType="separate" w:fldLock="0"/>
      </w:r>
      <w:r>
        <w:rPr>
          <w:rStyle w:val="Hyperlink.5"/>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olor w:val="000080"/>
      <w:sz w:val="22"/>
      <w:szCs w:val="22"/>
      <w:u w:val="single" w:color="000080"/>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None A"/>
    <w:next w:val="Hyperlink.2"/>
    <w:rPr>
      <w:rFonts w:ascii="Arial" w:cs="Arial" w:hAnsi="Arial" w:eastAsia="Arial"/>
      <w:color w:val="0000ff"/>
      <w:sz w:val="18"/>
      <w:szCs w:val="18"/>
      <w:u w:val="single" w:color="0000ff"/>
      <w:lang w:val="en-US"/>
    </w:rPr>
  </w:style>
  <w:style w:type="character" w:styleId="Hyperlink.3">
    <w:name w:val="Hyperlink.3"/>
    <w:basedOn w:val="None A"/>
    <w:next w:val="Hyperlink.3"/>
    <w:rPr>
      <w:rFonts w:ascii="Arial" w:cs="Arial" w:hAnsi="Arial" w:eastAsia="Arial"/>
      <w:color w:val="0000ff"/>
      <w:sz w:val="18"/>
      <w:szCs w:val="18"/>
      <w:u w:val="single" w:color="0000ff"/>
    </w:rPr>
  </w:style>
  <w:style w:type="character" w:styleId="Hyperlink.4">
    <w:name w:val="Hyperlink.4"/>
    <w:basedOn w:val="None A"/>
    <w:next w:val="Hyperlink.4"/>
    <w:rPr>
      <w:rFonts w:ascii="Arial" w:cs="Arial" w:hAnsi="Arial" w:eastAsia="Arial"/>
      <w:color w:val="000080"/>
      <w:sz w:val="18"/>
      <w:szCs w:val="18"/>
      <w:u w:val="single" w:color="000080"/>
    </w:rPr>
  </w:style>
  <w:style w:type="character" w:styleId="Hyperlink.5">
    <w:name w:val="Hyperlink.5"/>
    <w:basedOn w:val="None A"/>
    <w:next w:val="Hyperlink.5"/>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