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Style w:val="NoneA"/>
          <w:rFonts w:ascii="Arial" w:hAnsi="Arial" w:eastAsia="Arial" w:cs="Arial"/>
          <w:i/>
          <w:i/>
          <w:iCs/>
          <w:color w:val="2C2D30"/>
          <w:sz w:val="22"/>
          <w:szCs w:val="22"/>
          <w:u w:val="none" w:color="2C2D30"/>
        </w:rPr>
      </w:pPr>
      <w:r>
        <w:rPr>
          <w:rStyle w:val="NoneA"/>
          <w:rFonts w:ascii="Arial" w:hAnsi="Arial"/>
          <w:b/>
          <w:bCs/>
          <w:sz w:val="22"/>
          <w:szCs w:val="22"/>
          <w:lang w:val="en-US"/>
        </w:rPr>
        <w:t>Title</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unique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Authors</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Young VB</w:t>
      </w:r>
      <w:r>
        <w:rPr>
          <w:rStyle w:val="NoneA"/>
          <w:rFonts w:ascii="Arial" w:hAnsi="Arial"/>
          <w:sz w:val="22"/>
          <w:szCs w:val="22"/>
          <w:vertAlign w:val="superscript"/>
          <w:lang w:val="en-US"/>
        </w:rPr>
        <w:t>1,2</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Affiliations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2</w:t>
      </w:r>
      <w:bookmarkStart w:id="0" w:name="_DdeLink__1571_979451698"/>
      <w:r>
        <w:rPr>
          <w:rStyle w:val="NoneA"/>
          <w:rFonts w:ascii="Arial" w:hAnsi="Arial"/>
          <w:sz w:val="22"/>
          <w:szCs w:val="22"/>
          <w:lang w:val="en-US"/>
        </w:rPr>
        <w:t>. Department of Internal Medicine</w:t>
      </w:r>
      <w:bookmarkEnd w:id="0"/>
      <w:r>
        <w:rPr>
          <w:rStyle w:val="NoneA"/>
          <w:rFonts w:ascii="Arial" w:hAnsi="Arial"/>
          <w:sz w:val="22"/>
          <w:szCs w:val="22"/>
          <w:lang w:val="en-US"/>
        </w:rPr>
        <w:t>; University of Michigan Health System;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Abstract</w:t>
      </w:r>
    </w:p>
    <w:p>
      <w:pPr>
        <w:sectPr>
          <w:headerReference w:type="default" r:id="rId2"/>
          <w:footerReference w:type="default" r:id="rId3"/>
          <w:type w:val="nextPage"/>
          <w:pgSz w:w="12240" w:h="15840"/>
          <w:pgMar w:left="1134" w:right="1134" w:header="720" w:top="1134" w:footer="720" w:bottom="1134" w:gutter="0"/>
          <w:pgNumType w:fmt="decimal"/>
          <w:formProt w:val="false"/>
          <w:textDirection w:val="lrTb"/>
          <w:bidi/>
          <w:docGrid w:type="default" w:linePitch="240" w:charSpace="4294961151"/>
        </w:sectPr>
        <w:pStyle w:val="Default"/>
        <w:shd w:val="clear" w:color="auto"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A"/>
          <w:rFonts w:ascii="Arial" w:hAnsi="Arial"/>
          <w:i/>
          <w:iCs/>
          <w:sz w:val="22"/>
          <w:szCs w:val="22"/>
          <w:lang w:val="en-US"/>
        </w:rPr>
        <w:t>C. difficile</w:t>
      </w:r>
      <w:r>
        <w:rPr>
          <w:rStyle w:val="NoneA"/>
          <w:rFonts w:ascii="Arial" w:hAnsi="Arial"/>
          <w:sz w:val="22"/>
          <w:szCs w:val="22"/>
          <w:lang w:val="en-US"/>
        </w:rPr>
        <w:t xml:space="preserve">. In this study, we orally challenged C57BL/6 mice with </w:t>
      </w:r>
      <w:r>
        <w:rPr>
          <w:rStyle w:val="NoneA"/>
          <w:rFonts w:ascii="Arial" w:hAnsi="Arial"/>
          <w:i/>
          <w:iCs/>
          <w:sz w:val="22"/>
          <w:szCs w:val="22"/>
          <w:lang w:val="en-US"/>
        </w:rPr>
        <w:t>C. difficile</w:t>
      </w:r>
      <w:r>
        <w:rPr>
          <w:rStyle w:val="NoneA"/>
          <w:rFonts w:ascii="Arial" w:hAnsi="Arial"/>
          <w:sz w:val="22"/>
          <w:szCs w:val="22"/>
          <w:lang w:val="en-US"/>
        </w:rPr>
        <w:t xml:space="preserve"> str. 630 and demonstrated that it was able to colonize the ceca in three separate models of antibiotic induced susceptibility to the same high degree (~1×10</w:t>
      </w:r>
      <w:r>
        <w:rPr>
          <w:rStyle w:val="NoneA"/>
          <w:rFonts w:ascii="Arial" w:hAnsi="Arial"/>
          <w:sz w:val="22"/>
          <w:szCs w:val="22"/>
          <w:vertAlign w:val="superscript"/>
          <w:lang w:val="en-US"/>
        </w:rPr>
        <w:t>8</w:t>
      </w:r>
      <w:r>
        <w:rPr>
          <w:rStyle w:val="NoneA"/>
          <w:rFonts w:ascii="Arial" w:hAnsi="Arial"/>
          <w:sz w:val="22"/>
          <w:szCs w:val="22"/>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A"/>
          <w:rFonts w:ascii="Arial" w:hAnsi="Arial"/>
          <w:i/>
          <w:iCs/>
          <w:sz w:val="22"/>
          <w:szCs w:val="22"/>
          <w:lang w:val="en-US"/>
        </w:rPr>
        <w:t>C. difficile</w:t>
      </w:r>
      <w:r>
        <w:rPr>
          <w:rStyle w:val="NoneA"/>
          <w:rFonts w:ascii="Arial" w:hAnsi="Arial"/>
          <w:sz w:val="22"/>
          <w:szCs w:val="22"/>
          <w:lang w:val="en-US"/>
        </w:rPr>
        <w:t xml:space="preserve"> inhabits between susceptible gut conditions.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GI tract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A"/>
          <w:rFonts w:ascii="Arial" w:hAnsi="Arial"/>
          <w:i/>
          <w:iCs/>
          <w:sz w:val="22"/>
          <w:szCs w:val="22"/>
          <w:lang w:val="en-US"/>
        </w:rPr>
        <w:t>C. difficile</w:t>
      </w:r>
      <w:r>
        <w:rPr>
          <w:rStyle w:val="NoneA"/>
          <w:rFonts w:ascii="Arial" w:hAnsi="Arial"/>
          <w:sz w:val="22"/>
          <w:szCs w:val="22"/>
          <w:lang w:val="en-US"/>
        </w:rPr>
        <w:t xml:space="preserve"> core metabolism.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Introduction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color="auto"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sectPr>
          <w:headerReference w:type="default" r:id="rId4"/>
          <w:footerReference w:type="default" r:id="rId5"/>
          <w:type w:val="nextPage"/>
          <w:pgSz w:w="12240" w:h="15840"/>
          <w:pgMar w:left="1134" w:right="1134" w:header="720" w:top="1134" w:footer="720" w:bottom="1134" w:gutter="0"/>
          <w:pgNumType w:fmt="decimal"/>
          <w:formProt w:val="false"/>
          <w:textDirection w:val="lrTb"/>
          <w:bidi/>
          <w:docGrid w:type="default" w:linePitch="240" w:charSpace="4294961151"/>
        </w:sectPr>
        <w:pStyle w:val="Default"/>
        <w:shd w:val="clear" w:color="auto"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altered its metabolic gene expression to colonize to high levels and produce varied amounts of toxin.</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germ free and conventionally-raised mice.</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(all </w:t>
      </w:r>
      <w:r>
        <w:rPr>
          <w:rStyle w:val="NoneA"/>
          <w:rFonts w:ascii="Arial" w:hAnsi="Arial"/>
          <w:i/>
          <w:iCs/>
          <w:sz w:val="22"/>
          <w:szCs w:val="22"/>
          <w:lang w:val="en-US"/>
        </w:rPr>
        <w:t>p</w:t>
      </w:r>
      <w:r>
        <w:rPr>
          <w:rStyle w:val="NoneA"/>
          <w:rFonts w:ascii="Arial" w:hAnsi="Arial"/>
          <w:sz w:val="22"/>
          <w:szCs w:val="22"/>
          <w:lang w:val="en-US"/>
        </w:rPr>
        <w:t>-values &lt; 0.05; Fig. 2a). All antibiotic treated and gnotobiotic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CFU/g content, while untreated conventionally-raised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(all </w:t>
      </w:r>
      <w:r>
        <w:rPr>
          <w:rStyle w:val="NoneA"/>
          <w:rFonts w:ascii="Arial" w:hAnsi="Arial"/>
          <w:i/>
          <w:iCs/>
          <w:sz w:val="22"/>
          <w:szCs w:val="22"/>
          <w:lang w:val="en-US"/>
        </w:rPr>
        <w:t>p</w:t>
      </w:r>
      <w:r>
        <w:rPr>
          <w:rStyle w:val="NoneA"/>
          <w:rFonts w:ascii="Arial" w:hAnsi="Arial"/>
          <w:sz w:val="22"/>
          <w:szCs w:val="22"/>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A"/>
          <w:rFonts w:ascii="Arial" w:hAnsi="Arial"/>
          <w:i/>
          <w:iCs/>
          <w:sz w:val="22"/>
          <w:szCs w:val="22"/>
          <w:lang w:val="en-US"/>
        </w:rPr>
        <w:t>p</w:t>
      </w:r>
      <w:r>
        <w:rPr>
          <w:rStyle w:val="NoneA"/>
          <w:rFonts w:ascii="Arial" w:hAnsi="Arial"/>
          <w:sz w:val="22"/>
          <w:szCs w:val="22"/>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After observing differences in spore CFU loads, we first examined transcription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focusing on those that demonstrated the highest variation between treatment groups (Fig. 3a). </w:t>
      </w:r>
    </w:p>
    <w:p>
      <w:pPr>
        <w:pStyle w:val="Default"/>
        <w:shd w:val="clear" w:color="auto"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In Cefoperzone-treated mice, </w:t>
      </w:r>
      <w:r>
        <w:rPr>
          <w:rStyle w:val="NoneA"/>
          <w:rFonts w:ascii="Arial" w:hAnsi="Arial"/>
          <w:i/>
          <w:iCs/>
          <w:sz w:val="22"/>
          <w:szCs w:val="22"/>
          <w:lang w:val="en-US"/>
        </w:rPr>
        <w:t>C. difficile</w:t>
      </w:r>
      <w:r>
        <w:rPr>
          <w:rStyle w:val="NoneA"/>
          <w:rFonts w:ascii="Arial" w:hAnsi="Arial"/>
          <w:sz w:val="22"/>
          <w:szCs w:val="22"/>
          <w:lang w:val="en-US"/>
        </w:rPr>
        <w:t xml:space="preserve"> highly expresses a number of putative anti-sigma factors including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involved in suppressing other sporulation-related gene expression (Matsuno, 1999). This pattern was also seen at a lower degree in either Streptomycin-treated mice, but not in other Clindamycin or Germ free groups. </w:t>
      </w:r>
    </w:p>
    <w:p>
      <w:pPr>
        <w:pStyle w:val="Default"/>
        <w:shd w:val="clear" w:color="auto"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Instead, these conditions induced expression of genes for spore coat components, coat assembly, and spore morphogenesis (including </w:t>
      </w:r>
      <w:r>
        <w:rPr>
          <w:rStyle w:val="NoneA"/>
          <w:rFonts w:ascii="Arial" w:hAnsi="Arial"/>
          <w:i/>
          <w:iCs/>
          <w:sz w:val="22"/>
          <w:szCs w:val="22"/>
          <w:lang w:val="en-US"/>
        </w:rPr>
        <w:t>cotD</w:t>
      </w:r>
      <w:r>
        <w:rPr>
          <w:rStyle w:val="NoneA"/>
          <w:rFonts w:ascii="Arial" w:hAnsi="Arial"/>
          <w:sz w:val="22"/>
          <w:szCs w:val="22"/>
          <w:lang w:val="en-US"/>
        </w:rPr>
        <w:t xml:space="preserve">, </w:t>
      </w:r>
      <w:r>
        <w:rPr>
          <w:rStyle w:val="NoneA"/>
          <w:rFonts w:ascii="Arial" w:hAnsi="Arial"/>
          <w:i/>
          <w:iCs/>
          <w:sz w:val="22"/>
          <w:szCs w:val="22"/>
          <w:lang w:val="en-US"/>
        </w:rPr>
        <w:t>cotJB2</w:t>
      </w:r>
      <w:r>
        <w:rPr>
          <w:rStyle w:val="NoneA"/>
          <w:rFonts w:ascii="Arial" w:hAnsi="Arial"/>
          <w:sz w:val="22"/>
          <w:szCs w:val="22"/>
          <w:lang w:val="en-US"/>
        </w:rPr>
        <w:t xml:space="preserve">,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sspB</w:t>
      </w:r>
      <w:r>
        <w:rPr>
          <w:rStyle w:val="NoneA"/>
          <w:rFonts w:ascii="Arial" w:hAnsi="Arial"/>
          <w:sz w:val="22"/>
          <w:szCs w:val="22"/>
          <w:lang w:val="en-US"/>
        </w:rPr>
        <w:t xml:space="preserve">), all associated with later sporulation stages (Permpoonpattan, 2013). Along with sporulation, expression of PaLoc genes has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(Fig. 3C). We found approximately 3-fold higher expression of the toxin A gene, </w:t>
      </w:r>
      <w:r>
        <w:rPr>
          <w:rStyle w:val="NoneA"/>
          <w:rFonts w:ascii="Arial" w:hAnsi="Arial"/>
          <w:i/>
          <w:iCs/>
          <w:sz w:val="22"/>
          <w:szCs w:val="22"/>
          <w:lang w:val="en-US"/>
        </w:rPr>
        <w:t>tcdA</w:t>
      </w:r>
      <w:r>
        <w:rPr>
          <w:rStyle w:val="NoneA"/>
          <w:rFonts w:ascii="Arial" w:hAnsi="Arial"/>
          <w:sz w:val="22"/>
          <w:szCs w:val="22"/>
          <w:lang w:val="en-US"/>
        </w:rPr>
        <w:t xml:space="preserve">, than the toxin B gene, </w:t>
      </w:r>
      <w:r>
        <w:rPr>
          <w:rStyle w:val="NoneA"/>
          <w:rFonts w:ascii="Arial" w:hAnsi="Arial"/>
          <w:i/>
          <w:iCs/>
          <w:sz w:val="22"/>
          <w:szCs w:val="22"/>
          <w:lang w:val="en-US"/>
        </w:rPr>
        <w:t>tcdB</w:t>
      </w:r>
      <w:r>
        <w:rPr>
          <w:rStyle w:val="NoneA"/>
          <w:rFonts w:ascii="Arial" w:hAnsi="Arial"/>
          <w:sz w:val="22"/>
          <w:szCs w:val="22"/>
          <w:lang w:val="en-US"/>
        </w:rPr>
        <w:t xml:space="preserve">, across all pretreatments. This relationship has long been known to exist at least </w:t>
      </w:r>
      <w:r>
        <w:rPr>
          <w:rStyle w:val="NoneA"/>
          <w:rFonts w:ascii="Arial" w:hAnsi="Arial"/>
          <w:i/>
          <w:iCs/>
          <w:sz w:val="22"/>
          <w:szCs w:val="22"/>
          <w:lang w:val="en-US"/>
        </w:rPr>
        <w:t>in vitro</w:t>
      </w:r>
      <w:r>
        <w:rPr>
          <w:rStyle w:val="NoneA"/>
          <w:rFonts w:ascii="Arial" w:hAnsi="Arial"/>
          <w:sz w:val="22"/>
          <w:szCs w:val="22"/>
          <w:lang w:val="en-US"/>
        </w:rPr>
        <w:t xml:space="preserve"> with another strain of </w:t>
      </w:r>
      <w:r>
        <w:rPr>
          <w:rStyle w:val="NoneA"/>
          <w:rFonts w:ascii="Arial" w:hAnsi="Arial"/>
          <w:i/>
          <w:iCs/>
          <w:sz w:val="22"/>
          <w:szCs w:val="22"/>
          <w:lang w:val="en-US"/>
        </w:rPr>
        <w:t>C. difficile</w:t>
      </w:r>
      <w:r>
        <w:rPr>
          <w:rStyle w:val="NoneA"/>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A"/>
          <w:rFonts w:ascii="Arial" w:hAnsi="Arial"/>
          <w:i/>
          <w:iCs/>
          <w:sz w:val="22"/>
          <w:szCs w:val="22"/>
          <w:lang w:val="en-US"/>
        </w:rPr>
        <w:t>tcdC</w:t>
      </w:r>
      <w:r>
        <w:rPr>
          <w:rStyle w:val="NoneA"/>
          <w:rFonts w:ascii="Arial" w:hAnsi="Arial"/>
          <w:sz w:val="22"/>
          <w:szCs w:val="22"/>
          <w:lang w:val="en-US"/>
        </w:rPr>
        <w:t xml:space="preserve"> (negatively regulator) and </w:t>
      </w:r>
      <w:r>
        <w:rPr>
          <w:rStyle w:val="NoneA"/>
          <w:rFonts w:ascii="Arial" w:hAnsi="Arial"/>
          <w:i/>
          <w:iCs/>
          <w:sz w:val="22"/>
          <w:szCs w:val="22"/>
          <w:lang w:val="en-US"/>
        </w:rPr>
        <w:t>tcdR</w:t>
      </w:r>
      <w:r>
        <w:rPr>
          <w:rStyle w:val="NoneA"/>
          <w:rFonts w:ascii="Arial" w:hAnsi="Arial"/>
          <w:sz w:val="22"/>
          <w:szCs w:val="22"/>
          <w:lang w:val="en-US"/>
        </w:rPr>
        <w:t xml:space="preserve"> (positive regulator) (Carter, 2012). Between both genes, only </w:t>
      </w:r>
      <w:r>
        <w:rPr>
          <w:rStyle w:val="NoneA"/>
          <w:rFonts w:ascii="Arial" w:hAnsi="Arial"/>
          <w:i/>
          <w:iCs/>
          <w:sz w:val="22"/>
          <w:szCs w:val="22"/>
          <w:lang w:val="en-US"/>
        </w:rPr>
        <w:t>tcdC</w:t>
      </w:r>
      <w:r>
        <w:rPr>
          <w:rStyle w:val="NoneA"/>
          <w:rFonts w:ascii="Arial" w:hAnsi="Arial"/>
          <w:sz w:val="22"/>
          <w:szCs w:val="22"/>
          <w:lang w:val="en-US"/>
        </w:rPr>
        <w:t xml:space="preserve"> transcript was detectable at 10-fold greater abundance than that of </w:t>
      </w:r>
      <w:r>
        <w:rPr>
          <w:rStyle w:val="NoneA"/>
          <w:rFonts w:ascii="Arial" w:hAnsi="Arial"/>
          <w:i/>
          <w:iCs/>
          <w:sz w:val="22"/>
          <w:szCs w:val="22"/>
          <w:lang w:val="en-US"/>
        </w:rPr>
        <w:t>tcdR</w:t>
      </w:r>
      <w:r>
        <w:rPr>
          <w:rStyle w:val="NoneA"/>
          <w:rFonts w:ascii="Arial" w:hAnsi="Arial"/>
          <w:sz w:val="22"/>
          <w:szCs w:val="22"/>
          <w:lang w:val="en-US"/>
        </w:rPr>
        <w:t xml:space="preserve"> across all groups. Finally </w:t>
      </w:r>
      <w:r>
        <w:rPr>
          <w:rStyle w:val="NoneA"/>
          <w:rFonts w:ascii="Arial" w:hAnsi="Arial"/>
          <w:i/>
          <w:iCs/>
          <w:sz w:val="22"/>
          <w:szCs w:val="22"/>
          <w:lang w:val="en-US"/>
        </w:rPr>
        <w:t>tcdE</w:t>
      </w:r>
      <w:r>
        <w:rPr>
          <w:rStyle w:val="NoneA"/>
          <w:rFonts w:ascii="Arial" w:hAnsi="Arial"/>
          <w:sz w:val="22"/>
          <w:szCs w:val="22"/>
          <w:lang w:val="en-US"/>
        </w:rPr>
        <w:t xml:space="preserve">, the gene for a holin-like protein associated with </w:t>
      </w:r>
      <w:r>
        <w:rPr>
          <w:rStyle w:val="NoneA"/>
          <w:rFonts w:ascii="Arial" w:hAnsi="Arial"/>
          <w:i/>
          <w:iCs/>
          <w:sz w:val="22"/>
          <w:szCs w:val="22"/>
          <w:lang w:val="en-US"/>
        </w:rPr>
        <w:t>C. difficile</w:t>
      </w:r>
      <w:r>
        <w:rPr>
          <w:rStyle w:val="NoneA"/>
          <w:rFonts w:ascii="Arial" w:hAnsi="Arial"/>
          <w:sz w:val="22"/>
          <w:szCs w:val="22"/>
          <w:lang w:val="en-US"/>
        </w:rPr>
        <w:t xml:space="preserve"> toxin secretion, was only detectable in cefoperazone-treated mice.</w:t>
      </w:r>
    </w:p>
    <w:p>
      <w:pPr>
        <w:pStyle w:val="Default"/>
        <w:shd w:val="clear" w:color="auto"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To narrow our analysis of the transcriptomic data, we chose to focus on genes that code for sigma factors, sporulation, pathogenesis, and quorum sensing. </w:t>
      </w:r>
      <w:r>
        <w:rPr>
          <w:rStyle w:val="NoneA"/>
          <w:rFonts w:ascii="Arial" w:hAnsi="Arial"/>
          <w:i/>
          <w:iCs/>
          <w:sz w:val="22"/>
          <w:szCs w:val="22"/>
          <w:lang w:val="en-US"/>
        </w:rPr>
        <w:t>C. difficile</w:t>
      </w:r>
      <w:r>
        <w:rPr>
          <w:rStyle w:val="NoneA"/>
          <w:rFonts w:ascii="Arial" w:hAnsi="Arial"/>
          <w:sz w:val="22"/>
          <w:szCs w:val="22"/>
          <w:lang w:val="en-US"/>
        </w:rPr>
        <w:t xml:space="preserve"> sigma factors are the master regulators of transcription and a subset have been shown to respond to environmental nutrient concentrations (Antunes, 2012; Fimlaid, 2013; Bouillaut, 2015; Donnelly, 2016). Transcript  for the global nutritional regulator </w:t>
      </w:r>
      <w:r>
        <w:rPr>
          <w:rStyle w:val="NoneA"/>
          <w:rFonts w:ascii="Arial" w:hAnsi="Arial"/>
          <w:i/>
          <w:iCs/>
          <w:sz w:val="22"/>
          <w:szCs w:val="22"/>
          <w:lang w:val="en-US"/>
        </w:rPr>
        <w:t>codY</w:t>
      </w:r>
      <w:r>
        <w:rPr>
          <w:rStyle w:val="NoneA"/>
          <w:rFonts w:ascii="Arial" w:hAnsi="Arial"/>
          <w:sz w:val="22"/>
          <w:szCs w:val="22"/>
          <w:lang w:val="en-US"/>
        </w:rPr>
        <w:t xml:space="preserve"> was highly detectable in each condition, despite apparent differences in toxin and spore production (Fig. 3a).</w:t>
      </w:r>
    </w:p>
    <w:p>
      <w:pPr>
        <w:pStyle w:val="Default"/>
        <w:shd w:val="clear" w:color="auto" w:fill="FFFFFF"/>
        <w:spacing w:lineRule="auto" w:line="480"/>
        <w:ind w:left="0" w:right="0" w:firstLine="709"/>
        <w:jc w:val="both"/>
        <w:rPr>
          <w:rStyle w:val="NoneA"/>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0" w:right="0" w:firstLine="709"/>
        <w:jc w:val="both"/>
        <w:rPr>
          <w:rStyle w:val="NoneA"/>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0" w:right="0" w:firstLine="709"/>
        <w:jc w:val="both"/>
        <w:rPr>
          <w:rStyle w:val="NoneA"/>
          <w:rFonts w:ascii="Arial" w:hAnsi="Arial" w:eastAsia="Arial" w:cs="Arial"/>
          <w:sz w:val="22"/>
          <w:szCs w:val="22"/>
        </w:rPr>
      </w:pPr>
      <w:r>
        <w:rPr>
          <w:rFonts w:ascii="Arial" w:hAnsi="Arial"/>
          <w:sz w:val="22"/>
          <w:szCs w:val="22"/>
          <w:lang w:val="en-US"/>
        </w:rPr>
        <w:t xml:space="preserve">Measured differences in spore CFU (Fig. 2b) are discordant with differences seen in expression of </w:t>
      </w:r>
      <w:r>
        <w:rPr>
          <w:rStyle w:val="NoneA"/>
          <w:rFonts w:ascii="Arial" w:hAnsi="Arial"/>
          <w:i/>
          <w:iCs/>
          <w:sz w:val="22"/>
          <w:szCs w:val="22"/>
          <w:lang w:val="en-US"/>
        </w:rPr>
        <w:t>spoA0</w:t>
      </w:r>
      <w:r>
        <w:rPr>
          <w:rFonts w:ascii="Arial" w:hAnsi="Arial"/>
          <w:sz w:val="22"/>
          <w:szCs w:val="22"/>
          <w:lang w:val="en-US"/>
        </w:rPr>
        <w:t xml:space="preserve"> (spurolation activating sigma factor, Fig. 3a) and sporulation pathway components (Fig 3d).  This reflects the fact that sporulation is a complex process that requires tight expression regulation at multiple levels and cannot be captured in the transcript level differences of a handful of genes.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To further investigate the discrepancies in sporulation, we chose to quantify specific changes in expression within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(Fig. 3D). We further examined transcription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focusing on those that demonstrated the highest variance between antibiotic treatments (&gt; 0.01). In Cefoperzone-treated mice, </w:t>
      </w:r>
      <w:r>
        <w:rPr>
          <w:rStyle w:val="NoneA"/>
          <w:rFonts w:ascii="Arial" w:hAnsi="Arial"/>
          <w:i/>
          <w:iCs/>
          <w:sz w:val="22"/>
          <w:szCs w:val="22"/>
          <w:lang w:val="en-US"/>
        </w:rPr>
        <w:t>C. difficile</w:t>
      </w:r>
      <w:r>
        <w:rPr>
          <w:rStyle w:val="NoneA"/>
          <w:rFonts w:ascii="Arial" w:hAnsi="Arial"/>
          <w:sz w:val="22"/>
          <w:szCs w:val="22"/>
          <w:lang w:val="en-US"/>
        </w:rPr>
        <w:t xml:space="preserve"> highly expresses a number of putative anti-sigma factors including </w:t>
      </w:r>
      <w:r>
        <w:rPr>
          <w:rStyle w:val="NoneA"/>
          <w:rFonts w:ascii="Arial" w:hAnsi="Arial"/>
          <w:i/>
          <w:iCs/>
          <w:sz w:val="22"/>
          <w:szCs w:val="22"/>
          <w:lang w:val="en-US"/>
        </w:rPr>
        <w:t>spoIIAA,</w:t>
      </w:r>
      <w:r>
        <w:rPr>
          <w:rStyle w:val="NoneA"/>
          <w:rFonts w:ascii="Arial" w:hAnsi="Arial"/>
          <w:sz w:val="22"/>
          <w:szCs w:val="22"/>
          <w:lang w:val="en-US"/>
        </w:rPr>
        <w:t xml:space="preserve"> </w:t>
      </w:r>
      <w:r>
        <w:rPr>
          <w:rStyle w:val="NoneA"/>
          <w:rFonts w:ascii="Arial" w:hAnsi="Arial"/>
          <w:i/>
          <w:iCs/>
          <w:sz w:val="22"/>
          <w:szCs w:val="22"/>
          <w:lang w:val="en-US"/>
        </w:rPr>
        <w:t>spoIIAB,</w:t>
      </w:r>
      <w:r>
        <w:rPr>
          <w:rStyle w:val="NoneA"/>
          <w:rFonts w:ascii="Arial" w:hAnsi="Arial"/>
          <w:sz w:val="22"/>
          <w:szCs w:val="22"/>
          <w:lang w:val="en-US"/>
        </w:rPr>
        <w:t xml:space="preserve"> and </w:t>
      </w:r>
      <w:r>
        <w:rPr>
          <w:rStyle w:val="NoneA"/>
          <w:rFonts w:ascii="Arial" w:hAnsi="Arial"/>
          <w:i/>
          <w:iCs/>
          <w:sz w:val="22"/>
          <w:szCs w:val="22"/>
          <w:lang w:val="en-US"/>
        </w:rPr>
        <w:t>spoVG</w:t>
      </w:r>
      <w:r>
        <w:rPr>
          <w:rStyle w:val="NoneA"/>
          <w:rFonts w:ascii="Arial" w:hAnsi="Arial"/>
          <w:sz w:val="22"/>
          <w:szCs w:val="22"/>
          <w:lang w:val="en-US"/>
        </w:rPr>
        <w:t xml:space="preserve"> involved in suppressing other sporulation-related gene expression.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A"/>
          <w:rFonts w:ascii="Arial" w:hAnsi="Arial"/>
          <w:i/>
          <w:iCs/>
          <w:sz w:val="22"/>
          <w:szCs w:val="22"/>
          <w:lang w:val="en-US"/>
        </w:rPr>
        <w:t>cotD</w:t>
      </w:r>
      <w:r>
        <w:rPr>
          <w:rStyle w:val="NoneA"/>
          <w:rFonts w:ascii="Arial" w:hAnsi="Arial"/>
          <w:sz w:val="22"/>
          <w:szCs w:val="22"/>
          <w:lang w:val="en-US"/>
        </w:rPr>
        <w:t xml:space="preserve">, </w:t>
      </w:r>
      <w:r>
        <w:rPr>
          <w:rStyle w:val="NoneA"/>
          <w:rFonts w:ascii="Arial" w:hAnsi="Arial"/>
          <w:i/>
          <w:iCs/>
          <w:sz w:val="22"/>
          <w:szCs w:val="22"/>
          <w:lang w:val="en-US"/>
        </w:rPr>
        <w:t>cotJB2</w:t>
      </w:r>
      <w:r>
        <w:rPr>
          <w:rStyle w:val="NoneA"/>
          <w:rFonts w:ascii="Arial" w:hAnsi="Arial"/>
          <w:sz w:val="22"/>
          <w:szCs w:val="22"/>
          <w:lang w:val="en-US"/>
        </w:rPr>
        <w:t xml:space="preserve">,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sspB</w:t>
      </w:r>
      <w:r>
        <w:rPr>
          <w:rStyle w:val="NoneA"/>
          <w:rFonts w:ascii="Arial" w:hAnsi="Arial"/>
          <w:sz w:val="22"/>
          <w:szCs w:val="22"/>
          <w:lang w:val="en-US"/>
        </w:rPr>
        <w:t xml:space="preserve">), all associated with later sporulation stages (Permpoonpattan, 2013). Along with sporulation, expression of PaLoc genes has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(Fig. 3C). We found approximately 3-fold higher expression of the toxin A gene, </w:t>
      </w:r>
      <w:r>
        <w:rPr>
          <w:rStyle w:val="NoneA"/>
          <w:rFonts w:ascii="Arial" w:hAnsi="Arial"/>
          <w:i/>
          <w:iCs/>
          <w:sz w:val="22"/>
          <w:szCs w:val="22"/>
          <w:lang w:val="en-US"/>
        </w:rPr>
        <w:t>tcdA</w:t>
      </w:r>
      <w:r>
        <w:rPr>
          <w:rStyle w:val="NoneA"/>
          <w:rFonts w:ascii="Arial" w:hAnsi="Arial"/>
          <w:sz w:val="22"/>
          <w:szCs w:val="22"/>
          <w:lang w:val="en-US"/>
        </w:rPr>
        <w:t xml:space="preserve">, than the toxin B gene, </w:t>
      </w:r>
      <w:r>
        <w:rPr>
          <w:rStyle w:val="NoneA"/>
          <w:rFonts w:ascii="Arial" w:hAnsi="Arial"/>
          <w:i/>
          <w:iCs/>
          <w:sz w:val="22"/>
          <w:szCs w:val="22"/>
          <w:lang w:val="en-US"/>
        </w:rPr>
        <w:t>tcdB</w:t>
      </w:r>
      <w:r>
        <w:rPr>
          <w:rStyle w:val="NoneA"/>
          <w:rFonts w:ascii="Arial" w:hAnsi="Arial"/>
          <w:sz w:val="22"/>
          <w:szCs w:val="22"/>
          <w:lang w:val="en-US"/>
        </w:rPr>
        <w:t xml:space="preserve">, across all pretreatments. This relationship has long been known to exist at least </w:t>
      </w:r>
      <w:r>
        <w:rPr>
          <w:rStyle w:val="NoneA"/>
          <w:rFonts w:ascii="Arial" w:hAnsi="Arial"/>
          <w:i/>
          <w:iCs/>
          <w:sz w:val="22"/>
          <w:szCs w:val="22"/>
          <w:lang w:val="en-US"/>
        </w:rPr>
        <w:t>in vitro</w:t>
      </w:r>
      <w:r>
        <w:rPr>
          <w:rStyle w:val="NoneA"/>
          <w:rFonts w:ascii="Arial" w:hAnsi="Arial"/>
          <w:sz w:val="22"/>
          <w:szCs w:val="22"/>
          <w:lang w:val="en-US"/>
        </w:rPr>
        <w:t xml:space="preserve"> with another strain of </w:t>
      </w:r>
      <w:r>
        <w:rPr>
          <w:rStyle w:val="NoneA"/>
          <w:rFonts w:ascii="Arial" w:hAnsi="Arial"/>
          <w:i/>
          <w:iCs/>
          <w:sz w:val="22"/>
          <w:szCs w:val="22"/>
          <w:lang w:val="en-US"/>
        </w:rPr>
        <w:t>C. difficile</w:t>
      </w:r>
      <w:r>
        <w:rPr>
          <w:rStyle w:val="NoneA"/>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A"/>
          <w:rFonts w:ascii="Arial" w:hAnsi="Arial"/>
          <w:i/>
          <w:iCs/>
          <w:sz w:val="22"/>
          <w:szCs w:val="22"/>
          <w:lang w:val="en-US"/>
        </w:rPr>
        <w:t>tcdC</w:t>
      </w:r>
      <w:r>
        <w:rPr>
          <w:rStyle w:val="NoneA"/>
          <w:rFonts w:ascii="Arial" w:hAnsi="Arial"/>
          <w:sz w:val="22"/>
          <w:szCs w:val="22"/>
          <w:lang w:val="en-US"/>
        </w:rPr>
        <w:t xml:space="preserve"> (negatively regulator) and </w:t>
      </w:r>
      <w:r>
        <w:rPr>
          <w:rStyle w:val="NoneA"/>
          <w:rFonts w:ascii="Arial" w:hAnsi="Arial"/>
          <w:i/>
          <w:iCs/>
          <w:sz w:val="22"/>
          <w:szCs w:val="22"/>
          <w:lang w:val="en-US"/>
        </w:rPr>
        <w:t>tcdR</w:t>
      </w:r>
      <w:r>
        <w:rPr>
          <w:rStyle w:val="NoneA"/>
          <w:rFonts w:ascii="Arial" w:hAnsi="Arial"/>
          <w:sz w:val="22"/>
          <w:szCs w:val="22"/>
          <w:lang w:val="en-US"/>
        </w:rPr>
        <w:t xml:space="preserve"> (positive regulator) (Carter, 2012). Between both genes, only </w:t>
      </w:r>
      <w:r>
        <w:rPr>
          <w:rStyle w:val="NoneA"/>
          <w:rFonts w:ascii="Arial" w:hAnsi="Arial"/>
          <w:i/>
          <w:iCs/>
          <w:sz w:val="22"/>
          <w:szCs w:val="22"/>
          <w:lang w:val="en-US"/>
        </w:rPr>
        <w:t>tcdC</w:t>
      </w:r>
      <w:r>
        <w:rPr>
          <w:rStyle w:val="NoneA"/>
          <w:rFonts w:ascii="Arial" w:hAnsi="Arial"/>
          <w:sz w:val="22"/>
          <w:szCs w:val="22"/>
          <w:lang w:val="en-US"/>
        </w:rPr>
        <w:t xml:space="preserve"> transcript was detectable at 10-fold greater abundance than that of </w:t>
      </w:r>
      <w:r>
        <w:rPr>
          <w:rStyle w:val="NoneA"/>
          <w:rFonts w:ascii="Arial" w:hAnsi="Arial"/>
          <w:i/>
          <w:iCs/>
          <w:sz w:val="22"/>
          <w:szCs w:val="22"/>
          <w:lang w:val="en-US"/>
        </w:rPr>
        <w:t>tcdR</w:t>
      </w:r>
      <w:r>
        <w:rPr>
          <w:rStyle w:val="NoneA"/>
          <w:rFonts w:ascii="Arial" w:hAnsi="Arial"/>
          <w:sz w:val="22"/>
          <w:szCs w:val="22"/>
          <w:lang w:val="en-US"/>
        </w:rPr>
        <w:t xml:space="preserve"> across all groups. Finally </w:t>
      </w:r>
      <w:r>
        <w:rPr>
          <w:rStyle w:val="NoneA"/>
          <w:rFonts w:ascii="Arial" w:hAnsi="Arial"/>
          <w:i/>
          <w:iCs/>
          <w:sz w:val="22"/>
          <w:szCs w:val="22"/>
          <w:lang w:val="en-US"/>
        </w:rPr>
        <w:t>tcdE</w:t>
      </w:r>
      <w:r>
        <w:rPr>
          <w:rStyle w:val="NoneA"/>
          <w:rFonts w:ascii="Arial" w:hAnsi="Arial"/>
          <w:sz w:val="22"/>
          <w:szCs w:val="22"/>
          <w:lang w:val="en-US"/>
        </w:rPr>
        <w:t xml:space="preserve">, the gene for a holin-like protein associated with </w:t>
      </w:r>
      <w:r>
        <w:rPr>
          <w:rStyle w:val="NoneA"/>
          <w:rFonts w:ascii="Arial" w:hAnsi="Arial"/>
          <w:i/>
          <w:iCs/>
          <w:sz w:val="22"/>
          <w:szCs w:val="22"/>
          <w:lang w:val="en-US"/>
        </w:rPr>
        <w:t>C. difficile</w:t>
      </w:r>
      <w:r>
        <w:rPr>
          <w:rStyle w:val="NoneA"/>
          <w:rFonts w:ascii="Arial" w:hAnsi="Arial"/>
          <w:sz w:val="22"/>
          <w:szCs w:val="22"/>
          <w:lang w:val="en-US"/>
        </w:rPr>
        <w:t xml:space="preserve"> toxin secretion, was only detectable in cefoperazone-treated mice.</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Style w:val="NoneA"/>
          <w:rFonts w:eastAsia="Arial" w:cs="Arial" w:ascii="Arial" w:hAnsi="Arial"/>
          <w:sz w:val="22"/>
          <w:szCs w:val="22"/>
        </w:rPr>
        <w:tab/>
        <w:t xml:space="preserve">In the context of similar colonization, </w:t>
      </w:r>
      <w:r>
        <w:rPr>
          <w:rStyle w:val="NoneA"/>
          <w:rFonts w:ascii="Arial" w:hAnsi="Arial"/>
          <w:sz w:val="22"/>
          <w:szCs w:val="22"/>
          <w:lang w:val="en-US"/>
        </w:rPr>
        <w:t xml:space="preserve">but differential expression of genes under the control of specific nutrient concentrations in antibiotic-treated animals suggests that </w:t>
      </w:r>
      <w:r>
        <w:rPr>
          <w:rStyle w:val="NoneA"/>
          <w:rFonts w:ascii="Arial" w:hAnsi="Arial"/>
          <w:i/>
          <w:iCs/>
          <w:sz w:val="22"/>
          <w:szCs w:val="22"/>
          <w:lang w:val="en-US"/>
        </w:rPr>
        <w:t>C. difficile</w:t>
      </w:r>
      <w:r>
        <w:rPr>
          <w:rStyle w:val="NoneA"/>
          <w:rFonts w:ascii="Arial" w:hAnsi="Arial"/>
          <w:sz w:val="22"/>
          <w:szCs w:val="22"/>
          <w:lang w:val="en-US"/>
        </w:rPr>
        <w:t xml:space="preserve"> is adapting differently to each environment when in competition with the resident microbiota. To test this further, we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quantified the differential expression of genes in each gene set (Fig. 4a). Among the genes classified as sugar transporters, those that are PTS transporters (Fig. 4b) were overrepresented in both clindamycin and streptomycin-treated mice, and ABC sugar transporters (Fig. 4c) were overrepresented in the cefoparazone-treated mice. Sugar alcohol catabolism genes were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w:t>
      </w:r>
      <w:r>
        <w:rPr>
          <w:lang w:val="en-US"/>
        </w:rPr>
        <w:t xml:space="preserve"> </w:t>
      </w:r>
      <w:r>
        <w:rPr>
          <w:rStyle w:val="NoneA"/>
          <w:rFonts w:ascii="Arial" w:hAnsi="Arial"/>
          <w:sz w:val="22"/>
          <w:szCs w:val="22"/>
          <w:lang w:val="en-US"/>
        </w:rPr>
        <w:t>(Fig. 4d). Monosaccharide catabolism includes genes for the steps involved in glycolysis as well as several genes that mediate entry points of a number of monosaccharides to this pathway</w:t>
      </w:r>
      <w:r>
        <w:rPr>
          <w:lang w:val="en-US"/>
        </w:rPr>
        <w:t xml:space="preserve"> </w:t>
      </w:r>
      <w:r>
        <w:rPr>
          <w:rStyle w:val="NoneA"/>
          <w:rFonts w:ascii="Arial" w:hAnsi="Arial"/>
          <w:sz w:val="22"/>
          <w:szCs w:val="22"/>
          <w:lang w:val="en-US"/>
        </w:rPr>
        <w:t>(Fig. 4e). Transcripts for several genes in glycolysis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and catalyzes the committed step of glycolysis.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under different conditions</w:t>
      </w:r>
      <w:r>
        <w:rPr>
          <w:lang w:val="en-US"/>
        </w:rPr>
        <w:t xml:space="preserve"> </w:t>
      </w:r>
      <w:r>
        <w:rPr>
          <w:rStyle w:val="NoneA"/>
          <w:rFonts w:ascii="Arial" w:hAnsi="Arial"/>
          <w:sz w:val="22"/>
          <w:szCs w:val="22"/>
          <w:lang w:val="en-US"/>
        </w:rPr>
        <w:t xml:space="preserve">(Fig. 4f).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1" w:name="_DdeLink__1230_954670323"/>
      <w:r>
        <w:rPr>
          <w:rStyle w:val="NoneA"/>
          <w:rFonts w:ascii="Arial" w:hAnsi="Arial"/>
          <w:i/>
          <w:iCs/>
          <w:sz w:val="22"/>
          <w:szCs w:val="22"/>
          <w:lang w:val="en-US"/>
        </w:rPr>
        <w:t>adhE</w:t>
      </w:r>
      <w:bookmarkEnd w:id="1"/>
      <w:r>
        <w:rPr>
          <w:rStyle w:val="NoneA"/>
          <w:rFonts w:ascii="Arial" w:hAnsi="Arial"/>
          <w:sz w:val="22"/>
          <w:szCs w:val="22"/>
          <w:lang w:val="en-US"/>
        </w:rPr>
        <w:t>) in addition to those for common plant polysaccharide degradation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xml:space="preserve">) were overrepresented in clindamycin-treated mice (Fig. 4g).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rStyle w:val="NoneA"/>
          <w:rFonts w:ascii="Arial" w:hAnsi="Arial" w:eastAsia="Arial" w:cs="Arial"/>
          <w:sz w:val="22"/>
          <w:szCs w:val="22"/>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simple sugars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and may be expressed under any conditions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Bipartite metabolic models underscore known bacterial metabolism and reveal adaptive nutritional strategies of </w:t>
      </w:r>
      <w:r>
        <w:rPr>
          <w:rStyle w:val="NoneA"/>
          <w:rFonts w:ascii="Arial" w:hAnsi="Arial"/>
          <w:b/>
          <w:bCs/>
          <w:i/>
          <w:iCs/>
          <w:sz w:val="22"/>
          <w:szCs w:val="22"/>
          <w:lang w:val="en-US"/>
        </w:rPr>
        <w:t xml:space="preserve">C. difficile </w:t>
      </w:r>
      <w:r>
        <w:rPr>
          <w:rStyle w:val="NoneA"/>
          <w:rFonts w:ascii="Arial" w:hAnsi="Arial"/>
          <w:b/>
          <w:bCs/>
          <w:sz w:val="22"/>
          <w:szCs w:val="22"/>
          <w:lang w:val="en-US"/>
        </w:rPr>
        <w:t>during infection.</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shd w:fill="00FFFF" w:val="clear"/>
          <w:lang w:val="en-US"/>
        </w:rPr>
        <w:t xml:space="preserve">To move beyond a static representation of the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Style w:val="NoneA"/>
          <w:rFonts w:ascii="Arial" w:hAnsi="Arial"/>
          <w:i/>
          <w:iCs/>
          <w:sz w:val="22"/>
          <w:szCs w:val="22"/>
          <w:shd w:fill="00FFFF" w:val="clear"/>
          <w:lang w:val="en-US"/>
        </w:rPr>
        <w:t xml:space="preserve">C. difficile </w:t>
      </w:r>
      <w:r>
        <w:rPr>
          <w:rStyle w:val="NoneA"/>
          <w:rFonts w:ascii="Arial" w:hAnsi="Arial"/>
          <w:sz w:val="22"/>
          <w:szCs w:val="22"/>
          <w:shd w:fill="00FFFF" w:val="clear"/>
          <w:lang w:val="en-US"/>
        </w:rPr>
        <w:t xml:space="preserve">(Ho, 2015; Neumann-Schaal, 2015).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Rule="auto" w:line="480"/>
        <w:jc w:val="both"/>
        <w:rPr/>
      </w:pPr>
      <w:r>
        <w:rPr>
          <w:rStyle w:val="NoneA"/>
          <w:rFonts w:eastAsia="Arial" w:cs="Arial" w:ascii="Arial" w:hAnsi="Arial"/>
          <w:sz w:val="22"/>
          <w:szCs w:val="22"/>
        </w:rPr>
        <w:tab/>
        <w:t xml:space="preserve">We sought to identify the core metabolites that are essential to </w:t>
      </w:r>
      <w:r>
        <w:rPr>
          <w:rStyle w:val="NoneA"/>
          <w:rFonts w:ascii="Arial" w:hAnsi="Arial"/>
          <w:i/>
          <w:iCs/>
          <w:sz w:val="22"/>
          <w:szCs w:val="22"/>
          <w:lang w:val="en-US"/>
        </w:rPr>
        <w:t>C. difficile</w:t>
      </w:r>
      <w:r>
        <w:rPr>
          <w:rStyle w:val="NoneA"/>
          <w:rFonts w:ascii="Arial" w:hAnsi="Arial"/>
          <w:sz w:val="22"/>
          <w:szCs w:val="22"/>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S7A)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w:t>
      </w:r>
    </w:p>
    <w:p>
      <w:pPr>
        <w:pStyle w:val="Default"/>
        <w:shd w:val="clear" w:color="auto"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from each treatment group to uncover patterns of unique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Style w:val="NoneA"/>
          <w:rFonts w:ascii="Arial" w:hAnsi="Arial"/>
          <w:i/>
          <w:iCs/>
          <w:sz w:val="22"/>
          <w:szCs w:val="22"/>
          <w:lang w:val="en-US"/>
        </w:rPr>
        <w:t>C. difficile</w:t>
      </w:r>
      <w:r>
        <w:rPr>
          <w:rStyle w:val="NoneA"/>
          <w:rFonts w:ascii="Arial" w:hAnsi="Arial"/>
          <w:sz w:val="22"/>
          <w:szCs w:val="22"/>
          <w:lang w:val="en-US"/>
        </w:rPr>
        <w:t xml:space="preserve">. This included D-fructose, mannitol, N-acetylneuraminic acid, salicin, and D-sorbitol (Ng, 2013; Theriot, 2014).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carbon sources between the susceptible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Important carbon sources according to metabolic networks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the negative control (corrected </w:t>
      </w:r>
      <w:r>
        <w:rPr>
          <w:rStyle w:val="NoneA"/>
          <w:rFonts w:ascii="Arial" w:hAnsi="Arial"/>
          <w:i/>
          <w:iCs/>
          <w:sz w:val="22"/>
          <w:szCs w:val="22"/>
          <w:lang w:val="en-US"/>
        </w:rPr>
        <w:t>p</w:t>
      </w:r>
      <w:r>
        <w:rPr>
          <w:rStyle w:val="NoneA"/>
          <w:rFonts w:ascii="Arial" w:hAnsi="Arial"/>
          <w:sz w:val="22"/>
          <w:szCs w:val="22"/>
          <w:lang w:val="en-US"/>
        </w:rPr>
        <w:t>-values &lt;&lt; 0.001) (Fig. 5C). This included D-fructose (Streptomycin;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OD</w:t>
      </w:r>
      <w:r>
        <w:rPr>
          <w:rStyle w:val="NoneA"/>
          <w:rFonts w:ascii="Arial" w:hAnsi="Arial"/>
          <w:sz w:val="22"/>
          <w:szCs w:val="22"/>
          <w:vertAlign w:val="subscript"/>
          <w:lang w:val="en-US"/>
        </w:rPr>
        <w:t xml:space="preserve">600 </w:t>
      </w:r>
      <w:r>
        <w:rPr>
          <w:rStyle w:val="NoneA"/>
          <w:rFonts w:ascii="Arial" w:hAnsi="Arial"/>
          <w:sz w:val="22"/>
          <w:szCs w:val="22"/>
          <w:lang w:val="en-US"/>
        </w:rPr>
        <w:t>= 0.888), N-acetylneuraminate (Germ-free;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0.556). Interestingly, the growth curve for D-sorbitol (Streptomycin) showed no difference over the negative controls. These results further support the importance scores and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Discussion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Our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occupies separate nutrient niches across susceptible gut environments based on which substrates are available. Both </w:t>
      </w:r>
      <w:r>
        <w:rPr>
          <w:rStyle w:val="NoneA"/>
          <w:rFonts w:ascii="Arial" w:hAnsi="Arial"/>
          <w:i/>
          <w:iCs/>
          <w:sz w:val="22"/>
          <w:szCs w:val="22"/>
          <w:lang w:val="en-US"/>
        </w:rPr>
        <w:t>in vivo</w:t>
      </w:r>
      <w:r>
        <w:rPr>
          <w:rStyle w:val="NoneA"/>
          <w:rFonts w:ascii="Arial" w:hAnsi="Arial"/>
          <w:sz w:val="22"/>
          <w:szCs w:val="22"/>
          <w:lang w:val="en-US"/>
        </w:rPr>
        <w:t xml:space="preserve"> and </w:t>
      </w:r>
      <w:r>
        <w:rPr>
          <w:rStyle w:val="NoneA"/>
          <w:rFonts w:ascii="Arial" w:hAnsi="Arial"/>
          <w:i/>
          <w:iCs/>
          <w:sz w:val="22"/>
          <w:szCs w:val="22"/>
          <w:lang w:val="en-US"/>
        </w:rPr>
        <w:t xml:space="preserve">in vitro </w:t>
      </w:r>
      <w:r>
        <w:rPr>
          <w:rStyle w:val="NoneA"/>
          <w:rFonts w:ascii="Arial" w:hAnsi="Arial"/>
          <w:sz w:val="22"/>
          <w:szCs w:val="22"/>
          <w:lang w:val="en-US"/>
        </w:rPr>
        <w:t xml:space="preserve">data support that </w:t>
      </w:r>
      <w:r>
        <w:rPr>
          <w:rStyle w:val="NoneA"/>
          <w:rFonts w:ascii="Arial" w:hAnsi="Arial"/>
          <w:i/>
          <w:iCs/>
          <w:sz w:val="22"/>
          <w:szCs w:val="22"/>
          <w:lang w:val="en-US"/>
        </w:rPr>
        <w:t>C. difficile</w:t>
      </w:r>
      <w:r>
        <w:rPr>
          <w:rStyle w:val="NoneA"/>
          <w:rFonts w:ascii="Arial" w:hAnsi="Arial"/>
          <w:sz w:val="22"/>
          <w:szCs w:val="22"/>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Style w:val="NoneA"/>
          <w:rFonts w:ascii="Arial" w:hAnsi="Arial"/>
          <w:i/>
          <w:iCs/>
          <w:sz w:val="22"/>
          <w:szCs w:val="22"/>
          <w:lang w:val="en-US"/>
        </w:rPr>
        <w:t>C. difficile</w:t>
      </w:r>
      <w:r>
        <w:rPr>
          <w:rStyle w:val="NoneA"/>
          <w:rFonts w:ascii="Arial" w:hAnsi="Arial"/>
          <w:sz w:val="22"/>
          <w:szCs w:val="22"/>
          <w:lang w:val="en-US"/>
        </w:rPr>
        <w:t xml:space="preserve"> in each of condition. By directly examining the transcription of specific metabolic pathways, we were able to gain a greater understanding of the plasticity that </w:t>
      </w:r>
      <w:r>
        <w:rPr>
          <w:rStyle w:val="NoneA"/>
          <w:rFonts w:ascii="Arial" w:hAnsi="Arial"/>
          <w:i/>
          <w:iCs/>
          <w:sz w:val="22"/>
          <w:szCs w:val="22"/>
          <w:lang w:val="en-US"/>
        </w:rPr>
        <w:t>C. difficile</w:t>
      </w:r>
      <w:r>
        <w:rPr>
          <w:rStyle w:val="NoneA"/>
          <w:rFonts w:ascii="Arial" w:hAnsi="Arial"/>
          <w:sz w:val="22"/>
          <w:szCs w:val="22"/>
          <w:lang w:val="en-US"/>
        </w:rPr>
        <w:t xml:space="preserve"> possesses for nutrient utilization.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lang w:val="en-US"/>
        </w:rPr>
        <w:t>spo0A</w:t>
      </w:r>
      <w:r>
        <w:rPr>
          <w:rStyle w:val="NoneA"/>
          <w:rFonts w:ascii="Arial" w:hAnsi="Arial"/>
          <w:sz w:val="22"/>
          <w:szCs w:val="22"/>
          <w:lang w:val="en-US"/>
        </w:rPr>
        <w:t xml:space="preserve">, which was consistently highly expressed, </w:t>
      </w:r>
      <w:r>
        <w:rPr>
          <w:rStyle w:val="NoneA"/>
          <w:rFonts w:ascii="Arial" w:hAnsi="Arial"/>
          <w:i/>
          <w:iCs/>
          <w:sz w:val="22"/>
          <w:szCs w:val="22"/>
          <w:lang w:val="en-US"/>
        </w:rPr>
        <w:t>spo</w:t>
      </w:r>
      <w:r>
        <w:rPr>
          <w:rStyle w:val="NoneA"/>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lang w:val="en-US"/>
        </w:rPr>
        <w:t>C. difficile</w:t>
      </w:r>
      <w:r>
        <w:rPr>
          <w:rStyle w:val="NoneA"/>
          <w:rFonts w:ascii="Arial" w:hAnsi="Arial"/>
          <w:sz w:val="22"/>
          <w:szCs w:val="22"/>
          <w:lang w:val="en-US"/>
        </w:rPr>
        <w:t xml:space="preserve"> has begun its final phase before transmission either other antibiotic group. In addition to lifestyle associated genes, </w:t>
      </w:r>
      <w:r>
        <w:rPr>
          <w:rStyle w:val="NoneA"/>
          <w:rFonts w:ascii="Arial" w:hAnsi="Arial"/>
          <w:i/>
          <w:iCs/>
          <w:sz w:val="22"/>
          <w:szCs w:val="22"/>
          <w:lang w:val="en-US"/>
        </w:rPr>
        <w:t>C. difficile</w:t>
      </w:r>
      <w:r>
        <w:rPr>
          <w:rStyle w:val="NoneA"/>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Style w:val="NoneA"/>
          <w:rFonts w:ascii="Arial" w:hAnsi="Arial"/>
          <w:i/>
          <w:iCs/>
          <w:sz w:val="22"/>
          <w:szCs w:val="22"/>
          <w:lang w:val="en-US"/>
        </w:rPr>
        <w:t>C. difficile</w:t>
      </w:r>
      <w:r>
        <w:rPr>
          <w:rStyle w:val="NoneA"/>
          <w:rFonts w:ascii="Arial" w:hAnsi="Arial"/>
          <w:sz w:val="22"/>
          <w:szCs w:val="22"/>
          <w:lang w:val="en-US"/>
        </w:rPr>
        <w:t xml:space="preserve"> displayed increased relative abundance in gene expression associated with catabolizing monosaccharides and simple sugar alcohols. </w:t>
      </w:r>
      <w:r>
        <w:rPr>
          <w:rStyle w:val="NoneA"/>
          <w:rFonts w:ascii="Arial" w:hAnsi="Arial"/>
          <w:i/>
          <w:iCs/>
          <w:sz w:val="22"/>
          <w:szCs w:val="22"/>
          <w:lang w:val="en-US"/>
        </w:rPr>
        <w:t>C. difficile</w:t>
      </w:r>
      <w:r>
        <w:rPr>
          <w:rStyle w:val="NoneA"/>
          <w:rFonts w:ascii="Arial" w:hAnsi="Arial"/>
          <w:sz w:val="22"/>
          <w:szCs w:val="22"/>
          <w:lang w:val="en-US"/>
        </w:rPr>
        <w:t xml:space="preserve"> expression in the clindamycin treated animals seemed to favor fermentation of polysaccharides. These differences could signify a focus in nutrient catabolism for </w:t>
      </w:r>
      <w:r>
        <w:rPr>
          <w:rStyle w:val="NoneA"/>
          <w:rFonts w:ascii="Arial" w:hAnsi="Arial"/>
          <w:i/>
          <w:iCs/>
          <w:sz w:val="22"/>
          <w:szCs w:val="22"/>
          <w:lang w:val="en-US"/>
        </w:rPr>
        <w:t>C. difficile</w:t>
      </w:r>
      <w:r>
        <w:rPr>
          <w:rStyle w:val="NoneA"/>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A"/>
          <w:rFonts w:ascii="Arial" w:hAnsi="Arial"/>
          <w:i/>
          <w:iCs/>
          <w:sz w:val="22"/>
          <w:szCs w:val="22"/>
          <w:lang w:val="en-US"/>
        </w:rPr>
        <w:t>C. difficile</w:t>
      </w:r>
      <w:r>
        <w:rPr>
          <w:rStyle w:val="NoneA"/>
          <w:rFonts w:ascii="Arial" w:hAnsi="Arial"/>
          <w:sz w:val="22"/>
          <w:szCs w:val="22"/>
          <w:lang w:val="en-US"/>
        </w:rPr>
        <w:t xml:space="preserve"> lacks (Sebaihia, 2006).</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Metabolic modeling results from both cefoperazone and streptomycin-treated mice indicated carbohydrates, known to be </w:t>
      </w:r>
      <w:r>
        <w:rPr>
          <w:rStyle w:val="NoneA"/>
          <w:rFonts w:ascii="Arial" w:hAnsi="Arial"/>
          <w:i/>
          <w:iCs/>
          <w:sz w:val="22"/>
          <w:szCs w:val="22"/>
          <w:lang w:val="en-US"/>
        </w:rPr>
        <w:t>C. difficile</w:t>
      </w:r>
      <w:r>
        <w:rPr>
          <w:rStyle w:val="NoneA"/>
          <w:rFonts w:ascii="Arial" w:hAnsi="Arial"/>
          <w:sz w:val="22"/>
          <w:szCs w:val="22"/>
          <w:lang w:val="en-US"/>
        </w:rPr>
        <w:t xml:space="preserve"> growth nutrients,</w:t>
      </w:r>
      <w:r>
        <w:rPr>
          <w:lang w:val="en-US"/>
        </w:rPr>
        <w:t xml:space="preserve"> </w:t>
      </w:r>
      <w:r>
        <w:rPr>
          <w:rStyle w:val="NoneA"/>
          <w:rFonts w:ascii="Arial" w:hAnsi="Arial"/>
          <w:sz w:val="22"/>
          <w:szCs w:val="22"/>
          <w:lang w:val="en-US"/>
        </w:rPr>
        <w:t xml:space="preserve">are preferred in these conditions and are also enriched </w:t>
      </w:r>
      <w:r>
        <w:rPr>
          <w:rStyle w:val="NoneA"/>
          <w:rFonts w:ascii="Arial" w:hAnsi="Arial"/>
          <w:i/>
          <w:iCs/>
          <w:sz w:val="22"/>
          <w:szCs w:val="22"/>
          <w:lang w:val="en-US"/>
        </w:rPr>
        <w:t>in vivo</w:t>
      </w:r>
      <w:r>
        <w:rPr>
          <w:rStyle w:val="NoneA"/>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A"/>
          <w:rFonts w:ascii="Arial" w:hAnsi="Arial"/>
          <w:i/>
          <w:iCs/>
          <w:sz w:val="22"/>
          <w:szCs w:val="22"/>
          <w:lang w:val="en-US"/>
        </w:rPr>
        <w:t>C. difficile</w:t>
      </w:r>
      <w:r>
        <w:rPr>
          <w:rStyle w:val="NoneA"/>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Style w:val="NoneA"/>
          <w:rFonts w:ascii="Arial" w:hAnsi="Arial"/>
          <w:i/>
          <w:iCs/>
          <w:sz w:val="22"/>
          <w:szCs w:val="22"/>
          <w:lang w:val="en-US"/>
        </w:rPr>
        <w:t>increase</w:t>
      </w:r>
      <w:r>
        <w:rPr>
          <w:rStyle w:val="NoneA"/>
          <w:rFonts w:ascii="Arial" w:hAnsi="Arial"/>
          <w:sz w:val="22"/>
          <w:szCs w:val="22"/>
          <w:lang w:val="en-US"/>
        </w:rPr>
        <w:t xml:space="preserve"> severity of CDI symptoms in mice (Trindade, 2016). Network analysis also supports that</w:t>
      </w:r>
      <w:r>
        <w:rPr>
          <w:lang w:val="en-US"/>
        </w:rPr>
        <w:t xml:space="preserve"> </w:t>
      </w:r>
      <w:r>
        <w:rPr>
          <w:rStyle w:val="NoneA"/>
          <w:rFonts w:ascii="Arial" w:hAnsi="Arial"/>
          <w:sz w:val="22"/>
          <w:szCs w:val="22"/>
          <w:lang w:val="en-US"/>
        </w:rPr>
        <w:t xml:space="preserve">in germ free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N-acetylneuraminic acid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A"/>
          <w:rFonts w:ascii="Arial" w:hAnsi="Arial"/>
          <w:i/>
          <w:iCs/>
          <w:sz w:val="22"/>
          <w:szCs w:val="22"/>
          <w:lang w:val="en-US"/>
        </w:rPr>
        <w:t>C. difficile</w:t>
      </w:r>
      <w:r>
        <w:rPr>
          <w:rStyle w:val="NoneA"/>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Many of the top scoring compounds appear to be associated with both fermentation and glycolysis, suggesting that these forms of </w:t>
      </w:r>
      <w:r>
        <w:rPr>
          <w:rStyle w:val="NoneA"/>
          <w:rFonts w:ascii="Arial" w:hAnsi="Arial"/>
          <w:i/>
          <w:iCs/>
          <w:sz w:val="22"/>
          <w:szCs w:val="22"/>
          <w:lang w:val="en-US"/>
        </w:rPr>
        <w:t>C. difficile</w:t>
      </w:r>
      <w:r>
        <w:rPr>
          <w:rStyle w:val="NoneA"/>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(Theriot, 2013). It was also shown that fructose is significantly increased in streptomycin-treated mice and would be available to </w:t>
      </w:r>
      <w:r>
        <w:rPr>
          <w:rStyle w:val="NoneA"/>
          <w:rFonts w:ascii="Arial" w:hAnsi="Arial"/>
          <w:i/>
          <w:iCs/>
          <w:sz w:val="22"/>
          <w:szCs w:val="22"/>
          <w:lang w:val="en-US"/>
        </w:rPr>
        <w:t>C. difficile</w:t>
      </w:r>
      <w:r>
        <w:rPr>
          <w:rStyle w:val="NoneA"/>
          <w:rFonts w:ascii="Arial" w:hAnsi="Arial"/>
          <w:sz w:val="22"/>
          <w:szCs w:val="22"/>
          <w:lang w:val="en-US"/>
        </w:rPr>
        <w:t xml:space="preserve"> (Antunes, 2011). Although salicin was not directly assayed for in clindamycin-treated mice, there was a significant increase in 2-hydroxybutryate (a byproduct of salicin</w:t>
      </w:r>
      <w:r>
        <w:rPr>
          <w:lang w:val="en-US"/>
        </w:rPr>
        <w:t xml:space="preserve"> </w:t>
      </w:r>
      <w:r>
        <w:rPr>
          <w:rStyle w:val="NoneA"/>
          <w:rFonts w:ascii="Arial" w:hAnsi="Arial"/>
          <w:sz w:val="22"/>
          <w:szCs w:val="22"/>
          <w:lang w:val="en-US"/>
        </w:rPr>
        <w:t xml:space="preserve">metabolism) 24 hours following </w:t>
      </w:r>
      <w:r>
        <w:rPr>
          <w:rStyle w:val="NoneA"/>
          <w:rFonts w:ascii="Arial" w:hAnsi="Arial"/>
          <w:i/>
          <w:iCs/>
          <w:sz w:val="22"/>
          <w:szCs w:val="22"/>
          <w:lang w:val="en-US"/>
        </w:rPr>
        <w:t>C. difficile</w:t>
      </w:r>
      <w:r>
        <w:rPr>
          <w:rStyle w:val="NoneA"/>
          <w:rFonts w:ascii="Arial" w:hAnsi="Arial"/>
          <w:sz w:val="22"/>
          <w:szCs w:val="22"/>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when colonizing different environments.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light of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unique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A"/>
          <w:rFonts w:ascii="Arial" w:hAnsi="Arial"/>
          <w:i/>
          <w:iCs/>
          <w:sz w:val="22"/>
          <w:szCs w:val="22"/>
          <w:lang w:val="en-US"/>
        </w:rPr>
        <w:t>C. difficile</w:t>
      </w:r>
      <w:r>
        <w:rPr>
          <w:rStyle w:val="NoneA"/>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A"/>
          <w:rFonts w:ascii="Arial" w:hAnsi="Arial"/>
          <w:i/>
          <w:iCs/>
          <w:sz w:val="22"/>
          <w:szCs w:val="22"/>
          <w:lang w:val="en-US"/>
        </w:rPr>
        <w:t>C. difficile</w:t>
      </w:r>
      <w:r>
        <w:rPr>
          <w:rStyle w:val="NoneA"/>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A"/>
          <w:rFonts w:ascii="Arial" w:hAnsi="Arial"/>
          <w:i/>
          <w:iCs/>
          <w:sz w:val="22"/>
          <w:szCs w:val="22"/>
          <w:lang w:val="en-US"/>
        </w:rPr>
        <w:t>C. difficile</w:t>
      </w:r>
      <w:r>
        <w:rPr>
          <w:rStyle w:val="NoneA"/>
          <w:rFonts w:ascii="Arial" w:hAnsi="Arial"/>
          <w:sz w:val="22"/>
          <w:szCs w:val="22"/>
          <w:lang w:val="en-US"/>
        </w:rPr>
        <w:t xml:space="preserve">.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The known Stickland fermentation pathway in </w:t>
      </w:r>
      <w:r>
        <w:rPr>
          <w:rStyle w:val="NoneA"/>
          <w:rFonts w:ascii="Arial" w:hAnsi="Arial"/>
          <w:i/>
          <w:iCs/>
          <w:sz w:val="22"/>
          <w:szCs w:val="22"/>
          <w:lang w:val="en-US"/>
        </w:rPr>
        <w:t>C. difficile</w:t>
      </w:r>
      <w:r>
        <w:rPr>
          <w:rStyle w:val="NoneA"/>
          <w:rFonts w:ascii="Arial" w:hAnsi="Arial"/>
          <w:sz w:val="22"/>
          <w:szCs w:val="22"/>
          <w:lang w:val="en-US"/>
        </w:rPr>
        <w:t xml:space="preserve"> couples the oxidation and reduction of proline an glycine to generate ATP (Neumann-Schaal, 2015). Transcription of specifically the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prd</w:t>
      </w:r>
      <w:r>
        <w:rPr>
          <w:rStyle w:val="NoneA"/>
          <w:rFonts w:ascii="Arial" w:hAnsi="Arial"/>
          <w:sz w:val="22"/>
          <w:szCs w:val="22"/>
          <w:lang w:val="en-US"/>
        </w:rPr>
        <w:t xml:space="preserve"> operons indicates that both proline and glycine are present and the associated metabolic pathways have most likely been activated (Bouillaut, 2013).</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Unicode MS" w:cs="Arial Unicode MS" w:ascii="Arial Unicode MS" w:hAnsi="Arial Unicode MS"/>
          <w:sz w:val="22"/>
          <w:szCs w:val="22"/>
        </w:rPr>
        <w:br/>
      </w:r>
      <w:r>
        <w:rPr>
          <w:rStyle w:val="NoneA"/>
          <w:rFonts w:ascii="Arial" w:hAnsi="Arial"/>
          <w:sz w:val="22"/>
          <w:szCs w:val="22"/>
          <w:lang w:val="en-US"/>
        </w:rPr>
        <w:t>p-cresol being produced to negatively impact surrounding community</w:t>
      </w:r>
    </w:p>
    <w:p>
      <w:pPr>
        <w:pStyle w:val="Default"/>
        <w:shd w:val="clear" w:color="auto" w:fill="FFFFFF"/>
        <w:spacing w:lineRule="auto" w:line="480"/>
        <w:jc w:val="both"/>
        <w:rPr/>
      </w:pPr>
      <w:r>
        <w:rPr>
          <w:lang w:val="en-US"/>
        </w:rPr>
        <w:t xml:space="preserve">Selmer, T., &amp; Andrei, P. I. (2001). p-hydroxyphenylacetate decarboxylase from Clostridium difficile: A novel glycyl radical enzyme catalysing the formation of p-cresol. European Journal of Biochemistry, 268(5), 1363–1372. </w:t>
      </w:r>
      <w:hyperlink r:id="rId6">
        <w:r>
          <w:rPr>
            <w:rStyle w:val="Hyperlink0"/>
            <w:lang w:val="en-US"/>
          </w:rPr>
          <w:t>http://doi.org/10.1046/j.1432-1327.2001.02001.x</w:t>
        </w:r>
      </w:hyperlink>
    </w:p>
    <w:p>
      <w:pPr>
        <w:pStyle w:val="Default"/>
        <w:shd w:val="clear" w:color="auto" w:fill="FFFFFF"/>
        <w:spacing w:lineRule="auto" w:line="480"/>
        <w:jc w:val="both"/>
        <w:rPr/>
      </w:pPr>
      <w:r>
        <w:rPr/>
      </w:r>
    </w:p>
    <w:p>
      <w:pPr>
        <w:pStyle w:val="Default"/>
        <w:shd w:val="clear" w:color="auto" w:fill="FFFFFF"/>
        <w:spacing w:lineRule="auto" w:line="480"/>
        <w:rPr/>
      </w:pPr>
      <w:r>
        <w:rPr>
          <w:rStyle w:val="NoneA"/>
          <w:rFonts w:ascii="Arial" w:hAnsi="Arial"/>
          <w:sz w:val="22"/>
          <w:szCs w:val="22"/>
          <w:lang w:val="en-US"/>
        </w:rPr>
        <w:t>cdf:CD630_01550</w:t>
        <w:tab/>
        <w:t>4-hydroxyphenylacetate decarboxylase, activating subunit HpdA</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Given that many of the differences in expression dynamics seen may also be due to variations in bacterial quorum sensing, we went on to measure transcription of known quorum sensing genes in </w:t>
      </w:r>
      <w:r>
        <w:rPr>
          <w:rStyle w:val="NoneA"/>
          <w:rFonts w:ascii="Arial" w:hAnsi="Arial"/>
          <w:i/>
          <w:iCs/>
          <w:sz w:val="22"/>
          <w:szCs w:val="22"/>
          <w:lang w:val="en-US"/>
        </w:rPr>
        <w:t>C. difficile</w:t>
      </w:r>
      <w:r>
        <w:rPr>
          <w:rStyle w:val="NoneA"/>
          <w:rFonts w:ascii="Arial" w:hAnsi="Arial"/>
          <w:sz w:val="22"/>
          <w:szCs w:val="22"/>
          <w:lang w:val="en-US"/>
        </w:rPr>
        <w:t xml:space="preserve"> (Fig. 3D). These systems have been linked to the lifestyle switch from growth/division to virulence/transmission of </w:t>
      </w:r>
      <w:r>
        <w:rPr>
          <w:rStyle w:val="NoneA"/>
          <w:rFonts w:ascii="Arial" w:hAnsi="Arial"/>
          <w:i/>
          <w:iCs/>
          <w:sz w:val="22"/>
          <w:szCs w:val="22"/>
          <w:lang w:val="en-US"/>
        </w:rPr>
        <w:t>C. difficile</w:t>
      </w:r>
      <w:r>
        <w:rPr>
          <w:rStyle w:val="NoneA"/>
          <w:rFonts w:ascii="Arial" w:hAnsi="Arial"/>
          <w:sz w:val="22"/>
          <w:szCs w:val="22"/>
          <w:lang w:val="en-US"/>
        </w:rPr>
        <w:t xml:space="preserve"> (Darkoh, 2015; Carter, 2005). Transcripts for </w:t>
      </w:r>
      <w:r>
        <w:rPr>
          <w:rStyle w:val="NoneA"/>
          <w:rFonts w:ascii="Arial" w:hAnsi="Arial"/>
          <w:i/>
          <w:iCs/>
          <w:sz w:val="22"/>
          <w:szCs w:val="22"/>
          <w:lang w:val="en-US"/>
        </w:rPr>
        <w:t>agrB</w:t>
      </w:r>
      <w:r>
        <w:rPr>
          <w:rStyle w:val="NoneA"/>
          <w:rFonts w:ascii="Arial" w:hAnsi="Arial"/>
          <w:sz w:val="22"/>
          <w:szCs w:val="22"/>
          <w:lang w:val="en-US"/>
        </w:rPr>
        <w:t xml:space="preserve">, </w:t>
      </w:r>
      <w:r>
        <w:rPr>
          <w:rStyle w:val="NoneA"/>
          <w:rFonts w:ascii="Arial" w:hAnsi="Arial"/>
          <w:i/>
          <w:iCs/>
          <w:sz w:val="22"/>
          <w:szCs w:val="22"/>
          <w:lang w:val="en-US"/>
        </w:rPr>
        <w:t>agrD</w:t>
      </w:r>
      <w:r>
        <w:rPr>
          <w:rStyle w:val="NoneA"/>
          <w:rFonts w:ascii="Arial" w:hAnsi="Arial"/>
          <w:sz w:val="22"/>
          <w:szCs w:val="22"/>
          <w:lang w:val="en-US"/>
        </w:rPr>
        <w:t xml:space="preserve">, and </w:t>
      </w:r>
      <w:r>
        <w:rPr>
          <w:rStyle w:val="NoneA"/>
          <w:rFonts w:ascii="Arial" w:hAnsi="Arial"/>
          <w:i/>
          <w:iCs/>
          <w:sz w:val="22"/>
          <w:szCs w:val="22"/>
          <w:lang w:val="en-US"/>
        </w:rPr>
        <w:t>luxS</w:t>
      </w:r>
      <w:r>
        <w:rPr>
          <w:rStyle w:val="NoneA"/>
          <w:rFonts w:ascii="Arial" w:hAnsi="Arial"/>
          <w:sz w:val="22"/>
          <w:szCs w:val="22"/>
          <w:lang w:val="en-US"/>
        </w:rPr>
        <w:t xml:space="preserve"> were found at nearly equivalent levels across all antibiotic pretreatments. This illustrated that the observed changes in phenotype and expression may not be directly due to changes in the levels of </w:t>
      </w:r>
      <w:r>
        <w:rPr>
          <w:rStyle w:val="NoneA"/>
          <w:rFonts w:ascii="Arial" w:hAnsi="Arial"/>
          <w:i/>
          <w:iCs/>
          <w:sz w:val="22"/>
          <w:szCs w:val="22"/>
          <w:lang w:val="en-US"/>
        </w:rPr>
        <w:t>C. difficile</w:t>
      </w:r>
      <w:r>
        <w:rPr>
          <w:rStyle w:val="NoneA"/>
          <w:rFonts w:ascii="Arial" w:hAnsi="Arial"/>
          <w:sz w:val="22"/>
          <w:szCs w:val="22"/>
          <w:lang w:val="en-US"/>
        </w:rPr>
        <w:t xml:space="preserve"> quorum sensing occurring.</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color="auto"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Rule="auto" w:line="480"/>
        <w:jc w:val="both"/>
        <w:rPr>
          <w:rStyle w:val="NoneA"/>
          <w:rFonts w:ascii="Arial" w:hAnsi="Arial"/>
          <w:sz w:val="22"/>
          <w:szCs w:val="22"/>
          <w:lang w:val="en-US"/>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Measurement of residual antibiotics in cecal content.</w:t>
      </w:r>
      <w:r>
        <w:rPr>
          <w:rStyle w:val="NoneA"/>
          <w:rFonts w:ascii="Arial" w:hAnsi="Arial"/>
          <w:sz w:val="22"/>
          <w:szCs w:val="22"/>
          <w:lang w:val="en-US"/>
        </w:rPr>
        <w:t xml:space="preserve">  Disk diffusion assays were performed using separate, newly plated lawns of </w:t>
      </w:r>
      <w:r>
        <w:rPr>
          <w:rStyle w:val="NoneA"/>
          <w:rFonts w:ascii="Arial" w:hAnsi="Arial"/>
          <w:i/>
          <w:iCs/>
          <w:sz w:val="22"/>
          <w:szCs w:val="22"/>
          <w:lang w:val="en-US"/>
        </w:rPr>
        <w:t>Clostridium difficile</w:t>
      </w:r>
      <w:r>
        <w:rPr>
          <w:rStyle w:val="NoneA"/>
          <w:rFonts w:ascii="Arial" w:hAnsi="Arial"/>
          <w:sz w:val="22"/>
          <w:szCs w:val="22"/>
          <w:lang w:val="en-US"/>
        </w:rPr>
        <w:t xml:space="preserve"> str. 630 and </w:t>
      </w:r>
      <w:r>
        <w:rPr>
          <w:rStyle w:val="NoneA"/>
          <w:rFonts w:ascii="Arial" w:hAnsi="Arial"/>
          <w:i/>
          <w:iCs/>
          <w:sz w:val="22"/>
          <w:szCs w:val="22"/>
          <w:lang w:val="en-US"/>
        </w:rPr>
        <w:t>Bifidobacterium longum</w:t>
      </w:r>
      <w:r>
        <w:rPr>
          <w:rStyle w:val="NoneA"/>
          <w:rFonts w:ascii="Arial" w:hAnsi="Arial"/>
          <w:sz w:val="22"/>
          <w:szCs w:val="22"/>
          <w:lang w:val="en-US"/>
        </w:rPr>
        <w:t xml:space="preserve"> subspec. </w:t>
      </w:r>
      <w:r>
        <w:rPr>
          <w:rStyle w:val="NoneA"/>
          <w:rFonts w:ascii="Arial" w:hAnsi="Arial"/>
          <w:i/>
          <w:iCs/>
          <w:sz w:val="22"/>
          <w:szCs w:val="22"/>
          <w:lang w:val="en-US"/>
        </w:rPr>
        <w:t>longum</w:t>
      </w:r>
      <w:r>
        <w:rPr>
          <w:rStyle w:val="NoneA"/>
          <w:rFonts w:ascii="Arial" w:hAnsi="Arial"/>
          <w:sz w:val="22"/>
          <w:szCs w:val="22"/>
          <w:lang w:val="en-US"/>
        </w:rPr>
        <w:t xml:space="preserve"> on BHIS agar. 500 μl of pooled cecal content within each treatment group were anaerobically centrifuged at 1,000 rpm for 5 minutes.  Sterile filter papers disks were then soaked with 20 μl supernatant from spun cecal content and added to plated bacteria in triplicate. Plates were anaerobically incubated overnight at 37° C and zones of inhibition were measured the following day (Fig. S3).</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7">
        <w:r>
          <w:rPr>
            <w:rStyle w:val="Hyperlink1"/>
            <w:lang w:val="en-US"/>
          </w:rPr>
          <w:t>https://github.com/jlleslie/Intraspecific_Competition/blob/master/methods/Verocell_ToxinActivity_Assa</w:t>
        </w:r>
      </w:hyperlink>
      <w:hyperlink r:id="rId8">
        <w:r>
          <w:rPr>
            <w:rStyle w:val="Hyperlink1"/>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Rule="auto" w:line="480"/>
        <w:jc w:val="both"/>
        <w:rPr/>
      </w:pPr>
      <w:r>
        <w:rPr>
          <w:rStyle w:val="NoneA"/>
          <w:rFonts w:eastAsia="Arial" w:cs="Arial" w:ascii="Arial" w:hAnsi="Arial"/>
          <w:sz w:val="22"/>
          <w:szCs w:val="22"/>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9">
        <w:r>
          <w:rPr>
            <w:rStyle w:val="Hyperlink2"/>
            <w:lang w:val="en-US"/>
          </w:rPr>
          <w:t>https://github.com/SchlossLab/Jenior_Transcriptomics_2015/blob/master/doc/wetlab_protocol.txt</w:t>
        </w:r>
      </w:hyperlink>
    </w:p>
    <w:p>
      <w:pPr>
        <w:pStyle w:val="Default"/>
        <w:shd w:val="clear" w:color="auto"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10">
        <w:r>
          <w:rPr>
            <w:rStyle w:val="Hyperlink2"/>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hyperlink r:id="rId11">
        <w:r>
          <w:rPr>
            <w:rStyle w:val="Hyperlink2"/>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Bipartite Metabolic Modeling.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Rule="auto" w:line="480"/>
        <w:jc w:val="both"/>
        <w:rPr/>
      </w:pPr>
      <w:r>
        <w:rPr>
          <w:rStyle w:val="NoneA"/>
          <w:rFonts w:eastAsia="Arial" w:cs="Arial" w:ascii="Arial" w:hAnsi="Arial"/>
          <w:sz w:val="22"/>
          <w:szCs w:val="22"/>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hyperlink r:id="rId12">
        <w:r>
          <w:rPr>
            <w:rStyle w:val="Hyperlink2"/>
            <w:lang w:val="en-US"/>
          </w:rPr>
          <w:t>https://github.com/mjenior/bigsmall</w:t>
        </w:r>
      </w:hyperlink>
      <w:r>
        <w:rPr>
          <w:rStyle w:val="NoneA"/>
          <w:rFonts w:ascii="Arial" w:hAnsi="Arial"/>
          <w:sz w:val="22"/>
          <w:szCs w:val="2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To calculate substrate importance, we used rarefied transcriptomic abundances mapped to their respective enzymes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NoneA"/>
          <w:rFonts w:ascii="Arial" w:hAnsi="Arial"/>
          <w:sz w:val="22"/>
          <w:szCs w:val="2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NoneA"/>
          <w:rFonts w:ascii="Arial" w:hAnsi="Arial"/>
          <w:sz w:val="22"/>
          <w:szCs w:val="22"/>
          <w:lang w:val="en-US"/>
        </w:rPr>
        <w:t>), representing the reactions they mediate that either create or utilize the substrate (</w:t>
      </w:r>
      <w:r>
        <w:rPr>
          <w:rStyle w:val="NoneA"/>
          <w:rFonts w:ascii="Arial" w:hAnsi="Arial"/>
          <w:b/>
          <w:bCs/>
          <w:sz w:val="22"/>
          <w:szCs w:val="22"/>
          <w:lang w:val="en-US"/>
        </w:rPr>
        <w:t>s</w:t>
      </w:r>
      <w:r>
        <w:rPr>
          <w:rStyle w:val="NoneA"/>
          <w:rFonts w:ascii="Arial" w:hAnsi="Arial"/>
          <w:sz w:val="22"/>
          <w:szCs w:val="22"/>
          <w:lang w:val="en-US"/>
        </w:rPr>
        <w:t>). The sum is then taken of transcript abundances for enzyme nodes that connect with a given substrate node with the same direction edge (</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NoneA"/>
          <w:rFonts w:ascii="Arial" w:hAnsi="Arial"/>
          <w:sz w:val="22"/>
          <w:szCs w:val="2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NoneA"/>
          <w:rFonts w:ascii="Arial" w:hAnsi="Arial"/>
          <w:sz w:val="22"/>
          <w:szCs w:val="22"/>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sz w:val="22"/>
          <w:szCs w:val="22"/>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Mathematical validation of metabolite importance scores. </w:t>
      </w:r>
      <w:r>
        <w:rPr>
          <w:rStyle w:val="NoneA"/>
          <w:rFonts w:ascii="Arial" w:hAnsi="Arial"/>
          <w:sz w:val="22"/>
          <w:szCs w:val="22"/>
          <w:lang w:val="en-US"/>
        </w:rPr>
        <w:t xml:space="preserve">As sequencing replicates of </w:t>
      </w:r>
      <w:r>
        <w:rPr>
          <w:rStyle w:val="NoneA"/>
          <w:rFonts w:ascii="Arial" w:hAnsi="Arial"/>
          <w:i/>
          <w:iCs/>
          <w:sz w:val="22"/>
          <w:szCs w:val="22"/>
          <w:lang w:val="en-US"/>
        </w:rPr>
        <w:t>in vivo</w:t>
      </w:r>
      <w:r>
        <w:rPr>
          <w:rStyle w:val="NoneA"/>
          <w:rFonts w:ascii="Arial" w:hAnsi="Arial"/>
          <w:sz w:val="22"/>
          <w:szCs w:val="22"/>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NoneA"/>
          <w:rFonts w:ascii="Arial" w:hAnsi="Arial"/>
          <w:sz w:val="22"/>
          <w:szCs w:val="22"/>
          <w:lang w:val="en-US"/>
        </w:rPr>
        <w:t xml:space="preserve">The carbon-free variation of </w:t>
      </w:r>
      <w:r>
        <w:rPr>
          <w:rStyle w:val="NoneA"/>
          <w:rFonts w:ascii="Arial" w:hAnsi="Arial"/>
          <w:i/>
          <w:iCs/>
          <w:sz w:val="22"/>
          <w:szCs w:val="22"/>
          <w:lang w:val="en-US"/>
        </w:rPr>
        <w:t>C. difficile</w:t>
      </w:r>
      <w:r>
        <w:rPr>
          <w:rStyle w:val="NoneA"/>
          <w:rFonts w:ascii="Arial" w:hAnsi="Arial"/>
          <w:sz w:val="22"/>
          <w:szCs w:val="22"/>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All culturing and growth measurement were performed anaerobically in a Coy Type B Vinyl Anaerobic Chamber (3.0% H, 5.0% CO</w:t>
      </w:r>
      <w:r>
        <w:rPr>
          <w:rStyle w:val="NoneA"/>
          <w:rFonts w:ascii="Arial" w:hAnsi="Arial"/>
          <w:sz w:val="22"/>
          <w:szCs w:val="22"/>
          <w:vertAlign w:val="subscript"/>
          <w:lang w:val="en-US"/>
        </w:rPr>
        <w:t>2</w:t>
      </w:r>
      <w:r>
        <w:rPr>
          <w:rStyle w:val="NoneA"/>
          <w:rFonts w:ascii="Arial" w:hAnsi="Arial"/>
          <w:sz w:val="22"/>
          <w:szCs w:val="22"/>
          <w:lang w:val="en-US"/>
        </w:rPr>
        <w:t xml:space="preserve">, 92.0% N, 0.0% O). </w:t>
      </w:r>
      <w:r>
        <w:rPr>
          <w:rStyle w:val="NoneA"/>
          <w:rFonts w:ascii="Arial" w:hAnsi="Arial"/>
          <w:i/>
          <w:iCs/>
          <w:sz w:val="22"/>
          <w:szCs w:val="22"/>
          <w:lang w:val="en-US"/>
        </w:rPr>
        <w:t>C. difficile</w:t>
      </w:r>
      <w:r>
        <w:rPr>
          <w:rStyle w:val="NoneA"/>
          <w:rFonts w:ascii="Arial" w:hAnsi="Arial"/>
          <w:sz w:val="22"/>
          <w:szCs w:val="22"/>
          <w:lang w:val="en-US"/>
        </w:rPr>
        <w:t xml:space="preserve"> str. 630 was grown for 14 hours at 37° C in 3 ml BHI + 0.5% cysteine. Cultures were then centrifuged at 2000 rpm for 5 minutes and resulting pellets were then washed twice with sterile, anaerobic 1x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NoneA"/>
          <w:rFonts w:ascii="Arial" w:hAnsi="Arial"/>
          <w:sz w:val="22"/>
          <w:szCs w:val="2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NoneA"/>
          <w:rFonts w:ascii="Arial" w:hAnsi="Arial"/>
          <w:sz w:val="22"/>
          <w:szCs w:val="2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Figure Legends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1 | Experimental time line for antibiotic treatment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w:t>
      </w:r>
      <w:r>
        <w:rPr>
          <w:rStyle w:val="NoneA"/>
          <w:rFonts w:ascii="Arial" w:hAnsi="Arial"/>
          <w:sz w:val="22"/>
          <w:szCs w:val="22"/>
          <w:lang w:val="en-US"/>
        </w:rPr>
        <w:t xml:space="preserve"> </w:t>
      </w:r>
      <w:r>
        <w:rPr>
          <w:rStyle w:val="NoneA"/>
          <w:rFonts w:ascii="Arial" w:hAnsi="Arial"/>
          <w:b/>
          <w:bCs/>
          <w:sz w:val="22"/>
          <w:szCs w:val="22"/>
          <w:lang w:val="en-US"/>
        </w:rPr>
        <w:t>(a)</w:t>
      </w:r>
      <w:r>
        <w:rPr>
          <w:rStyle w:val="NoneA"/>
          <w:rFonts w:ascii="Arial" w:hAnsi="Arial"/>
          <w:sz w:val="22"/>
          <w:szCs w:val="22"/>
          <w:lang w:val="en-US"/>
        </w:rPr>
        <w:t xml:space="preserve"> ad libitum. </w:t>
      </w:r>
      <w:r>
        <w:rPr>
          <w:rStyle w:val="NoneA"/>
          <w:rFonts w:ascii="Arial" w:hAnsi="Arial"/>
          <w:b/>
          <w:bCs/>
          <w:sz w:val="22"/>
          <w:szCs w:val="22"/>
          <w:lang w:val="en-US"/>
        </w:rPr>
        <w:t>(b)</w:t>
      </w:r>
      <w:r>
        <w:rPr>
          <w:rStyle w:val="NoneA"/>
          <w:rFonts w:ascii="Arial" w:hAnsi="Arial"/>
          <w:sz w:val="22"/>
          <w:szCs w:val="22"/>
          <w:lang w:val="en-US"/>
        </w:rPr>
        <w:t xml:space="preserve"> ip injection. </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phenotype quantification after 18 hours of infection. </w:t>
      </w:r>
      <w:r>
        <w:rPr>
          <w:rStyle w:val="NoneA"/>
          <w:rFonts w:ascii="Arial" w:hAnsi="Arial"/>
          <w:sz w:val="22"/>
          <w:szCs w:val="22"/>
          <w:lang w:val="en-US"/>
        </w:rPr>
        <w:t xml:space="preserve"> Nine mice per treatment group were infected with 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Dotted lines indicate the limit of detection for each assay. </w:t>
      </w:r>
      <w:r>
        <w:rPr>
          <w:rStyle w:val="NoneA"/>
          <w:rFonts w:ascii="Arial" w:hAnsi="Arial"/>
          <w:b/>
          <w:bCs/>
          <w:sz w:val="22"/>
          <w:szCs w:val="22"/>
          <w:lang w:val="en-US"/>
        </w:rPr>
        <w:t>(a)</w:t>
      </w:r>
      <w:r>
        <w:rPr>
          <w:rStyle w:val="NoneA"/>
          <w:rFonts w:ascii="Arial" w:hAnsi="Arial"/>
          <w:sz w:val="22"/>
          <w:szCs w:val="22"/>
          <w:lang w:val="en-US"/>
        </w:rPr>
        <w:t xml:space="preserve"> Toxin titer from cecal content measured by activity in Vero cell rounding assay. </w:t>
      </w:r>
      <w:r>
        <w:rPr>
          <w:rStyle w:val="NoneA"/>
          <w:rFonts w:ascii="Arial" w:hAnsi="Arial"/>
          <w:i/>
          <w:iCs/>
          <w:sz w:val="22"/>
          <w:szCs w:val="22"/>
          <w:lang w:val="en-US"/>
        </w:rPr>
        <w:t>C. difficile</w:t>
      </w:r>
      <w:r>
        <w:rPr>
          <w:rStyle w:val="NoneA"/>
          <w:rFonts w:ascii="Arial" w:hAnsi="Arial"/>
          <w:sz w:val="22"/>
          <w:szCs w:val="22"/>
          <w:lang w:val="en-US"/>
        </w:rPr>
        <w:t xml:space="preserve"> monoassociated with germfree mice displayed significantly more toxin activity than any antibiotic treatment (corrected </w:t>
      </w:r>
      <w:r>
        <w:rPr>
          <w:rStyle w:val="NoneA"/>
          <w:rFonts w:ascii="Arial" w:hAnsi="Arial"/>
          <w:i/>
          <w:iCs/>
          <w:sz w:val="22"/>
          <w:szCs w:val="22"/>
          <w:lang w:val="en-US"/>
        </w:rPr>
        <w:t>p</w:t>
      </w:r>
      <w:r>
        <w:rPr>
          <w:rStyle w:val="NoneA"/>
          <w:rFonts w:ascii="Arial" w:hAnsi="Arial"/>
          <w:sz w:val="22"/>
          <w:szCs w:val="22"/>
          <w:lang w:val="en-US"/>
        </w:rPr>
        <w:t xml:space="preserve">-values &lt; 0.05). </w:t>
      </w:r>
      <w:r>
        <w:rPr>
          <w:rStyle w:val="NoneA"/>
          <w:rFonts w:ascii="Arial" w:hAnsi="Arial"/>
          <w:b/>
          <w:bCs/>
          <w:sz w:val="22"/>
          <w:szCs w:val="22"/>
          <w:lang w:val="en-US"/>
        </w:rPr>
        <w:t>(b)</w:t>
      </w:r>
      <w:r>
        <w:rPr>
          <w:rStyle w:val="NoneA"/>
          <w:rFonts w:ascii="Arial" w:hAnsi="Arial"/>
          <w:sz w:val="22"/>
          <w:szCs w:val="22"/>
          <w:lang w:val="en-US"/>
        </w:rPr>
        <w:t xml:space="preserve"> Vegetative </w:t>
      </w:r>
      <w:r>
        <w:rPr>
          <w:rStyle w:val="NoneA"/>
          <w:rFonts w:ascii="Arial" w:hAnsi="Arial"/>
          <w:i/>
          <w:iCs/>
          <w:sz w:val="22"/>
          <w:szCs w:val="22"/>
          <w:lang w:val="en-US"/>
        </w:rPr>
        <w:t>C. difficile</w:t>
      </w:r>
      <w:r>
        <w:rPr>
          <w:rStyle w:val="NoneA"/>
          <w:rFonts w:ascii="Arial" w:hAnsi="Arial"/>
          <w:sz w:val="22"/>
          <w:szCs w:val="22"/>
          <w:lang w:val="en-US"/>
        </w:rPr>
        <w:t xml:space="preserve"> CFU and </w:t>
      </w:r>
      <w:r>
        <w:rPr>
          <w:rStyle w:val="NoneA"/>
          <w:rFonts w:ascii="Arial" w:hAnsi="Arial"/>
          <w:b/>
          <w:bCs/>
          <w:sz w:val="22"/>
          <w:szCs w:val="22"/>
          <w:lang w:val="en-US"/>
        </w:rPr>
        <w:t xml:space="preserve">(c) </w:t>
      </w:r>
      <w:r>
        <w:rPr>
          <w:rStyle w:val="NoneA"/>
          <w:rFonts w:ascii="Arial" w:hAnsi="Arial"/>
          <w:i/>
          <w:iCs/>
          <w:sz w:val="22"/>
          <w:szCs w:val="22"/>
          <w:lang w:val="en-US"/>
        </w:rPr>
        <w:t>C. difficile</w:t>
      </w:r>
      <w:r>
        <w:rPr>
          <w:rStyle w:val="NoneA"/>
          <w:rFonts w:ascii="Arial" w:hAnsi="Arial"/>
          <w:sz w:val="22"/>
          <w:szCs w:val="22"/>
          <w:lang w:val="en-US"/>
        </w:rPr>
        <w:t xml:space="preserve"> spore CFU. No statistical differences were observed in vegetative cell quantification, however germfree mice had significantly more spores than antibiotic treatment groups (corrected </w:t>
      </w:r>
      <w:r>
        <w:rPr>
          <w:rStyle w:val="NoneA"/>
          <w:rFonts w:ascii="Arial" w:hAnsi="Arial"/>
          <w:i/>
          <w:iCs/>
          <w:sz w:val="22"/>
          <w:szCs w:val="22"/>
          <w:lang w:val="en-US"/>
        </w:rPr>
        <w:t>p</w:t>
      </w:r>
      <w:r>
        <w:rPr>
          <w:rStyle w:val="NoneA"/>
          <w:rFonts w:ascii="Arial" w:hAnsi="Arial"/>
          <w:sz w:val="22"/>
          <w:szCs w:val="22"/>
          <w:lang w:val="en-US"/>
        </w:rPr>
        <w:t xml:space="preserve">-values &lt; 0.05). Grey asterisks indicate significant differences between all other groups (corrected </w:t>
      </w:r>
      <w:r>
        <w:rPr>
          <w:rStyle w:val="NoneA"/>
          <w:rFonts w:ascii="Arial" w:hAnsi="Arial"/>
          <w:i/>
          <w:iCs/>
          <w:sz w:val="22"/>
          <w:szCs w:val="22"/>
          <w:lang w:val="en-US"/>
        </w:rPr>
        <w:t>p</w:t>
      </w:r>
      <w:r>
        <w:rPr>
          <w:rStyle w:val="NoneA"/>
          <w:rFonts w:ascii="Arial" w:hAnsi="Arial"/>
          <w:sz w:val="22"/>
          <w:szCs w:val="22"/>
          <w:lang w:val="en-US"/>
        </w:rPr>
        <w:t>-values &lt;&lt; 0.01). Undetectable points are shown just below the dotted line, however differences were calculated for these points using the limit of detection.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NoneA"/>
          <w:rFonts w:ascii="Arial" w:hAnsi="Arial"/>
          <w:sz w:val="22"/>
          <w:szCs w:val="22"/>
          <w:lang w:val="en-US"/>
        </w:rPr>
        <w:t xml:space="preserve">The median of </w:t>
      </w:r>
      <w:r>
        <w:rPr>
          <w:rStyle w:val="NoneA"/>
          <w:rFonts w:ascii="Arial" w:hAnsi="Arial"/>
          <w:sz w:val="22"/>
          <w:szCs w:val="22"/>
          <w:lang w:val="en-US"/>
        </w:rPr>
        <w:t>rarefied</w:t>
      </w:r>
      <w:r>
        <w:rPr>
          <w:rStyle w:val="NoneA"/>
          <w:rFonts w:ascii="Arial" w:hAnsi="Arial"/>
          <w:sz w:val="22"/>
          <w:szCs w:val="22"/>
          <w:lang w:val="en-US"/>
        </w:rPr>
        <w:t xml:space="preserve"> relative abundance </w:t>
      </w:r>
      <w:r>
        <w:rPr>
          <w:rStyle w:val="NoneA"/>
          <w:rFonts w:ascii="Arial" w:hAnsi="Arial"/>
          <w:sz w:val="22"/>
          <w:szCs w:val="22"/>
          <w:lang w:val="en-US"/>
        </w:rPr>
        <w:t>of transcript for each gene of interest</w:t>
      </w:r>
      <w:r>
        <w:rPr>
          <w:rStyle w:val="NoneA"/>
          <w:rFonts w:ascii="Arial" w:hAnsi="Arial"/>
          <w:sz w:val="22"/>
          <w:szCs w:val="22"/>
          <w:lang w:val="en-US"/>
        </w:rPr>
        <w:t xml:space="preserve">.  </w:t>
      </w:r>
      <w:r>
        <w:rPr>
          <w:rStyle w:val="NoneA"/>
          <w:rFonts w:ascii="Arial" w:hAnsi="Arial"/>
          <w:sz w:val="22"/>
          <w:szCs w:val="22"/>
          <w:lang w:val="en-US"/>
        </w:rPr>
        <w:t xml:space="preserve">Subsampling was performed </w:t>
      </w:r>
      <w:r>
        <w:rPr>
          <w:rStyle w:val="NoneA"/>
          <w:rFonts w:ascii="Arial" w:hAnsi="Arial"/>
          <w:sz w:val="22"/>
          <w:szCs w:val="22"/>
          <w:lang w:val="en-US"/>
        </w:rPr>
        <w:t>over 1000 iterations to 2000 sequences per abs treated group and 300 in gf (poorer mapping due to lower quality RNA)</w:t>
      </w:r>
      <w:r>
        <w:rPr>
          <w:rStyle w:val="NoneA"/>
          <w:rFonts w:ascii="Arial" w:hAnsi="Arial"/>
          <w:sz w:val="22"/>
          <w:szCs w:val="22"/>
          <w:lang w:val="en-US"/>
        </w:rPr>
        <w:t>.</w:t>
      </w:r>
      <w:r>
        <w:rPr>
          <w:rStyle w:val="NoneA"/>
          <w:rFonts w:ascii="Arial" w:hAnsi="Arial"/>
          <w:sz w:val="22"/>
          <w:szCs w:val="22"/>
          <w:lang w:val="en-US"/>
        </w:rPr>
        <w:t xml:space="preserve"> </w:t>
      </w:r>
      <w:r>
        <w:rPr>
          <w:rStyle w:val="NoneA"/>
          <w:rFonts w:ascii="Arial" w:hAnsi="Arial"/>
          <w:b/>
          <w:bCs/>
          <w:sz w:val="22"/>
          <w:szCs w:val="22"/>
          <w:lang w:val="en-US"/>
        </w:rPr>
        <w:t>(</w:t>
      </w:r>
      <w:r>
        <w:rPr>
          <w:rStyle w:val="NoneA"/>
          <w:rFonts w:ascii="Arial" w:hAnsi="Arial"/>
          <w:b/>
          <w:bCs/>
          <w:sz w:val="22"/>
          <w:szCs w:val="22"/>
          <w:lang w:val="en-US"/>
        </w:rPr>
        <w:t>a</w:t>
      </w:r>
      <w:r>
        <w:rPr>
          <w:rStyle w:val="NoneA"/>
          <w:rFonts w:ascii="Arial" w:hAnsi="Arial"/>
          <w:b/>
          <w:bCs/>
          <w:sz w:val="22"/>
          <w:szCs w:val="22"/>
          <w:lang w:val="en-US"/>
        </w:rPr>
        <w:t>)</w:t>
      </w:r>
      <w:r>
        <w:rPr>
          <w:rStyle w:val="NoneA"/>
          <w:rFonts w:ascii="Arial" w:hAnsi="Arial"/>
          <w:sz w:val="22"/>
          <w:szCs w:val="22"/>
          <w:lang w:val="en-US"/>
        </w:rPr>
        <w:t xml:space="preserve"> </w:t>
      </w:r>
      <w:r>
        <w:rPr>
          <w:rStyle w:val="NoneA"/>
          <w:rFonts w:ascii="Arial" w:hAnsi="Arial"/>
          <w:sz w:val="22"/>
          <w:szCs w:val="22"/>
          <w:lang w:val="en-US"/>
        </w:rPr>
        <w:t>Select</w:t>
      </w:r>
      <w:r>
        <w:rPr>
          <w:rStyle w:val="NoneA"/>
          <w:rFonts w:ascii="Arial" w:hAnsi="Arial"/>
          <w:sz w:val="22"/>
          <w:szCs w:val="22"/>
          <w:lang w:val="en-US"/>
        </w:rPr>
        <w:t xml:space="preserve"> genes from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w:t>
      </w:r>
      <w:r>
        <w:rPr>
          <w:rStyle w:val="NoneA"/>
          <w:rFonts w:ascii="Arial" w:hAnsi="Arial"/>
          <w:sz w:val="22"/>
          <w:szCs w:val="22"/>
          <w:lang w:val="en-US"/>
        </w:rPr>
        <w:t>with the greatest variation in expression between the conditions tested</w:t>
      </w:r>
      <w:r>
        <w:rPr>
          <w:rStyle w:val="NoneA"/>
          <w:rFonts w:ascii="Arial" w:hAnsi="Arial"/>
          <w:sz w:val="22"/>
          <w:szCs w:val="22"/>
          <w:lang w:val="en-US"/>
        </w:rPr>
        <w:t xml:space="preserve">. </w:t>
      </w:r>
      <w:r>
        <w:rPr>
          <w:rStyle w:val="NoneA"/>
          <w:rFonts w:ascii="Arial" w:hAnsi="Arial"/>
          <w:b/>
          <w:bCs/>
          <w:sz w:val="22"/>
          <w:szCs w:val="22"/>
          <w:lang w:val="en-US"/>
        </w:rPr>
        <w:t>(</w:t>
      </w:r>
      <w:r>
        <w:rPr>
          <w:rStyle w:val="NoneA"/>
          <w:rFonts w:ascii="Arial" w:hAnsi="Arial"/>
          <w:b/>
          <w:bCs/>
          <w:sz w:val="22"/>
          <w:szCs w:val="22"/>
          <w:lang w:val="en-US"/>
        </w:rPr>
        <w:t>b</w:t>
      </w:r>
      <w:r>
        <w:rPr>
          <w:rStyle w:val="NoneA"/>
          <w:rFonts w:ascii="Arial" w:hAnsi="Arial"/>
          <w:b/>
          <w:bCs/>
          <w:sz w:val="22"/>
          <w:szCs w:val="22"/>
          <w:lang w:val="en-US"/>
        </w:rPr>
        <w:t>)</w:t>
      </w:r>
      <w:r>
        <w:rPr>
          <w:rStyle w:val="NoneA"/>
          <w:rFonts w:ascii="Arial" w:hAnsi="Arial"/>
          <w:sz w:val="22"/>
          <w:szCs w:val="22"/>
          <w:lang w:val="en-US"/>
        </w:rPr>
        <w:t xml:space="preserve"> Genes </w:t>
      </w:r>
      <w:r>
        <w:rPr>
          <w:rStyle w:val="NoneA"/>
          <w:rFonts w:ascii="Arial" w:hAnsi="Arial"/>
          <w:sz w:val="22"/>
          <w:szCs w:val="22"/>
          <w:lang w:val="en-US"/>
        </w:rPr>
        <w:t xml:space="preserve">that have been </w:t>
      </w:r>
      <w:r>
        <w:rPr>
          <w:rStyle w:val="NoneA"/>
          <w:rFonts w:ascii="Arial" w:hAnsi="Arial"/>
          <w:sz w:val="22"/>
          <w:szCs w:val="22"/>
          <w:lang w:val="en-US"/>
        </w:rPr>
        <w:t xml:space="preserve">associated with quorum sensing in </w:t>
      </w:r>
      <w:r>
        <w:rPr>
          <w:rStyle w:val="NoneA"/>
          <w:rFonts w:ascii="Arial" w:hAnsi="Arial"/>
          <w:i/>
          <w:iCs/>
          <w:sz w:val="22"/>
          <w:szCs w:val="22"/>
          <w:lang w:val="en-US"/>
        </w:rPr>
        <w:t>C. difficile</w:t>
      </w:r>
      <w:r>
        <w:rPr>
          <w:rStyle w:val="NoneA"/>
          <w:rFonts w:ascii="Arial" w:hAnsi="Arial"/>
          <w:sz w:val="22"/>
          <w:szCs w:val="22"/>
          <w:lang w:val="en-US"/>
        </w:rPr>
        <w:t xml:space="preserve">. </w:t>
      </w:r>
      <w:r>
        <w:rPr>
          <w:rStyle w:val="NoneA"/>
          <w:rFonts w:ascii="Arial" w:hAnsi="Arial"/>
          <w:b/>
          <w:bCs/>
          <w:sz w:val="22"/>
          <w:szCs w:val="22"/>
          <w:lang w:val="en-US"/>
        </w:rPr>
        <w:t>(c)</w:t>
      </w:r>
      <w:r>
        <w:rPr>
          <w:rStyle w:val="NoneA"/>
          <w:rFonts w:ascii="Arial" w:hAnsi="Arial"/>
          <w:sz w:val="22"/>
          <w:szCs w:val="22"/>
          <w:lang w:val="en-US"/>
        </w:rPr>
        <w:t xml:space="preserve"> </w:t>
      </w:r>
      <w:r>
        <w:rPr>
          <w:rStyle w:val="NoneA"/>
          <w:rFonts w:ascii="Arial" w:hAnsi="Arial"/>
          <w:sz w:val="22"/>
          <w:szCs w:val="22"/>
          <w:lang w:val="en-US"/>
        </w:rPr>
        <w:t>Genes includ</w:t>
      </w:r>
      <w:r>
        <w:rPr>
          <w:rStyle w:val="NoneA"/>
          <w:rFonts w:ascii="Arial" w:hAnsi="Arial"/>
          <w:sz w:val="22"/>
          <w:szCs w:val="22"/>
          <w:lang w:val="en-US"/>
        </w:rPr>
        <w:t>ing those</w:t>
      </w:r>
      <w:r>
        <w:rPr>
          <w:rStyle w:val="NoneA"/>
          <w:rFonts w:ascii="Arial" w:hAnsi="Arial"/>
          <w:sz w:val="22"/>
          <w:szCs w:val="22"/>
          <w:lang w:val="en-US"/>
        </w:rPr>
        <w:t xml:space="preserve"> in C. difficile</w:t>
      </w:r>
      <w:r>
        <w:rPr>
          <w:rStyle w:val="NoneA"/>
          <w:rFonts w:ascii="Arial" w:hAnsi="Arial"/>
          <w:sz w:val="22"/>
          <w:szCs w:val="22"/>
          <w:lang w:val="en-US"/>
        </w:rPr>
        <w:t xml:space="preserve"> pathogenicity loc</w:t>
      </w:r>
      <w:r>
        <w:rPr>
          <w:rStyle w:val="NoneA"/>
          <w:rFonts w:ascii="Arial" w:hAnsi="Arial"/>
          <w:sz w:val="22"/>
          <w:szCs w:val="22"/>
          <w:lang w:val="en-US"/>
        </w:rPr>
        <w:t>us</w:t>
      </w:r>
      <w:r>
        <w:rPr>
          <w:rStyle w:val="NoneA"/>
          <w:rFonts w:ascii="Arial" w:hAnsi="Arial"/>
          <w:sz w:val="22"/>
          <w:szCs w:val="22"/>
          <w:lang w:val="en-US"/>
        </w:rPr>
        <w:t xml:space="preserve"> as well as</w:t>
      </w:r>
      <w:r>
        <w:rPr>
          <w:rStyle w:val="NoneA"/>
          <w:rFonts w:ascii="Arial" w:hAnsi="Arial"/>
          <w:sz w:val="22"/>
          <w:szCs w:val="22"/>
          <w:lang w:val="en-US"/>
        </w:rPr>
        <w:t xml:space="preserve"> the binary toxin regulator</w:t>
      </w:r>
      <w:r>
        <w:rPr>
          <w:rStyle w:val="NoneA"/>
          <w:rFonts w:ascii="Arial" w:hAnsi="Arial"/>
          <w:sz w:val="22"/>
          <w:szCs w:val="22"/>
          <w:lang w:val="en-US"/>
        </w:rPr>
        <w:t xml:space="preserve"> </w:t>
      </w:r>
      <w:r>
        <w:rPr>
          <w:rStyle w:val="NoneA"/>
          <w:rFonts w:ascii="Arial" w:hAnsi="Arial"/>
          <w:i/>
          <w:iCs/>
          <w:sz w:val="22"/>
          <w:szCs w:val="22"/>
          <w:lang w:val="en-US"/>
        </w:rPr>
        <w:t>cdtR</w:t>
      </w:r>
      <w:r>
        <w:rPr>
          <w:rStyle w:val="NoneA"/>
          <w:rFonts w:ascii="Arial" w:hAnsi="Arial"/>
          <w:sz w:val="22"/>
          <w:szCs w:val="22"/>
          <w:lang w:val="en-US"/>
        </w:rPr>
        <w:t xml:space="preserve">. </w:t>
      </w:r>
      <w:r>
        <w:rPr>
          <w:rStyle w:val="NoneA"/>
          <w:rFonts w:ascii="Arial" w:hAnsi="Arial"/>
          <w:b/>
          <w:bCs/>
          <w:sz w:val="22"/>
          <w:szCs w:val="22"/>
          <w:lang w:val="en-US"/>
        </w:rPr>
        <w:t>(</w:t>
      </w:r>
      <w:r>
        <w:rPr>
          <w:rStyle w:val="NoneA"/>
          <w:rFonts w:ascii="Arial" w:hAnsi="Arial"/>
          <w:b/>
          <w:bCs/>
          <w:sz w:val="22"/>
          <w:szCs w:val="22"/>
          <w:lang w:val="en-US"/>
        </w:rPr>
        <w:t>d</w:t>
      </w:r>
      <w:r>
        <w:rPr>
          <w:rStyle w:val="NoneA"/>
          <w:rFonts w:ascii="Arial" w:hAnsi="Arial"/>
          <w:b/>
          <w:bCs/>
          <w:sz w:val="22"/>
          <w:szCs w:val="22"/>
          <w:lang w:val="en-US"/>
        </w:rPr>
        <w:t>)</w:t>
      </w:r>
      <w:r>
        <w:rPr>
          <w:rStyle w:val="NoneA"/>
          <w:rFonts w:ascii="Arial" w:hAnsi="Arial"/>
          <w:sz w:val="22"/>
          <w:szCs w:val="22"/>
          <w:lang w:val="en-US"/>
        </w:rPr>
        <w:t xml:space="preserve"> Select sigma factors, </w:t>
      </w:r>
      <w:r>
        <w:rPr>
          <w:rStyle w:val="NoneA"/>
          <w:rFonts w:ascii="Arial" w:hAnsi="Arial"/>
          <w:sz w:val="22"/>
          <w:szCs w:val="22"/>
          <w:lang w:val="en-US"/>
        </w:rPr>
        <w:t>several of</w:t>
      </w:r>
      <w:r>
        <w:rPr>
          <w:rStyle w:val="NoneA"/>
          <w:rFonts w:ascii="Arial" w:hAnsi="Arial"/>
          <w:sz w:val="22"/>
          <w:szCs w:val="22"/>
          <w:lang w:val="en-US"/>
        </w:rPr>
        <w:t xml:space="preserve"> which expression/</w:t>
      </w:r>
      <w:r>
        <w:rPr>
          <w:rStyle w:val="NoneA"/>
          <w:rFonts w:ascii="Arial" w:hAnsi="Arial"/>
          <w:sz w:val="22"/>
          <w:szCs w:val="22"/>
          <w:lang w:val="en-US"/>
        </w:rPr>
        <w:t>activity</w:t>
      </w:r>
      <w:r>
        <w:rPr>
          <w:rStyle w:val="NoneA"/>
          <w:rFonts w:ascii="Arial" w:hAnsi="Arial"/>
          <w:sz w:val="22"/>
          <w:szCs w:val="22"/>
          <w:lang w:val="en-US"/>
        </w:rPr>
        <w:t xml:space="preserve"> has been linked to environment </w:t>
      </w:r>
      <w:r>
        <w:rPr>
          <w:rStyle w:val="NoneA"/>
          <w:rFonts w:ascii="Arial" w:hAnsi="Arial"/>
          <w:sz w:val="22"/>
          <w:szCs w:val="22"/>
          <w:lang w:val="en-US"/>
        </w:rPr>
        <w:t xml:space="preserve">nutrient concentrations including </w:t>
      </w:r>
      <w:r>
        <w:rPr>
          <w:rStyle w:val="NoneA"/>
          <w:rFonts w:ascii="Arial" w:hAnsi="Arial"/>
          <w:i/>
          <w:iCs/>
          <w:sz w:val="22"/>
          <w:szCs w:val="22"/>
          <w:lang w:val="en-US"/>
        </w:rPr>
        <w:t>ccpA</w:t>
      </w:r>
      <w:r>
        <w:rPr>
          <w:rStyle w:val="NoneA"/>
          <w:rFonts w:ascii="Arial" w:hAnsi="Arial"/>
          <w:sz w:val="22"/>
          <w:szCs w:val="22"/>
          <w:lang w:val="en-US"/>
        </w:rPr>
        <w:t xml:space="preserve">, </w:t>
      </w:r>
      <w:r>
        <w:rPr>
          <w:rStyle w:val="NoneA"/>
          <w:rFonts w:ascii="Arial" w:hAnsi="Arial"/>
          <w:i/>
          <w:iCs/>
          <w:sz w:val="22"/>
          <w:szCs w:val="22"/>
          <w:lang w:val="en-US"/>
        </w:rPr>
        <w:t>codY</w:t>
      </w:r>
      <w:r>
        <w:rPr>
          <w:rStyle w:val="NoneA"/>
          <w:rFonts w:ascii="Arial" w:hAnsi="Arial"/>
          <w:sz w:val="22"/>
          <w:szCs w:val="22"/>
          <w:lang w:val="en-US"/>
        </w:rPr>
        <w:t xml:space="preserve">, </w:t>
      </w:r>
      <w:r>
        <w:rPr>
          <w:rStyle w:val="NoneA"/>
          <w:rFonts w:ascii="Arial" w:hAnsi="Arial"/>
          <w:i/>
          <w:iCs/>
          <w:sz w:val="22"/>
          <w:szCs w:val="22"/>
          <w:lang w:val="en-US"/>
        </w:rPr>
        <w:t>prdR</w:t>
      </w:r>
      <w:r>
        <w:rPr>
          <w:rStyle w:val="NoneA"/>
          <w:rFonts w:ascii="Arial" w:hAnsi="Arial"/>
          <w:sz w:val="22"/>
          <w:szCs w:val="22"/>
          <w:lang w:val="en-US"/>
        </w:rPr>
        <w:t xml:space="preserve">, </w:t>
      </w:r>
      <w:r>
        <w:rPr>
          <w:rStyle w:val="NoneA"/>
          <w:rFonts w:ascii="Arial" w:hAnsi="Arial"/>
          <w:i/>
          <w:iCs/>
          <w:sz w:val="22"/>
          <w:szCs w:val="22"/>
          <w:lang w:val="en-US"/>
        </w:rPr>
        <w:t>rex</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spo0A</w:t>
      </w:r>
      <w:r>
        <w:rPr>
          <w:rStyle w:val="NoneA"/>
          <w:rFonts w:ascii="Arial" w:hAnsi="Arial"/>
          <w:sz w:val="22"/>
          <w:szCs w:val="22"/>
          <w:lang w:val="en-US"/>
        </w:rPr>
        <w:t xml:space="preserve">. </w:t>
      </w:r>
      <w:r>
        <w:rPr>
          <w:rStyle w:val="NoneA"/>
          <w:rFonts w:ascii="Arial" w:hAnsi="Arial"/>
          <w:sz w:val="22"/>
          <w:szCs w:val="22"/>
          <w:lang w:val="en-US"/>
        </w:rPr>
        <w:t>Expression of both sigF and sigK control later stages of the sporulation pathway.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NoneA"/>
          <w:rFonts w:ascii="Arial" w:hAnsi="Arial"/>
          <w:sz w:val="22"/>
          <w:szCs w:val="22"/>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w:t>
      </w:r>
    </w:p>
    <w:p>
      <w:pPr>
        <w:pStyle w:val="Default"/>
        <w:shd w:val="clear" w:color="auto" w:fill="FFFFFF"/>
        <w:spacing w:lineRule="auto" w:line="480"/>
        <w:jc w:val="both"/>
        <w:rPr/>
      </w:pPr>
      <w:r>
        <w:rPr>
          <w:rStyle w:val="NoneA"/>
          <w:rFonts w:ascii="Arial" w:hAnsi="Arial"/>
          <w:sz w:val="22"/>
          <w:szCs w:val="22"/>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A"/>
          <w:rFonts w:ascii="Arial" w:hAnsi="Arial"/>
          <w:b/>
          <w:bCs/>
          <w:sz w:val="22"/>
          <w:szCs w:val="22"/>
          <w:lang w:val="en-US"/>
        </w:rPr>
        <w:t>(a)</w:t>
      </w:r>
      <w:r>
        <w:rPr>
          <w:rStyle w:val="NoneA"/>
          <w:rFonts w:ascii="Arial" w:hAnsi="Arial"/>
          <w:sz w:val="22"/>
          <w:szCs w:val="22"/>
          <w:lang w:val="en-US"/>
        </w:rPr>
        <w:t xml:space="preserve"> are also plotted separately in without size differences so all points are visible </w:t>
      </w:r>
      <w:r>
        <w:rPr>
          <w:rStyle w:val="NoneA"/>
          <w:rFonts w:ascii="Arial" w:hAnsi="Arial"/>
          <w:b/>
          <w:bCs/>
          <w:sz w:val="22"/>
          <w:szCs w:val="22"/>
          <w:lang w:val="en-US"/>
        </w:rPr>
        <w:t>(b - i)</w:t>
      </w:r>
      <w:r>
        <w:rPr>
          <w:rStyle w:val="NoneA"/>
          <w:rFonts w:ascii="Arial" w:hAnsi="Arial"/>
          <w:sz w:val="22"/>
          <w:szCs w:val="22"/>
          <w:lang w:val="en-US"/>
        </w:rPr>
        <w:t>.</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shd w:fill="00FFFF" w:val="clear"/>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in each colonized environment. A) </w:t>
      </w:r>
      <w:r>
        <w:rPr>
          <w:rStyle w:val="NoneA"/>
          <w:rFonts w:ascii="Arial" w:hAnsi="Arial"/>
          <w:sz w:val="22"/>
          <w:szCs w:val="22"/>
          <w:lang w:val="en-US"/>
        </w:rPr>
        <w:t xml:space="preserve">Largest component from the bipartite genome-scale metabolic model of </w:t>
      </w:r>
      <w:r>
        <w:rPr>
          <w:rStyle w:val="NoneA"/>
          <w:rFonts w:ascii="Arial" w:hAnsi="Arial"/>
          <w:i/>
          <w:iCs/>
          <w:sz w:val="22"/>
          <w:szCs w:val="22"/>
          <w:lang w:val="en-US"/>
        </w:rPr>
        <w:t>C. difficile</w:t>
      </w:r>
      <w:r>
        <w:rPr>
          <w:rStyle w:val="NoneA"/>
          <w:rFonts w:ascii="Arial" w:hAnsi="Arial"/>
          <w:sz w:val="22"/>
          <w:szCs w:val="22"/>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A"/>
          <w:rFonts w:ascii="Arial" w:hAnsi="Arial"/>
          <w:b/>
          <w:bCs/>
          <w:sz w:val="22"/>
          <w:szCs w:val="22"/>
          <w:lang w:val="en-US"/>
        </w:rPr>
        <w:t xml:space="preserve"> </w:t>
      </w:r>
      <w:r>
        <w:rPr>
          <w:rStyle w:val="NoneA"/>
          <w:rFonts w:ascii="Arial" w:hAnsi="Arial"/>
          <w:sz w:val="22"/>
          <w:szCs w:val="22"/>
          <w:lang w:val="en-US"/>
        </w:rPr>
        <w:t xml:space="preserve">Transcript abundances are from </w:t>
      </w:r>
      <w:r>
        <w:rPr>
          <w:rStyle w:val="NoneA"/>
          <w:rFonts w:ascii="Arial" w:hAnsi="Arial"/>
          <w:i/>
          <w:iCs/>
          <w:sz w:val="22"/>
          <w:szCs w:val="22"/>
          <w:lang w:val="en-US"/>
        </w:rPr>
        <w:t>C. difficile</w:t>
      </w:r>
      <w:r>
        <w:rPr>
          <w:rStyle w:val="NoneA"/>
          <w:rFonts w:ascii="Arial" w:hAnsi="Arial"/>
          <w:sz w:val="22"/>
          <w:szCs w:val="22"/>
          <w:lang w:val="en-US"/>
        </w:rPr>
        <w:t xml:space="preserve"> str. 630 during infection of cefoperazone treated mice. The expanded window displays metabolite importance algorithm and an example of a single importance calculation based on local gene transcription. </w:t>
      </w:r>
      <w:r>
        <w:rPr>
          <w:rStyle w:val="NoneA"/>
          <w:rFonts w:ascii="Arial" w:hAnsi="Arial"/>
          <w:b/>
          <w:bCs/>
          <w:sz w:val="22"/>
          <w:szCs w:val="22"/>
          <w:lang w:val="en-US"/>
        </w:rPr>
        <w:t>B)</w:t>
      </w:r>
      <w:r>
        <w:rPr>
          <w:rStyle w:val="NoneA"/>
          <w:rFonts w:ascii="Arial" w:hAnsi="Arial"/>
          <w:sz w:val="22"/>
          <w:szCs w:val="22"/>
          <w:lang w:val="en-US"/>
        </w:rPr>
        <w:t xml:space="preserve"> shared metabolites</w:t>
      </w:r>
    </w:p>
    <w:p>
      <w:pPr>
        <w:pStyle w:val="Default"/>
        <w:shd w:val="clear" w:color="auto" w:fill="FFFFFF"/>
        <w:spacing w:lineRule="auto" w:line="480"/>
        <w:jc w:val="both"/>
        <w:rPr/>
      </w:pPr>
      <w:r>
        <w:rPr>
          <w:rStyle w:val="NoneA"/>
          <w:rFonts w:ascii="Arial" w:hAnsi="Arial"/>
          <w:b/>
          <w:bCs/>
          <w:sz w:val="22"/>
          <w:szCs w:val="22"/>
          <w:lang w:val="en-US"/>
        </w:rPr>
        <w:t xml:space="preserve">C) </w:t>
      </w:r>
      <w:r>
        <w:rPr>
          <w:rStyle w:val="NoneA"/>
          <w:rFonts w:ascii="Arial" w:hAnsi="Arial"/>
          <w:sz w:val="22"/>
          <w:szCs w:val="22"/>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A"/>
          <w:rFonts w:ascii="Arial" w:hAnsi="Arial"/>
          <w:b/>
          <w:bCs/>
          <w:sz w:val="22"/>
          <w:szCs w:val="22"/>
          <w:lang w:val="en-US"/>
        </w:rPr>
        <w:t xml:space="preserve">) </w:t>
      </w:r>
      <w:r>
        <w:rPr>
          <w:rStyle w:val="NoneA"/>
          <w:rFonts w:ascii="Arial" w:hAnsi="Arial"/>
          <w:sz w:val="22"/>
          <w:szCs w:val="22"/>
          <w:lang w:val="en-US"/>
        </w:rPr>
        <w:t xml:space="preserve"> </w:t>
      </w:r>
      <w:r>
        <w:rPr>
          <w:rStyle w:val="NoneA"/>
          <w:rFonts w:ascii="Arial" w:hAnsi="Arial"/>
          <w:i/>
          <w:iCs/>
          <w:sz w:val="22"/>
          <w:szCs w:val="22"/>
          <w:lang w:val="en-US"/>
        </w:rPr>
        <w:t>In vitro</w:t>
      </w:r>
      <w:r>
        <w:rPr>
          <w:rStyle w:val="NoneA"/>
          <w:rFonts w:ascii="Arial" w:hAnsi="Arial"/>
          <w:sz w:val="22"/>
          <w:szCs w:val="22"/>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A"/>
          <w:rFonts w:ascii="Arial" w:hAnsi="Arial"/>
          <w:i/>
          <w:iCs/>
          <w:sz w:val="22"/>
          <w:szCs w:val="22"/>
          <w:lang w:val="en-US"/>
        </w:rPr>
        <w:t>C. difficile</w:t>
      </w:r>
      <w:r>
        <w:rPr>
          <w:rStyle w:val="NoneA"/>
          <w:rFonts w:ascii="Arial" w:hAnsi="Arial"/>
          <w:sz w:val="22"/>
          <w:szCs w:val="22"/>
          <w:lang w:val="en-US"/>
        </w:rPr>
        <w:t xml:space="preserve"> growth significantly more than – Glucose + Amino Acids controls (corrected </w:t>
      </w:r>
      <w:r>
        <w:rPr>
          <w:rStyle w:val="NoneA"/>
          <w:rFonts w:ascii="Arial" w:hAnsi="Arial"/>
          <w:i/>
          <w:iCs/>
          <w:sz w:val="22"/>
          <w:szCs w:val="22"/>
          <w:lang w:val="en-US"/>
        </w:rPr>
        <w:t>p</w:t>
      </w:r>
      <w:r>
        <w:rPr>
          <w:rStyle w:val="NoneA"/>
          <w:rFonts w:ascii="Arial" w:hAnsi="Arial"/>
          <w:sz w:val="22"/>
          <w:szCs w:val="22"/>
          <w:lang w:val="en-US"/>
        </w:rPr>
        <w:t xml:space="preserve">-values &lt;&lt; 0.001, F-values &gt; ). </w:t>
      </w:r>
      <w:r>
        <w:rPr>
          <w:rStyle w:val="NoneA"/>
          <w:rFonts w:ascii="Arial" w:hAnsi="Arial"/>
          <w:b/>
          <w:bCs/>
          <w:sz w:val="22"/>
          <w:szCs w:val="22"/>
          <w:lang w:val="en-US"/>
        </w:rPr>
        <w:t>E)</w:t>
      </w:r>
      <w:r>
        <w:rPr>
          <w:rStyle w:val="NoneA"/>
          <w:rFonts w:ascii="Arial" w:hAnsi="Arial"/>
          <w:sz w:val="22"/>
          <w:szCs w:val="22"/>
          <w:lang w:val="en-US"/>
        </w:rPr>
        <w:t xml:space="preserve"> combinations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1 |  Spore % of total CFU and toxin to spore correlations. </w:t>
      </w:r>
      <w:r>
        <w:rPr>
          <w:rStyle w:val="NoneA"/>
          <w:rFonts w:ascii="Arial" w:hAnsi="Arial"/>
          <w:sz w:val="22"/>
          <w:szCs w:val="22"/>
          <w:lang w:val="en-US"/>
        </w:rPr>
        <w:t xml:space="preserve">Continued analysis of wetlab phenotypic data. </w:t>
      </w:r>
      <w:r>
        <w:rPr>
          <w:rStyle w:val="NoneA"/>
          <w:rFonts w:ascii="Arial" w:hAnsi="Arial"/>
          <w:b/>
          <w:bCs/>
          <w:sz w:val="22"/>
          <w:szCs w:val="22"/>
          <w:lang w:val="en-US"/>
        </w:rPr>
        <w:t>A)</w:t>
      </w:r>
      <w:r>
        <w:rPr>
          <w:rStyle w:val="NoneA"/>
          <w:rFonts w:ascii="Arial" w:hAnsi="Arial"/>
          <w:sz w:val="22"/>
          <w:szCs w:val="22"/>
          <w:lang w:val="en-US"/>
        </w:rPr>
        <w:t xml:space="preserve"> Spore %. </w:t>
      </w:r>
      <w:r>
        <w:rPr>
          <w:rStyle w:val="NoneA"/>
          <w:rFonts w:ascii="Arial" w:hAnsi="Arial"/>
          <w:b/>
          <w:bCs/>
          <w:sz w:val="22"/>
          <w:szCs w:val="22"/>
          <w:lang w:val="en-US"/>
        </w:rPr>
        <w:t>B)</w:t>
      </w:r>
      <w:r>
        <w:rPr>
          <w:rStyle w:val="NoneA"/>
          <w:rFonts w:ascii="Arial" w:hAnsi="Arial"/>
          <w:sz w:val="22"/>
          <w:szCs w:val="22"/>
          <w:lang w:val="en-US"/>
        </w:rPr>
        <w:t xml:space="preserve"> Spore toxin correlation w/o germfree. </w:t>
      </w:r>
      <w:r>
        <w:rPr>
          <w:rStyle w:val="NoneA"/>
          <w:rFonts w:ascii="Arial" w:hAnsi="Arial"/>
          <w:b/>
          <w:bCs/>
          <w:sz w:val="22"/>
          <w:szCs w:val="22"/>
          <w:lang w:val="en-US"/>
        </w:rPr>
        <w:t>C)</w:t>
      </w:r>
      <w:r>
        <w:rPr>
          <w:rStyle w:val="NoneA"/>
          <w:rFonts w:ascii="Arial" w:hAnsi="Arial"/>
          <w:sz w:val="22"/>
          <w:szCs w:val="22"/>
          <w:lang w:val="en-US"/>
        </w:rPr>
        <w:t xml:space="preserve"> Spore toxin correlation w/ germfree.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gene coverage for each condition. </w:t>
      </w:r>
      <w:r>
        <w:rPr>
          <w:rStyle w:val="NoneA"/>
          <w:rFonts w:ascii="Arial" w:hAnsi="Arial"/>
          <w:sz w:val="22"/>
          <w:szCs w:val="22"/>
          <w:lang w:val="en-US"/>
        </w:rPr>
        <w:t xml:space="preserve">Normalized read abundances mapped to the full length genome of </w:t>
      </w:r>
      <w:r>
        <w:rPr>
          <w:rStyle w:val="NoneA"/>
          <w:rFonts w:ascii="Arial" w:hAnsi="Arial"/>
          <w:i/>
          <w:iCs/>
          <w:sz w:val="22"/>
          <w:szCs w:val="22"/>
          <w:lang w:val="en-US"/>
        </w:rPr>
        <w:t>C. difficile</w:t>
      </w:r>
      <w:r>
        <w:rPr>
          <w:rStyle w:val="NoneA"/>
          <w:rFonts w:ascii="Arial" w:hAnsi="Arial"/>
          <w:sz w:val="22"/>
          <w:szCs w:val="2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3 |  Expression of specific KEGG gene families. </w:t>
      </w:r>
      <w:r>
        <w:rPr>
          <w:rStyle w:val="NoneA"/>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4 |  Substrate scores outside of at least two standard deviations from simulated means. </w:t>
      </w:r>
      <w:r>
        <w:rPr>
          <w:rStyle w:val="NoneA"/>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5 |  Additional growth curves. </w:t>
      </w:r>
      <w:r>
        <w:rPr>
          <w:rStyle w:val="NoneA"/>
          <w:rFonts w:ascii="Arial" w:hAnsi="Arial"/>
          <w:sz w:val="22"/>
          <w:szCs w:val="2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7 |  Acetate data supporting network output. </w:t>
      </w:r>
      <w:r>
        <w:rPr>
          <w:rStyle w:val="NoneA"/>
          <w:rFonts w:ascii="Arial" w:hAnsi="Arial"/>
          <w:sz w:val="22"/>
          <w:szCs w:val="2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Acknowledgments</w:t>
      </w:r>
    </w:p>
    <w:p>
      <w:pPr>
        <w:pStyle w:val="Default"/>
        <w:shd w:val="clear" w:color="auto" w:fill="FFFFFF"/>
        <w:spacing w:lineRule="auto" w:line="480"/>
        <w:jc w:val="both"/>
        <w:rPr/>
      </w:pPr>
      <w:r>
        <w:rPr>
          <w:rStyle w:val="NoneA"/>
          <w:rFonts w:ascii="Arial" w:hAnsi="Arial"/>
          <w:sz w:val="22"/>
          <w:szCs w:val="2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Conflict of Interest</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18"/>
          <w:szCs w:val="18"/>
        </w:rPr>
      </w:pPr>
      <w:r>
        <w:rPr>
          <w:rStyle w:val="NoneA"/>
          <w:rFonts w:ascii="Arial" w:hAnsi="Arial"/>
          <w:b/>
          <w:bCs/>
          <w:sz w:val="22"/>
          <w:szCs w:val="22"/>
          <w:lang w:val="en-US"/>
        </w:rPr>
        <w:t>References</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Carter, G. P., Purdy, D., Williams, P., &amp; Minton, N. P. (2005). Quorum sensing in Clostridium difficile: Analysis of a luxS-type signalling system. In </w:t>
      </w:r>
      <w:r>
        <w:rPr>
          <w:rStyle w:val="NoneA"/>
          <w:rFonts w:ascii="Arial" w:hAnsi="Arial"/>
          <w:i/>
          <w:iCs/>
          <w:sz w:val="18"/>
          <w:szCs w:val="18"/>
          <w:lang w:val="en-US"/>
        </w:rPr>
        <w:t>Journal of Medical Microbiology</w:t>
      </w:r>
      <w:r>
        <w:rPr>
          <w:rStyle w:val="NoneA"/>
          <w:rFonts w:ascii="Arial" w:hAnsi="Arial"/>
          <w:sz w:val="18"/>
          <w:szCs w:val="18"/>
          <w:lang w:val="en-US"/>
        </w:rPr>
        <w:t xml:space="preserve"> (Vol. 54, pp. 119–127). http://doi.org/10.1099/jmm.0.45817-0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i/>
          <w:i/>
          <w:iCs/>
          <w:sz w:val="18"/>
          <w:szCs w:val="18"/>
        </w:rPr>
      </w:pPr>
      <w:r>
        <w:rPr>
          <w:rStyle w:val="NoneA"/>
          <w:rFonts w:ascii="Arial" w:hAnsi="Arial"/>
          <w:sz w:val="18"/>
          <w:szCs w:val="18"/>
          <w:lang w:val="en-US"/>
        </w:rPr>
        <w:t xml:space="preserve">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13">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Hundsberger, T., Braun, V., Weidmann, M., Leukel, P., Sauerborn, M., &amp; von Eichel-Streiber, C. (1997). Transcription analysis </w:t>
      </w:r>
      <w:r>
        <w:rPr>
          <w:rStyle w:val="NoneA"/>
          <w:rFonts w:eastAsia="Arial" w:cs="Arial" w:ascii="Arial" w:hAnsi="Arial"/>
          <w:sz w:val="18"/>
          <w:szCs w:val="18"/>
          <w:lang w:val="en-US"/>
        </w:rPr>
        <w:tab/>
        <w:t xml:space="preserve">of the genes tcdA-E of the pathogenicity locus of Clostridium difficile. </w:t>
      </w:r>
      <w:r>
        <w:rPr>
          <w:rStyle w:val="NoneA"/>
          <w:rFonts w:ascii="Arial" w:hAnsi="Arial"/>
          <w:i/>
          <w:iCs/>
          <w:sz w:val="18"/>
          <w:szCs w:val="18"/>
          <w:lang w:val="en-US"/>
        </w:rPr>
        <w:t>European Journal of Biochemistry / FEBS</w:t>
      </w:r>
      <w:r>
        <w:rPr>
          <w:rStyle w:val="NoneA"/>
          <w:rFonts w:ascii="Arial" w:hAnsi="Arial"/>
          <w:sz w:val="18"/>
          <w:szCs w:val="18"/>
          <w:lang w:val="en-US"/>
        </w:rPr>
        <w:t xml:space="preserve">, </w:t>
        <w:tab/>
        <w:tab/>
      </w:r>
      <w:r>
        <w:rPr>
          <w:rStyle w:val="NoneA"/>
          <w:rFonts w:ascii="Arial" w:hAnsi="Arial"/>
          <w:i/>
          <w:iCs/>
          <w:sz w:val="18"/>
          <w:szCs w:val="18"/>
          <w:lang w:val="en-US"/>
        </w:rPr>
        <w:t>244</w:t>
      </w:r>
      <w:r>
        <w:rPr>
          <w:rStyle w:val="NoneA"/>
          <w:rFonts w:ascii="Arial" w:hAnsi="Arial"/>
          <w:sz w:val="18"/>
          <w:szCs w:val="18"/>
          <w:lang w:val="en-US"/>
        </w:rPr>
        <w:t xml:space="preserve">(3), 735–742. </w:t>
      </w:r>
      <w:hyperlink r:id="rId14">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ascii="Arial" w:hAnsi="Arial"/>
          <w:sz w:val="18"/>
          <w:szCs w:val="18"/>
          <w:lang w:val="fr-FR"/>
        </w:rPr>
        <w:t>Janoir, C., Denè</w:t>
      </w:r>
      <w:r>
        <w:rPr>
          <w:rStyle w:val="NoneA"/>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5">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ascii="Arial" w:hAnsi="Arial"/>
          <w:sz w:val="18"/>
          <w:szCs w:val="18"/>
          <w:lang w:val="en-US"/>
        </w:rPr>
        <w:t xml:space="preserve">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color w:val="323232"/>
          <w:sz w:val="18"/>
          <w:szCs w:val="18"/>
          <w:u w:val="none" w:color="323232"/>
        </w:rPr>
      </w:pPr>
      <w:r>
        <w:rPr>
          <w:rStyle w:val="NoneA"/>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A"/>
          <w:rFonts w:ascii="Arial" w:hAnsi="Arial"/>
          <w:i/>
          <w:iCs/>
          <w:color w:val="323232"/>
          <w:sz w:val="18"/>
          <w:szCs w:val="18"/>
          <w:u w:val="none" w:color="323232"/>
          <w:lang w:val="de-DE"/>
        </w:rPr>
        <w:t>PLoS ONE</w:t>
      </w:r>
      <w:r>
        <w:rPr>
          <w:rStyle w:val="NoneA"/>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color="auto" w:fill="FFFFFF"/>
        <w:ind w:left="480" w:right="0" w:hanging="480"/>
        <w:rPr/>
      </w:pPr>
      <w:r>
        <w:rPr>
          <w:rStyle w:val="NoneA"/>
          <w:rFonts w:ascii="Arial" w:hAnsi="Arial"/>
          <w:sz w:val="18"/>
          <w:szCs w:val="18"/>
          <w:lang w:val="en-US"/>
        </w:rPr>
        <w:t xml:space="preserve">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6">
        <w:r>
          <w:rPr>
            <w:rStyle w:val="Hyperlink5"/>
            <w:lang w:val="en-US"/>
          </w:rPr>
          <w:t>http://doi.org/10.1056/NEJMoa1408913</w:t>
        </w:r>
      </w:hyperlink>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Selmer, T., &amp; Andrei, P. I. (2001). p-hydroxyphenylacetate decarboxylase from Clostridium difficile: A novel glycyl radical enzyme catalysing the formation of p-cresol. European Journal of Biochemistry, 268(5), 1363–1372. http://doi.org/10.1046/j.1432-1327.2001.02001.xSonger, J. G., &amp; Anderson, M. A. (2006). Clostridium difficile: An important pathogen of food animals. </w:t>
      </w:r>
      <w:r>
        <w:rPr>
          <w:rStyle w:val="NoneA"/>
          <w:rFonts w:ascii="Arial" w:hAnsi="Arial"/>
          <w:i/>
          <w:iCs/>
          <w:sz w:val="18"/>
          <w:szCs w:val="18"/>
          <w:lang w:val="en-US"/>
        </w:rPr>
        <w:t>Anaerobe</w:t>
      </w:r>
      <w:r>
        <w:rPr>
          <w:rStyle w:val="NoneA"/>
          <w:rFonts w:ascii="Arial" w:hAnsi="Arial"/>
          <w:sz w:val="18"/>
          <w:szCs w:val="18"/>
          <w:lang w:val="en-US"/>
        </w:rPr>
        <w:t>. http://doi.org/10.1016/j.anaerobe.2005.09.001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color="auto" w:fill="FFFFFF"/>
        <w:spacing w:lineRule="atLeast" w:line="100"/>
        <w:ind w:left="480" w:right="0" w:hanging="480"/>
        <w:jc w:val="both"/>
        <w:rPr>
          <w:rStyle w:val="NoneA"/>
          <w:rFonts w:ascii="Arial" w:hAnsi="Arial" w:eastAsia="Arial" w:cs="Arial"/>
          <w:sz w:val="18"/>
          <w:szCs w:val="18"/>
        </w:rPr>
      </w:pPr>
      <w:r>
        <w:rPr>
          <w:rStyle w:val="NoneA"/>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A"/>
          <w:rFonts w:ascii="Arial" w:hAnsi="Arial"/>
          <w:sz w:val="18"/>
          <w:szCs w:val="18"/>
          <w:lang w:val="en-US"/>
        </w:rPr>
        <w:t xml:space="preserve">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7">
        <w:r>
          <w:rPr>
            <w:rStyle w:val="Hyperlink6"/>
            <w:lang w:val="en-US"/>
          </w:rPr>
          <w:t>http://doi.org/10.1007/s10096-015-2479-6</w:t>
        </w:r>
      </w:hyperlink>
    </w:p>
    <w:sectPr>
      <w:headerReference w:type="default" r:id="rId18"/>
      <w:footerReference w:type="default" r:id="rId19"/>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color w:val="0000FF"/>
      <w:u w:val="single" w:color="0000FF"/>
    </w:rPr>
  </w:style>
  <w:style w:type="character" w:styleId="Hyperlink1">
    <w:name w:val="Hyperlink.1"/>
    <w:basedOn w:val="NoneA"/>
    <w:qFormat/>
    <w:rPr>
      <w:rFonts w:ascii="Arial" w:hAnsi="Arial" w:eastAsia="Arial" w:cs="Arial"/>
      <w:caps w:val="false"/>
      <w:smallCaps w:val="false"/>
      <w:color w:val="000000"/>
      <w:spacing w:val="0"/>
      <w:sz w:val="22"/>
      <w:szCs w:val="22"/>
      <w:u w:val="single" w:color="000000"/>
    </w:rPr>
  </w:style>
  <w:style w:type="character" w:styleId="Hyperlink2">
    <w:name w:val="Hyperlink.2"/>
    <w:basedOn w:val="NoneA"/>
    <w:qFormat/>
    <w:rPr>
      <w:rFonts w:ascii="Arial" w:hAnsi="Arial" w:eastAsia="Arial" w:cs="Arial"/>
      <w:color w:val="000080"/>
      <w:sz w:val="22"/>
      <w:szCs w:val="22"/>
      <w:u w:val="single" w:color="000080"/>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doi.org/10.1046/j.1432-1327.2001.02001.x" TargetMode="External"/><Relationship Id="rId7" Type="http://schemas.openxmlformats.org/officeDocument/2006/relationships/hyperlink" Target="https://github.com/jlleslie/Intraspecific_Competition/blob/master/methods/Verocell_ToxinActivity_Assay.Rmd" TargetMode="External"/><Relationship Id="rId8" Type="http://schemas.openxmlformats.org/officeDocument/2006/relationships/hyperlink" Target="https://github.com/jlleslie/Intraspecific_Competition/blob/master/methods/Verocell_ToxinActivity_Assay.Rmd" TargetMode="External"/><Relationship Id="rId9" Type="http://schemas.openxmlformats.org/officeDocument/2006/relationships/hyperlink" Target="https://github.com/SchlossLab/Jenior_Transcriptomics_2015/blob/master/doc/wetlab_protocol.txt" TargetMode="External"/><Relationship Id="rId10" Type="http://schemas.openxmlformats.org/officeDocument/2006/relationships/hyperlink" Target="http://broadinstitute.github.io/picard/" TargetMode="External"/><Relationship Id="rId11" Type="http://schemas.openxmlformats.org/officeDocument/2006/relationships/hyperlink" Target="https://github.com/SchlossLab/Jenior_Transcriptomics_2015/blob/master/doc/drylab_protocol.txt" TargetMode="External"/><Relationship Id="rId12" Type="http://schemas.openxmlformats.org/officeDocument/2006/relationships/hyperlink" Target="https://github.com/mjenior/bigsmall" TargetMode="External"/><Relationship Id="rId13" Type="http://schemas.openxmlformats.org/officeDocument/2006/relationships/hyperlink" Target="http://doi.org/10.1128/JB.00098-15" TargetMode="External"/><Relationship Id="rId14" Type="http://schemas.openxmlformats.org/officeDocument/2006/relationships/hyperlink" Target="http://doi.org/10.1111/j.1432-1033.1997.t01-1-00735.x" TargetMode="External"/><Relationship Id="rId15" Type="http://schemas.openxmlformats.org/officeDocument/2006/relationships/hyperlink" Target="http://doi.org/10.1128/IAI.00515-13" TargetMode="External"/><Relationship Id="rId16" Type="http://schemas.openxmlformats.org/officeDocument/2006/relationships/hyperlink" Target="http://doi.org/10.1056/NEJMoa1408913" TargetMode="External"/><Relationship Id="rId17" Type="http://schemas.openxmlformats.org/officeDocument/2006/relationships/hyperlink" Target="http://doi.org/10.1007/s10096-015-2479-6"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84</TotalTime>
  <Application>LibreOffice/5.1.4.2$Linux_X86_64 LibreOffice_project/10m0$Build-2</Application>
  <Pages>37</Pages>
  <Words>11182</Words>
  <Characters>67642</Characters>
  <CharactersWithSpaces>78681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2016-09-24T16:56:52Z</dcterms:modified>
  <cp:revision>2</cp:revision>
  <dc:subject/>
  <dc:title/>
</cp:coreProperties>
</file>