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p>
    <w:p>
      <w:pPr>
        <w:pStyle w:val="Default"/>
        <w:shd w:val="clear" w:color="auto" w:fill="ffffff"/>
        <w:spacing w:line="480" w:lineRule="auto"/>
        <w:jc w:val="both"/>
        <w:rPr>
          <w:rFonts w:ascii="Arial" w:cs="Arial" w:hAnsi="Arial" w:eastAsia="Arial"/>
          <w:sz w:val="22"/>
          <w:szCs w:val="22"/>
        </w:rPr>
      </w:pPr>
      <w:r>
        <w:rPr>
          <w:rStyle w:val="None A"/>
          <w:rFonts w:ascii="Arial" w:hAnsi="Arial"/>
          <w:b w:val="1"/>
          <w:bCs w:val="1"/>
          <w:sz w:val="22"/>
          <w:szCs w:val="22"/>
          <w:rtl w:val="0"/>
          <w:lang w:val="en-US"/>
        </w:rPr>
        <w:t>Introduction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Fonts w:ascii="Arial" w:hAnsi="Arial"/>
          <w:sz w:val="22"/>
          <w:szCs w:val="22"/>
          <w:rtl w:val="0"/>
          <w:lang w:val="en-US"/>
        </w:rPr>
        <w:t xml:space="preserve"> (</w:t>
      </w:r>
      <w:r>
        <w:rPr>
          <w:rFonts w:ascii="Arial" w:hAnsi="Arial"/>
          <w:sz w:val="22"/>
          <w:szCs w:val="22"/>
          <w:rtl w:val="0"/>
          <w:lang w:val="en-US"/>
        </w:rPr>
        <w:t>Young, 2004</w:t>
      </w:r>
      <w:r>
        <w:rPr>
          <w:rFonts w:ascii="Arial" w:hAnsi="Arial"/>
          <w:sz w:val="22"/>
          <w:szCs w:val="22"/>
          <w:rtl w:val="0"/>
          <w:lang w:val="en-US"/>
        </w:rPr>
        <w:t>).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Mouse models have been an effective</w:t>
      </w:r>
      <w:r>
        <w:rPr>
          <w:rStyle w:val="None A"/>
          <w:rFonts w:ascii="Arial" w:hAnsi="Arial"/>
          <w:sz w:val="22"/>
          <w:szCs w:val="22"/>
          <w:rtl w:val="0"/>
          <w:lang w:val="en-US"/>
        </w:rPr>
        <w:t xml:space="preser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density in the cecum before beginning to sporulate (Koenigsknecht, 2015).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w:t>
      </w:r>
      <w:r>
        <w:rPr>
          <w:rStyle w:val="None A"/>
          <w:rFonts w:ascii="Arial" w:hAnsi="Arial"/>
          <w:sz w:val="22"/>
          <w:szCs w:val="22"/>
          <w:rtl w:val="0"/>
          <w:lang w:val="en-US"/>
        </w:rPr>
        <w:t xml:space="preserve">3; </w:t>
      </w:r>
      <w:r>
        <w:rPr>
          <w:rStyle w:val="None A"/>
          <w:rFonts w:ascii="Arial" w:hAnsi="Arial"/>
          <w:sz w:val="22"/>
          <w:szCs w:val="22"/>
          <w:rtl w:val="0"/>
          <w:lang w:val="en-US"/>
        </w:rPr>
        <w:t xml:space="preserve">Wilson, 1988) in which an organism must be able to utilize </w:t>
      </w:r>
      <w:r>
        <w:rPr>
          <w:rStyle w:val="None A"/>
          <w:rFonts w:ascii="Arial" w:hAnsi="Arial"/>
          <w:sz w:val="22"/>
          <w:szCs w:val="22"/>
          <w:rtl w:val="0"/>
          <w:lang w:val="en-US"/>
        </w:rPr>
        <w:t>a subset of</w:t>
      </w:r>
      <w:r>
        <w:rPr>
          <w:rStyle w:val="None A"/>
          <w:rFonts w:ascii="Arial" w:hAnsi="Arial"/>
          <w:sz w:val="22"/>
          <w:szCs w:val="22"/>
          <w:rtl w:val="0"/>
          <w:lang w:val="en-US"/>
        </w:rPr>
        <w:t xml:space="preserve"> available resources </w:t>
      </w:r>
      <w:r>
        <w:rPr>
          <w:rStyle w:val="None A"/>
          <w:rFonts w:ascii="Arial" w:hAnsi="Arial"/>
          <w:sz w:val="22"/>
          <w:szCs w:val="22"/>
          <w:rtl w:val="0"/>
          <w:lang w:val="en-US"/>
        </w:rPr>
        <w:t xml:space="preserve">better than all competitors </w:t>
      </w:r>
      <w:r>
        <w:rPr>
          <w:rStyle w:val="None A"/>
          <w:rFonts w:ascii="Arial" w:hAnsi="Arial"/>
          <w:sz w:val="22"/>
          <w:szCs w:val="22"/>
          <w:rtl w:val="0"/>
          <w:lang w:val="en-US"/>
        </w:rPr>
        <w:t xml:space="preserve">to </w:t>
      </w:r>
      <w:r>
        <w:rPr>
          <w:rStyle w:val="None A"/>
          <w:rFonts w:ascii="Arial" w:hAnsi="Arial"/>
          <w:sz w:val="22"/>
          <w:szCs w:val="22"/>
          <w:rtl w:val="0"/>
          <w:lang w:val="en-US"/>
        </w:rPr>
        <w:t>colonize the intestine</w:t>
      </w:r>
      <w:r>
        <w:rPr>
          <w:rStyle w:val="None A"/>
          <w:rFonts w:ascii="Arial" w:hAnsi="Arial"/>
          <w:sz w:val="22"/>
          <w:szCs w:val="22"/>
          <w:rtl w:val="0"/>
          <w:lang w:val="en-US"/>
        </w:rPr>
        <w:t>.</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Pr>
        <w:tab/>
      </w:r>
      <w:r>
        <w:rPr>
          <w:rStyle w:val="None A"/>
          <w:rFonts w:ascii="Arial" w:hAnsi="Arial"/>
          <w:sz w:val="22"/>
          <w:szCs w:val="22"/>
          <w:rtl w:val="0"/>
          <w:lang w:val="en-US"/>
        </w:rPr>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sz w:val="22"/>
          <w:szCs w:val="22"/>
          <w:rtl w:val="0"/>
          <w:lang w:val="en-US"/>
        </w:rPr>
        <w:t>have mainly focused on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changes</w:t>
      </w:r>
      <w:r>
        <w:rPr>
          <w:rStyle w:val="None A"/>
          <w:rFonts w:ascii="Arial" w:hAnsi="Arial"/>
          <w:sz w:val="22"/>
          <w:szCs w:val="22"/>
          <w:rtl w:val="0"/>
          <w:lang w:val="en-US"/>
        </w:rPr>
        <w:t xml:space="preserve"> (Matamouros, 2007; Antunes, 2011)</w:t>
      </w:r>
      <w:r>
        <w:rPr>
          <w:rStyle w:val="None A"/>
          <w:rFonts w:ascii="Arial" w:hAnsi="Arial"/>
          <w:sz w:val="22"/>
          <w:szCs w:val="22"/>
          <w:rtl w:val="0"/>
          <w:lang w:val="en-US"/>
        </w:rPr>
        <w:t xml:space="preserve">, </w:t>
      </w:r>
      <w:r>
        <w:rPr>
          <w:rStyle w:val="None A"/>
          <w:rFonts w:ascii="Arial" w:hAnsi="Arial"/>
          <w:sz w:val="22"/>
          <w:szCs w:val="22"/>
          <w:rtl w:val="0"/>
          <w:lang w:val="en-US"/>
        </w:rPr>
        <w:t xml:space="preserve">with a some work characterizing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transcription during colonization of germ free mice (Janoir, 2013). It was also demonstrated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up-regulates of several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the substrates it needs. Groups have also used metabolomic analysis to more directly assay changes in bacterial metabolism as they relate to CDI, but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With this in mind,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can provide unique insight into its active metabolic pathways in a more realistic model of infection.  Integrating these data with </w:t>
      </w:r>
      <w:r>
        <w:rPr>
          <w:rStyle w:val="None A"/>
          <w:rFonts w:ascii="Arial" w:hAnsi="Arial"/>
          <w:i w:val="1"/>
          <w:iCs w:val="1"/>
          <w:sz w:val="22"/>
          <w:szCs w:val="22"/>
          <w:rtl w:val="0"/>
          <w:lang w:val="en-US"/>
        </w:rPr>
        <w:t>in silico</w:t>
      </w:r>
      <w:r>
        <w:rPr>
          <w:rStyle w:val="None A"/>
          <w:rFonts w:ascii="Arial" w:hAnsi="Arial"/>
          <w:sz w:val="22"/>
          <w:szCs w:val="22"/>
          <w:rtl w:val="0"/>
          <w:lang w:val="en-US"/>
        </w:rPr>
        <w:t xml:space="preserve"> metabolic modeling can also aid in identifying the most active aspects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infer which substrates the organism is differentially using across antibiotic models.  This approach has been used to successfully ___in yeast</w:t>
      </w:r>
    </w:p>
    <w:p>
      <w:pPr>
        <w:pStyle w:val="Default"/>
        <w:shd w:val="clear" w:color="auto" w:fill="ffffff"/>
        <w:spacing w:line="480" w:lineRule="auto"/>
        <w:jc w:val="both"/>
      </w:pPr>
      <w:r>
        <w:rPr>
          <w:rStyle w:val="None A"/>
          <w:rFonts w:ascii="Arial" w:hAnsi="Arial"/>
          <w:sz w:val="22"/>
          <w:szCs w:val="22"/>
          <w:rtl w:val="0"/>
          <w:lang w:val="en-US"/>
        </w:rPr>
        <w:t>(Patio, 2005)</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str. 630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w:t>
      </w:r>
      <w:r>
        <w:rPr>
          <w:rStyle w:val="None A"/>
          <w:rFonts w:ascii="Arial" w:hAnsi="Arial"/>
          <w:sz w:val="22"/>
          <w:szCs w:val="22"/>
          <w:rtl w:val="0"/>
          <w:lang w:val="en-US"/>
        </w:rPr>
        <w:t xml:space="preserve"> &lt; </w:t>
      </w:r>
      <w:r>
        <w:rPr>
          <w:rStyle w:val="None A"/>
          <w:rFonts w:ascii="Arial" w:hAnsi="Arial"/>
          <w:sz w:val="22"/>
          <w:szCs w:val="22"/>
          <w:rtl w:val="0"/>
          <w:lang w:val="en-US"/>
        </w:rPr>
        <w:t>0.05; Fig</w:t>
      </w:r>
      <w:r>
        <w:rPr>
          <w:rStyle w:val="None A"/>
          <w:rFonts w:ascii="Arial" w:hAnsi="Arial"/>
          <w:sz w:val="22"/>
          <w:szCs w:val="22"/>
          <w:rtl w:val="0"/>
          <w:lang w:val="en-US"/>
        </w:rPr>
        <w:t>.</w:t>
      </w:r>
      <w:r>
        <w:rPr>
          <w:rStyle w:val="None A"/>
          <w:rFonts w:ascii="Arial" w:hAnsi="Arial"/>
          <w:sz w:val="22"/>
          <w:szCs w:val="22"/>
          <w:rtl w:val="0"/>
          <w:lang w:val="en-US"/>
        </w:rPr>
        <w:t xml:space="preserve"> 1</w:t>
      </w:r>
      <w:r>
        <w:rPr>
          <w:rStyle w:val="None A"/>
          <w:rFonts w:ascii="Arial" w:hAnsi="Arial"/>
          <w:sz w:val="22"/>
          <w:szCs w:val="22"/>
          <w:rtl w:val="0"/>
          <w:lang w:val="en-US"/>
        </w:rPr>
        <w:t>B</w:t>
      </w:r>
      <w:r>
        <w:rPr>
          <w:rStyle w:val="None A"/>
          <w:rFonts w:ascii="Arial" w:hAnsi="Arial"/>
          <w:sz w:val="22"/>
          <w:szCs w:val="22"/>
          <w:rtl w:val="0"/>
          <w:lang w:val="en-US"/>
        </w:rPr>
        <w:t>). All antibiotic treated and g</w:t>
      </w:r>
      <w:r>
        <w:rPr>
          <w:rStyle w:val="None A"/>
          <w:rFonts w:ascii="Arial" w:hAnsi="Arial"/>
          <w:sz w:val="22"/>
          <w:szCs w:val="22"/>
          <w:rtl w:val="0"/>
          <w:lang w:val="en-US"/>
        </w:rPr>
        <w:t>notobiotic</w:t>
      </w:r>
      <w:r>
        <w:rPr>
          <w:rStyle w:val="None A"/>
          <w:rFonts w:ascii="Arial" w:hAnsi="Arial"/>
          <w:sz w:val="22"/>
          <w:szCs w:val="22"/>
          <w:rtl w:val="0"/>
          <w:lang w:val="en-US"/>
        </w:rPr>
        <w:t xml:space="preserve">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0.01) were detected in gnotobiotic mice than in the antibiotic treated mice (Fig. 1</w:t>
      </w:r>
      <w:r>
        <w:rPr>
          <w:rStyle w:val="None A"/>
          <w:rFonts w:ascii="Arial" w:hAnsi="Arial"/>
          <w:sz w:val="22"/>
          <w:szCs w:val="22"/>
          <w:rtl w:val="0"/>
          <w:lang w:val="en-US"/>
        </w:rPr>
        <w:t>C</w:t>
      </w:r>
      <w:r>
        <w:rPr>
          <w:rStyle w:val="None A"/>
          <w:rFonts w:ascii="Arial" w:hAnsi="Arial"/>
          <w:sz w:val="22"/>
          <w:szCs w:val="22"/>
          <w:rtl w:val="0"/>
          <w:lang w:val="en-US"/>
        </w:rPr>
        <w:t xml:space="preserve">).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0.01), but toxin titer also varied between antibiotic treatment groups (Fig. 1</w:t>
      </w:r>
      <w:r>
        <w:rPr>
          <w:rStyle w:val="None A"/>
          <w:rFonts w:ascii="Arial" w:hAnsi="Arial"/>
          <w:sz w:val="22"/>
          <w:szCs w:val="22"/>
          <w:rtl w:val="0"/>
          <w:lang w:val="en-US"/>
        </w:rPr>
        <w:t>D</w:t>
      </w:r>
      <w:r>
        <w:rPr>
          <w:rStyle w:val="None A"/>
          <w:rFonts w:ascii="Arial" w:hAnsi="Arial"/>
          <w:sz w:val="22"/>
          <w:szCs w:val="22"/>
          <w:rtl w:val="0"/>
          <w:lang w:val="en-US"/>
        </w:rPr>
        <w:t xml:space="preserve">). Although similar toxin titers were found in both the cefoperazone and clindamycin-treated groups, toxin titer was not detectable in the streptomycin-treated animals. These </w:t>
      </w:r>
      <w:r>
        <w:rPr>
          <w:rStyle w:val="None A"/>
          <w:rFonts w:ascii="Arial" w:hAnsi="Arial"/>
          <w:sz w:val="22"/>
          <w:szCs w:val="22"/>
          <w:rtl w:val="0"/>
          <w:lang w:val="en-US"/>
        </w:rPr>
        <w:t xml:space="preserve">results </w:t>
      </w:r>
      <w:r>
        <w:rPr>
          <w:rStyle w:val="None A"/>
          <w:rFonts w:ascii="Arial" w:hAnsi="Arial"/>
          <w:sz w:val="22"/>
          <w:szCs w:val="22"/>
          <w:rtl w:val="0"/>
          <w:lang w:val="en-US"/>
        </w:rPr>
        <w:t xml:space="preserve">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r>
        <w:rPr>
          <w:rStyle w:val="None A"/>
          <w:rFonts w:ascii="Arial" w:hAnsi="Arial"/>
          <w:sz w:val="22"/>
          <w:szCs w:val="22"/>
          <w:rtl w:val="0"/>
          <w:lang w:val="en-US"/>
        </w:rPr>
        <w:t xml:space="preserve"> High levels of both spores and toxin titer in gnotobiotic mice </w:t>
      </w:r>
      <w:r>
        <w:rPr>
          <w:rStyle w:val="None A"/>
          <w:rFonts w:ascii="Arial" w:hAnsi="Arial"/>
          <w:strike w:val="0"/>
          <w:dstrike w:val="0"/>
          <w:sz w:val="22"/>
          <w:szCs w:val="22"/>
          <w:rtl w:val="0"/>
          <w:lang w:val="en-US"/>
        </w:rPr>
        <w:t>is</w:t>
      </w:r>
      <w:r>
        <w:rPr>
          <w:rStyle w:val="None A"/>
          <w:rFonts w:ascii="Arial" w:hAnsi="Arial"/>
          <w:strike w:val="0"/>
          <w:dstrike w:val="0"/>
          <w:sz w:val="22"/>
          <w:szCs w:val="22"/>
          <w:rtl w:val="0"/>
          <w:lang w:val="en-US"/>
        </w:rPr>
        <w:t xml:space="preserve"> most</w:t>
      </w:r>
      <w:r>
        <w:rPr>
          <w:rStyle w:val="None A"/>
          <w:rFonts w:ascii="Arial" w:hAnsi="Arial"/>
          <w:strike w:val="0"/>
          <w:dstrike w:val="0"/>
          <w:sz w:val="22"/>
          <w:szCs w:val="22"/>
          <w:rtl w:val="0"/>
          <w:lang w:val="en-US"/>
        </w:rPr>
        <w:t xml:space="preserve"> likely due to temporal changes in infection </w:t>
      </w:r>
      <w:r>
        <w:rPr>
          <w:rStyle w:val="None A"/>
          <w:rFonts w:ascii="Arial" w:hAnsi="Arial"/>
          <w:strike w:val="0"/>
          <w:dstrike w:val="0"/>
          <w:sz w:val="22"/>
          <w:szCs w:val="22"/>
          <w:rtl w:val="0"/>
          <w:lang w:val="en-US"/>
        </w:rPr>
        <w:t xml:space="preserve">dynamics </w:t>
      </w:r>
      <w:r>
        <w:rPr>
          <w:rStyle w:val="None A"/>
          <w:rFonts w:ascii="Arial" w:hAnsi="Arial"/>
          <w:strike w:val="0"/>
          <w:dstrike w:val="0"/>
          <w:sz w:val="22"/>
          <w:szCs w:val="22"/>
          <w:rtl w:val="0"/>
          <w:lang w:val="en-US"/>
        </w:rPr>
        <w:t>when no other bacteria are present.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stranded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Style w:val="None A"/>
          <w:rFonts w:ascii="Arial" w:hAnsi="Arial"/>
          <w:i w:val="1"/>
          <w:iCs w:val="1"/>
          <w:sz w:val="22"/>
          <w:szCs w:val="22"/>
          <w:rtl w:val="0"/>
          <w:lang w:val="en-US"/>
        </w:rPr>
        <w:t>lostridium difficile</w:t>
      </w:r>
      <w:r>
        <w:rPr>
          <w:rStyle w:val="None A"/>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w:t>
      </w:r>
      <w:r>
        <w:rPr>
          <w:rStyle w:val="None A"/>
          <w:rFonts w:ascii="Arial" w:hAnsi="Arial"/>
          <w:sz w:val="22"/>
          <w:szCs w:val="22"/>
          <w:rtl w:val="0"/>
          <w:lang w:val="en-US"/>
        </w:rPr>
        <w:t xml:space="preserve"> (</w:t>
      </w:r>
      <w:r>
        <w:rPr>
          <w:rStyle w:val="None A"/>
          <w:rFonts w:ascii="Arial" w:hAnsi="Arial"/>
          <w:sz w:val="22"/>
          <w:szCs w:val="22"/>
          <w:rtl w:val="0"/>
          <w:lang w:val="en-US"/>
        </w:rPr>
        <w:t>Fig</w:t>
      </w:r>
      <w:r>
        <w:rPr>
          <w:rStyle w:val="None A"/>
          <w:rFonts w:ascii="Arial" w:hAnsi="Arial"/>
          <w:sz w:val="22"/>
          <w:szCs w:val="22"/>
          <w:rtl w:val="0"/>
          <w:lang w:val="en-US"/>
        </w:rPr>
        <w:t>.</w:t>
      </w:r>
      <w:r>
        <w:rPr>
          <w:rStyle w:val="None A"/>
          <w:rFonts w:ascii="Arial" w:hAnsi="Arial"/>
          <w:sz w:val="22"/>
          <w:szCs w:val="22"/>
          <w:rtl w:val="0"/>
          <w:lang w:val="en-US"/>
        </w:rPr>
        <w:t xml:space="preserve"> 2</w:t>
      </w:r>
      <w:r>
        <w:rPr>
          <w:rStyle w:val="None A"/>
          <w:rFonts w:ascii="Arial" w:hAnsi="Arial"/>
          <w:sz w:val="22"/>
          <w:szCs w:val="22"/>
          <w:rtl w:val="0"/>
          <w:lang w:val="en-US"/>
        </w:rPr>
        <w:t>)</w:t>
      </w:r>
      <w:r>
        <w:rPr>
          <w:rStyle w:val="None A"/>
          <w:rFonts w:ascii="Arial" w:hAnsi="Arial"/>
          <w:sz w:val="22"/>
          <w:szCs w:val="22"/>
          <w:rtl w:val="0"/>
          <w:lang w:val="en-US"/>
        </w:rPr>
        <w:t>.</w:t>
      </w:r>
      <w:r>
        <w:rPr>
          <w:rStyle w:val="None A"/>
          <w:rFonts w:ascii="Arial" w:hAnsi="Arial"/>
          <w:sz w:val="22"/>
          <w:szCs w:val="22"/>
          <w:rtl w:val="0"/>
          <w:lang w:val="en-US"/>
        </w:rPr>
        <w:t xml:space="preserve"> After observing very large temporal differences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phenotypes between gnotobiotic and conventionally-raised</w:t>
      </w:r>
      <w:r>
        <w:rPr>
          <w:rtl w:val="0"/>
          <w:lang w:val="en-US"/>
        </w:rPr>
        <w:t xml:space="preserve"> </w:t>
      </w:r>
      <w:r>
        <w:rPr>
          <w:rStyle w:val="None A"/>
          <w:rFonts w:ascii="Arial" w:hAnsi="Arial"/>
          <w:sz w:val="22"/>
          <w:szCs w:val="22"/>
          <w:rtl w:val="0"/>
          <w:lang w:val="en-US"/>
        </w:rPr>
        <w:t>mice, we chose to omit gnotobiotic animals from transcriptomic analysis and focus analysis on those groups containing potential competitor species.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2A).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detectable in each condition, despite apparent differences in toxin and spore production.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both phenotypes (Bouillaut, 2015)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w:t>
      </w:r>
      <w:r>
        <w:rPr>
          <w:rStyle w:val="None A"/>
          <w:rFonts w:ascii="Arial" w:hAnsi="Arial"/>
          <w:sz w:val="22"/>
          <w:szCs w:val="22"/>
          <w:rtl w:val="0"/>
          <w:lang w:val="en-US"/>
        </w:rPr>
        <w:t>c</w:t>
      </w:r>
      <w:r>
        <w:rPr>
          <w:rStyle w:val="None A"/>
          <w:rFonts w:ascii="Arial" w:hAnsi="Arial"/>
          <w:sz w:val="22"/>
          <w:szCs w:val="22"/>
          <w:rtl w:val="0"/>
          <w:lang w:val="en-US"/>
        </w:rPr>
        <w:t>efoperazone</w:t>
      </w:r>
      <w:r>
        <w:rPr>
          <w:rStyle w:val="None A"/>
          <w:rFonts w:ascii="Arial" w:hAnsi="Arial"/>
          <w:sz w:val="22"/>
          <w:szCs w:val="22"/>
          <w:rtl w:val="0"/>
          <w:lang w:val="en-US"/>
        </w:rPr>
        <w:t>-</w:t>
      </w:r>
      <w:r>
        <w:rPr>
          <w:rStyle w:val="None A"/>
          <w:rFonts w:ascii="Arial" w:hAnsi="Arial"/>
          <w:sz w:val="22"/>
          <w:szCs w:val="22"/>
          <w:rtl w:val="0"/>
          <w:lang w:val="en-US"/>
        </w:rPr>
        <w:t xml:space="preserve">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which were approximately 10-fold less expressed in </w:t>
      </w:r>
      <w:r>
        <w:rPr>
          <w:rStyle w:val="None A"/>
          <w:rFonts w:ascii="Arial" w:hAnsi="Arial"/>
          <w:sz w:val="22"/>
          <w:szCs w:val="22"/>
          <w:rtl w:val="0"/>
          <w:lang w:val="en-US"/>
        </w:rPr>
        <w:t>c</w:t>
      </w:r>
      <w:r>
        <w:rPr>
          <w:rStyle w:val="None A"/>
          <w:rFonts w:ascii="Arial" w:hAnsi="Arial"/>
          <w:sz w:val="22"/>
          <w:szCs w:val="22"/>
          <w:rtl w:val="0"/>
          <w:lang w:val="en-US"/>
        </w:rPr>
        <w:t xml:space="preserve">efoperazone than the others. These sigma factors are involved in expressing genes for proper spore coat assembly and asymmetric division (Donnelly, 2016; Fimlaid, 2013). This agrees with the measured differences in CFU due to spores </w:t>
      </w:r>
      <w:r>
        <w:rPr>
          <w:rStyle w:val="None A"/>
          <w:rFonts w:ascii="Arial" w:hAnsi="Arial"/>
          <w:sz w:val="22"/>
          <w:szCs w:val="22"/>
          <w:rtl w:val="0"/>
          <w:lang w:val="en-US"/>
        </w:rPr>
        <w:t>(</w:t>
      </w:r>
      <w:r>
        <w:rPr>
          <w:rStyle w:val="None A"/>
          <w:rFonts w:ascii="Arial" w:hAnsi="Arial"/>
          <w:sz w:val="22"/>
          <w:szCs w:val="22"/>
          <w:rtl w:val="0"/>
          <w:lang w:val="en-US"/>
        </w:rPr>
        <w:t>Fig. 1</w:t>
      </w:r>
      <w:r>
        <w:rPr>
          <w:rStyle w:val="None A"/>
          <w:rFonts w:ascii="Arial" w:hAnsi="Arial"/>
          <w:sz w:val="22"/>
          <w:szCs w:val="22"/>
          <w:rtl w:val="0"/>
          <w:lang w:val="en-US"/>
        </w:rPr>
        <w:t>C)</w:t>
      </w:r>
      <w:r>
        <w:rPr>
          <w:rStyle w:val="None A"/>
          <w:rFonts w:ascii="Arial" w:hAnsi="Arial"/>
          <w:sz w:val="22"/>
          <w:szCs w:val="22"/>
          <w:rtl w:val="0"/>
          <w:lang w:val="en-US"/>
        </w:rPr>
        <w:t xml:space="preserve"> where </w:t>
      </w:r>
      <w:r>
        <w:rPr>
          <w:rStyle w:val="None A"/>
          <w:rFonts w:ascii="Arial" w:hAnsi="Arial"/>
          <w:sz w:val="22"/>
          <w:szCs w:val="22"/>
          <w:rtl w:val="0"/>
          <w:lang w:val="en-US"/>
        </w:rPr>
        <w:t>c</w:t>
      </w:r>
      <w:r>
        <w:rPr>
          <w:rStyle w:val="None A"/>
          <w:rFonts w:ascii="Arial" w:hAnsi="Arial"/>
          <w:sz w:val="22"/>
          <w:szCs w:val="22"/>
          <w:rtl w:val="0"/>
          <w:lang w:val="en-US"/>
        </w:rPr>
        <w:t>efoperazone pretreatment resulted in delayed sporulation.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2B).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2C).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w:t>
      </w:r>
      <w:r>
        <w:rPr>
          <w:rStyle w:val="None A"/>
          <w:rFonts w:ascii="Arial" w:hAnsi="Arial"/>
          <w:sz w:val="22"/>
          <w:szCs w:val="22"/>
          <w:rtl w:val="0"/>
          <w:lang w:val="en-US"/>
        </w:rPr>
        <w:t>c</w:t>
      </w:r>
      <w:r>
        <w:rPr>
          <w:rStyle w:val="None A"/>
          <w:rFonts w:ascii="Arial" w:hAnsi="Arial"/>
          <w:sz w:val="22"/>
          <w:szCs w:val="22"/>
          <w:rtl w:val="0"/>
          <w:lang w:val="en-US"/>
        </w:rPr>
        <w:t xml:space="preserve">efoperazone pretreatment. Mutants for this gene have been associated with impaired toxin secretion and low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expression of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may partially explain the historically lowered virulence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(Theriot, 2011).</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2D).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energy metabolism pathways are differentially expressed between colonized environments.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 number of notable within-group differences stood out including one in relative expression abundance for genes associated with sugar alcohol catabolism (Fig. 3E). Transcripts from this gene set are almost undetectable in the </w:t>
      </w:r>
      <w:r>
        <w:rPr>
          <w:rStyle w:val="None A"/>
          <w:rFonts w:ascii="Arial" w:hAnsi="Arial"/>
          <w:sz w:val="22"/>
          <w:szCs w:val="22"/>
          <w:rtl w:val="0"/>
          <w:lang w:val="en-US"/>
        </w:rPr>
        <w:t>c</w:t>
      </w:r>
      <w:r>
        <w:rPr>
          <w:rStyle w:val="None A"/>
          <w:rFonts w:ascii="Arial" w:hAnsi="Arial"/>
          <w:sz w:val="22"/>
          <w:szCs w:val="22"/>
          <w:rtl w:val="0"/>
          <w:lang w:val="en-US"/>
        </w:rPr>
        <w:t xml:space="preserve">lindamycin pretreated group, however a large difference was found between those genes more associated with </w:t>
      </w:r>
      <w:r>
        <w:rPr>
          <w:rStyle w:val="None A"/>
          <w:rFonts w:ascii="Arial" w:hAnsi="Arial"/>
          <w:sz w:val="22"/>
          <w:szCs w:val="22"/>
          <w:rtl w:val="0"/>
          <w:lang w:val="en-US"/>
        </w:rPr>
        <w:t>c</w:t>
      </w:r>
      <w:r>
        <w:rPr>
          <w:rStyle w:val="None A"/>
          <w:rFonts w:ascii="Arial" w:hAnsi="Arial"/>
          <w:sz w:val="22"/>
          <w:szCs w:val="22"/>
          <w:rtl w:val="0"/>
          <w:lang w:val="en-US"/>
        </w:rPr>
        <w:t xml:space="preserve">efoperazone than </w:t>
      </w:r>
      <w:r>
        <w:rPr>
          <w:rStyle w:val="None A"/>
          <w:rFonts w:ascii="Arial" w:hAnsi="Arial"/>
          <w:sz w:val="22"/>
          <w:szCs w:val="22"/>
          <w:rtl w:val="0"/>
          <w:lang w:val="en-US"/>
        </w:rPr>
        <w:t>s</w:t>
      </w:r>
      <w:r>
        <w:rPr>
          <w:rStyle w:val="None A"/>
          <w:rFonts w:ascii="Arial" w:hAnsi="Arial"/>
          <w:sz w:val="22"/>
          <w:szCs w:val="22"/>
          <w:rtl w:val="0"/>
          <w:lang w:val="en-US"/>
        </w:rPr>
        <w:t xml:space="preserve">treptomycin pretreatment. Those genes closest to the </w:t>
      </w:r>
      <w:r>
        <w:rPr>
          <w:rStyle w:val="None A"/>
          <w:rFonts w:ascii="Arial" w:hAnsi="Arial"/>
          <w:sz w:val="22"/>
          <w:szCs w:val="22"/>
          <w:rtl w:val="0"/>
          <w:lang w:val="en-US"/>
        </w:rPr>
        <w:t>c</w:t>
      </w:r>
      <w:r>
        <w:rPr>
          <w:rStyle w:val="None A"/>
          <w:rFonts w:ascii="Arial" w:hAnsi="Arial"/>
          <w:sz w:val="22"/>
          <w:szCs w:val="22"/>
          <w:rtl w:val="0"/>
          <w:lang w:val="en-US"/>
        </w:rPr>
        <w:t>efoperazone edge are important for the utilization of mannitol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while those proximal to </w:t>
      </w:r>
      <w:r>
        <w:rPr>
          <w:rStyle w:val="None A"/>
          <w:rFonts w:ascii="Arial" w:hAnsi="Arial"/>
          <w:sz w:val="22"/>
          <w:szCs w:val="22"/>
          <w:rtl w:val="0"/>
          <w:lang w:val="en-US"/>
        </w:rPr>
        <w:t>s</w:t>
      </w:r>
      <w:r>
        <w:rPr>
          <w:rStyle w:val="None A"/>
          <w:rFonts w:ascii="Arial" w:hAnsi="Arial"/>
          <w:sz w:val="22"/>
          <w:szCs w:val="22"/>
          <w:rtl w:val="0"/>
          <w:lang w:val="en-US"/>
        </w:rPr>
        <w:t>treptomycin are involved in sorbitol metabolism (</w:t>
      </w:r>
      <w:r>
        <w:rPr>
          <w:rStyle w:val="None A"/>
          <w:rFonts w:ascii="Arial" w:hAnsi="Arial"/>
          <w:i w:val="1"/>
          <w:iCs w:val="1"/>
          <w:sz w:val="22"/>
          <w:szCs w:val="22"/>
          <w:rtl w:val="0"/>
          <w:lang w:val="en-US"/>
        </w:rPr>
        <w:t xml:space="preserve">srl </w:t>
      </w:r>
      <w:r>
        <w:rPr>
          <w:rStyle w:val="None A"/>
          <w:rFonts w:ascii="Arial" w:hAnsi="Arial"/>
          <w:sz w:val="22"/>
          <w:szCs w:val="22"/>
          <w:rtl w:val="0"/>
          <w:lang w:val="en-US"/>
        </w:rPr>
        <w:t xml:space="preserve">operon), indicating potential niche segregation or changes in sorbitol availability between groups. Additionally, there was another within-group difference for polysaccharide catabolism between genes associated more with </w:t>
      </w:r>
      <w:r>
        <w:rPr>
          <w:rStyle w:val="None A"/>
          <w:rFonts w:ascii="Arial" w:hAnsi="Arial"/>
          <w:sz w:val="22"/>
          <w:szCs w:val="22"/>
          <w:rtl w:val="0"/>
          <w:lang w:val="en-US"/>
        </w:rPr>
        <w:t>c</w:t>
      </w:r>
      <w:r>
        <w:rPr>
          <w:rStyle w:val="None A"/>
          <w:rFonts w:ascii="Arial" w:hAnsi="Arial"/>
          <w:sz w:val="22"/>
          <w:szCs w:val="22"/>
          <w:rtl w:val="0"/>
          <w:lang w:val="en-US"/>
        </w:rPr>
        <w:t xml:space="preserve">lindamycin pretreatment versus those associated with </w:t>
      </w:r>
      <w:r>
        <w:rPr>
          <w:rStyle w:val="None A"/>
          <w:rFonts w:ascii="Arial" w:hAnsi="Arial"/>
          <w:sz w:val="22"/>
          <w:szCs w:val="22"/>
          <w:rtl w:val="0"/>
          <w:lang w:val="en-US"/>
        </w:rPr>
        <w:t>c</w:t>
      </w:r>
      <w:r>
        <w:rPr>
          <w:rStyle w:val="None A"/>
          <w:rFonts w:ascii="Arial" w:hAnsi="Arial"/>
          <w:sz w:val="22"/>
          <w:szCs w:val="22"/>
          <w:rtl w:val="0"/>
          <w:lang w:val="en-US"/>
        </w:rPr>
        <w:t xml:space="preserve">efoperazone (Fig. 3D). Those genes most associated with </w:t>
      </w:r>
      <w:r>
        <w:rPr>
          <w:rStyle w:val="None A"/>
          <w:rFonts w:ascii="Arial" w:hAnsi="Arial"/>
          <w:sz w:val="22"/>
          <w:szCs w:val="22"/>
          <w:rtl w:val="0"/>
          <w:lang w:val="en-US"/>
        </w:rPr>
        <w:t>c</w:t>
      </w:r>
      <w:r>
        <w:rPr>
          <w:rStyle w:val="None A"/>
          <w:rFonts w:ascii="Arial" w:hAnsi="Arial"/>
          <w:sz w:val="22"/>
          <w:szCs w:val="22"/>
          <w:rtl w:val="0"/>
          <w:lang w:val="en-US"/>
        </w:rPr>
        <w:t>lindamycin are largely members of the beta-glucoside utilization locus (</w:t>
      </w:r>
      <w:r>
        <w:rPr>
          <w:rStyle w:val="None A"/>
          <w:rFonts w:ascii="Arial" w:hAnsi="Arial"/>
          <w:i w:val="1"/>
          <w:iCs w:val="1"/>
          <w:sz w:val="22"/>
          <w:szCs w:val="22"/>
          <w:rtl w:val="0"/>
          <w:lang w:val="en-US"/>
        </w:rPr>
        <w:t>bgl</w:t>
      </w:r>
      <w:r>
        <w:rPr>
          <w:rStyle w:val="None A"/>
          <w:rFonts w:ascii="Arial" w:hAnsi="Arial"/>
          <w:sz w:val="22"/>
          <w:szCs w:val="22"/>
          <w:rtl w:val="0"/>
          <w:lang w:val="en-US"/>
        </w:rPr>
        <w:t xml:space="preserve"> operon), canonically linked with salicin or arbutin metabolism (Schnetz, 1987). Genes more associated with </w:t>
      </w:r>
      <w:r>
        <w:rPr>
          <w:rStyle w:val="None A"/>
          <w:rFonts w:ascii="Arial" w:hAnsi="Arial"/>
          <w:sz w:val="22"/>
          <w:szCs w:val="22"/>
          <w:rtl w:val="0"/>
          <w:lang w:val="en-US"/>
        </w:rPr>
        <w:t>c</w:t>
      </w:r>
      <w:r>
        <w:rPr>
          <w:rStyle w:val="None A"/>
          <w:rFonts w:ascii="Arial" w:hAnsi="Arial"/>
          <w:sz w:val="22"/>
          <w:szCs w:val="22"/>
          <w:rtl w:val="0"/>
          <w:lang w:val="en-US"/>
        </w:rPr>
        <w:t>efoperazone pretreatment are primarily related to import and utilization of maltose or maltodextrin (</w:t>
      </w:r>
      <w:r>
        <w:rPr>
          <w:rStyle w:val="None A"/>
          <w:rFonts w:ascii="Arial" w:hAnsi="Arial"/>
          <w:i w:val="1"/>
          <w:iCs w:val="1"/>
          <w:sz w:val="22"/>
          <w:szCs w:val="22"/>
          <w:rtl w:val="0"/>
          <w:lang w:val="en-US"/>
        </w:rPr>
        <w:t>maa</w:t>
      </w:r>
      <w:r>
        <w:rPr>
          <w:rStyle w:val="None A"/>
          <w:rFonts w:ascii="Arial" w:hAnsi="Arial"/>
          <w:sz w:val="22"/>
          <w:szCs w:val="22"/>
          <w:rtl w:val="0"/>
          <w:lang w:val="en-US"/>
        </w:rPr>
        <w:t xml:space="preserve"> &amp; </w:t>
      </w:r>
      <w:r>
        <w:rPr>
          <w:rStyle w:val="None A"/>
          <w:rFonts w:ascii="Arial" w:hAnsi="Arial"/>
          <w:i w:val="1"/>
          <w:iCs w:val="1"/>
          <w:sz w:val="22"/>
          <w:szCs w:val="22"/>
          <w:rtl w:val="0"/>
          <w:lang w:val="en-US"/>
        </w:rPr>
        <w:t>map</w:t>
      </w:r>
      <w:r>
        <w:rPr>
          <w:rStyle w:val="None A"/>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Style w:val="None A"/>
          <w:rFonts w:ascii="Arial" w:hAnsi="Arial"/>
          <w:i w:val="1"/>
          <w:iCs w:val="1"/>
          <w:sz w:val="22"/>
          <w:szCs w:val="22"/>
          <w:rtl w:val="0"/>
          <w:lang w:val="en-US"/>
        </w:rPr>
        <w:t>nanA</w:t>
      </w:r>
      <w:r>
        <w:rPr>
          <w:rStyle w:val="None A"/>
          <w:rFonts w:ascii="Arial" w:hAnsi="Arial"/>
          <w:sz w:val="22"/>
          <w:szCs w:val="22"/>
          <w:rtl w:val="0"/>
          <w:lang w:val="en-US"/>
        </w:rPr>
        <w:t xml:space="preserve"> and an N-acylglucosamine-6-phosphate 2-epimerase. These gene products are important for the metabolism of </w:t>
      </w:r>
      <w:r>
        <w:rPr>
          <w:rStyle w:val="None A"/>
          <w:rFonts w:ascii="Arial" w:hAnsi="Arial"/>
          <w:color w:val="1a1a1a"/>
          <w:sz w:val="22"/>
          <w:szCs w:val="22"/>
          <w:u w:val="none"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Style w:val="None A"/>
          <w:rFonts w:ascii="Arial" w:hAnsi="Arial"/>
          <w:i w:val="1"/>
          <w:iCs w:val="1"/>
          <w:color w:val="1a1a1a"/>
          <w:sz w:val="22"/>
          <w:szCs w:val="22"/>
          <w:u w:val="none" w:color="1a1a1a"/>
          <w:rtl w:val="0"/>
          <w:lang w:val="en-US"/>
        </w:rPr>
        <w:t>fruABC</w:t>
      </w:r>
      <w:r>
        <w:rPr>
          <w:rStyle w:val="None A"/>
          <w:rFonts w:ascii="Arial" w:hAnsi="Arial"/>
          <w:color w:val="1a1a1a"/>
          <w:sz w:val="22"/>
          <w:szCs w:val="22"/>
          <w:u w:val="none" w:color="1a1a1a"/>
          <w:rtl w:val="0"/>
          <w:lang w:val="en-US"/>
        </w:rPr>
        <w:t xml:space="preserve">, a fructose specific PTS transport system (Fig 3H), and </w:t>
      </w:r>
      <w:r>
        <w:rPr>
          <w:rStyle w:val="None A"/>
          <w:rFonts w:ascii="Arial" w:hAnsi="Arial"/>
          <w:i w:val="1"/>
          <w:iCs w:val="1"/>
          <w:color w:val="1a1a1a"/>
          <w:sz w:val="22"/>
          <w:szCs w:val="22"/>
          <w:u w:val="none" w:color="1a1a1a"/>
          <w:rtl w:val="0"/>
          <w:lang w:val="en-US"/>
        </w:rPr>
        <w:t>fruK</w:t>
      </w:r>
      <w:r>
        <w:rPr>
          <w:rStyle w:val="None A"/>
          <w:rFonts w:ascii="Arial" w:hAnsi="Arial"/>
          <w:color w:val="1a1a1a"/>
          <w:sz w:val="22"/>
          <w:szCs w:val="22"/>
          <w:u w:val="none" w:color="1a1a1a"/>
          <w:rtl w:val="0"/>
          <w:lang w:val="en-US"/>
        </w:rPr>
        <w:t>, which phosphorylates fructose upon import (Fig 3C), supporting that fructose utilization is occurring in this condition as well.</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 analysis revealed several between-group significant differences in similarity. Genes in the sugar transport systems, P</w:t>
      </w:r>
      <w:r>
        <w:rPr>
          <w:rStyle w:val="None A"/>
          <w:rFonts w:ascii="Arial" w:hAnsi="Arial"/>
          <w:sz w:val="22"/>
          <w:szCs w:val="22"/>
          <w:rtl w:val="0"/>
          <w:lang w:val="en-US"/>
        </w:rPr>
        <w:t>TS</w:t>
      </w:r>
      <w:r>
        <w:rPr>
          <w:rStyle w:val="None A"/>
          <w:rFonts w:ascii="Arial" w:hAnsi="Arial"/>
          <w:sz w:val="22"/>
          <w:szCs w:val="22"/>
          <w:rtl w:val="0"/>
          <w:lang w:val="en-US"/>
        </w:rPr>
        <w:t xml:space="preserve"> and sugar-specific ABC </w:t>
      </w:r>
      <w:r>
        <w:rPr>
          <w:rStyle w:val="None A"/>
          <w:rFonts w:ascii="Arial" w:hAnsi="Arial"/>
          <w:sz w:val="22"/>
          <w:szCs w:val="22"/>
          <w:rtl w:val="0"/>
          <w:lang w:val="en-US"/>
        </w:rPr>
        <w:t xml:space="preserve">transporters </w:t>
      </w:r>
      <w:r>
        <w:rPr>
          <w:rStyle w:val="None A"/>
          <w:rFonts w:ascii="Arial" w:hAnsi="Arial"/>
          <w:sz w:val="22"/>
          <w:szCs w:val="22"/>
          <w:rtl w:val="0"/>
          <w:lang w:val="en-US"/>
        </w:rPr>
        <w:t>(Fig. 3H &amp; 3I), are among the groups that segregate relative to each other. Both systems are known carbohydrate importers, however activation of some P</w:t>
      </w:r>
      <w:r>
        <w:rPr>
          <w:rStyle w:val="None A"/>
          <w:rFonts w:ascii="Arial" w:hAnsi="Arial"/>
          <w:sz w:val="22"/>
          <w:szCs w:val="22"/>
          <w:rtl w:val="0"/>
          <w:lang w:val="en-US"/>
        </w:rPr>
        <w:t>TS</w:t>
      </w:r>
      <w:r>
        <w:rPr>
          <w:rStyle w:val="None A"/>
          <w:rFonts w:ascii="Arial" w:hAnsi="Arial"/>
          <w:sz w:val="22"/>
          <w:szCs w:val="22"/>
          <w:rtl w:val="0"/>
          <w:lang w:val="en-US"/>
        </w:rPr>
        <w:t xml:space="preserve"> </w:t>
      </w:r>
      <w:r>
        <w:rPr>
          <w:rStyle w:val="None A"/>
          <w:rFonts w:ascii="Arial" w:hAnsi="Arial"/>
          <w:sz w:val="22"/>
          <w:szCs w:val="22"/>
          <w:rtl w:val="0"/>
          <w:lang w:val="en-US"/>
        </w:rPr>
        <w:t>transporters</w:t>
      </w:r>
      <w:r>
        <w:rPr>
          <w:rStyle w:val="None A"/>
          <w:rFonts w:ascii="Arial" w:hAnsi="Arial"/>
          <w:sz w:val="22"/>
          <w:szCs w:val="22"/>
          <w:rtl w:val="0"/>
          <w:lang w:val="en-US"/>
        </w:rPr>
        <w:t xml:space="preserve">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w:t>
      </w:r>
      <w:r>
        <w:rPr>
          <w:rStyle w:val="None A"/>
          <w:rFonts w:ascii="Arial" w:hAnsi="Arial"/>
          <w:sz w:val="22"/>
          <w:szCs w:val="22"/>
          <w:rtl w:val="0"/>
          <w:lang w:val="en-US"/>
        </w:rPr>
        <w:t>s</w:t>
      </w:r>
      <w:r>
        <w:rPr>
          <w:rStyle w:val="None A"/>
          <w:rFonts w:ascii="Arial" w:hAnsi="Arial"/>
          <w:sz w:val="22"/>
          <w:szCs w:val="22"/>
          <w:rtl w:val="0"/>
          <w:lang w:val="en-US"/>
        </w:rPr>
        <w:t xml:space="preserve">treptomycin pretreatments had an enrichment of expression of glucosidase genes within polysaccharide catabolism, while </w:t>
      </w:r>
      <w:r>
        <w:rPr>
          <w:rStyle w:val="None A"/>
          <w:rFonts w:ascii="Arial" w:hAnsi="Arial"/>
          <w:sz w:val="22"/>
          <w:szCs w:val="22"/>
          <w:rtl w:val="0"/>
          <w:lang w:val="en-US"/>
        </w:rPr>
        <w:t>c</w:t>
      </w:r>
      <w:r>
        <w:rPr>
          <w:rStyle w:val="None A"/>
          <w:rFonts w:ascii="Arial" w:hAnsi="Arial"/>
          <w:sz w:val="22"/>
          <w:szCs w:val="22"/>
          <w:rtl w:val="0"/>
          <w:lang w:val="en-US"/>
        </w:rPr>
        <w:t xml:space="preserve">efoperazone pretreatment had higher expression of genes associated with fructose and mannose metabolism within monosaccharide catabolism. These differences could highlight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adapt to environments with unique concentrations of resources and colonize a variety of nutrient niches during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had</w:t>
      </w:r>
      <w:r>
        <w:rPr>
          <w:rStyle w:val="None A"/>
          <w:rFonts w:ascii="Arial" w:hAnsi="Arial"/>
          <w:sz w:val="22"/>
          <w:szCs w:val="22"/>
          <w:rtl w:val="0"/>
          <w:lang w:val="en-US"/>
        </w:rPr>
        <w:t>,</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operons)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w:t>
      </w:r>
      <w:r>
        <w:rPr>
          <w:rStyle w:val="None A"/>
          <w:rFonts w:ascii="Arial" w:hAnsi="Arial"/>
          <w:sz w:val="22"/>
          <w:szCs w:val="22"/>
          <w:rtl w:val="0"/>
          <w:lang w:val="en-US"/>
        </w:rPr>
        <w:t>-</w:t>
      </w:r>
      <w:r>
        <w:rPr>
          <w:rStyle w:val="None A"/>
          <w:rFonts w:ascii="Arial" w:hAnsi="Arial"/>
          <w:sz w:val="22"/>
          <w:szCs w:val="22"/>
          <w:rtl w:val="0"/>
          <w:lang w:val="en-US"/>
        </w:rPr>
        <w:t xml:space="preserve">centrality for all enzyme and substrate nodes in the bipartite metabolic graph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w:t>
      </w:r>
      <w:r>
        <w:rPr>
          <w:rStyle w:val="None A"/>
          <w:rFonts w:ascii="Arial" w:hAnsi="Arial"/>
          <w:sz w:val="22"/>
          <w:szCs w:val="22"/>
          <w:rtl w:val="0"/>
          <w:lang w:val="en-US"/>
        </w:rPr>
        <w:t>central</w:t>
      </w:r>
      <w:r>
        <w:rPr>
          <w:rStyle w:val="None A"/>
          <w:rFonts w:ascii="Arial" w:hAnsi="Arial"/>
          <w:sz w:val="22"/>
          <w:szCs w:val="22"/>
          <w:rtl w:val="0"/>
          <w:lang w:val="en-US"/>
        </w:rPr>
        <w:t xml:space="preserve"> pathways including glycolysis, the citric acid cycle, and amino acid biosynthesis which are all critical to life for most free-living bacteria. </w:t>
      </w:r>
    </w:p>
    <w:p>
      <w:pPr>
        <w:pStyle w:val="Default"/>
        <w:shd w:val="clear" w:color="auto" w:fill="ffffff"/>
        <w:spacing w:line="480" w:lineRule="auto"/>
        <w:jc w:val="both"/>
      </w:pPr>
      <w:r>
        <w:rPr>
          <w:rStyle w:val="None A"/>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 xml:space="preserve">. Applying this method, we extracted the relative importance values of the 758 unique compounds in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after 18 hours of infection in each treatment group. We included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w:t>
      </w:r>
      <w:r>
        <w:rPr>
          <w:rStyle w:val="None A"/>
          <w:rFonts w:ascii="Arial" w:hAnsi="Arial"/>
          <w:sz w:val="22"/>
          <w:szCs w:val="22"/>
          <w:rtl w:val="0"/>
          <w:lang w:val="en-US"/>
        </w:rPr>
        <w:t>c</w:t>
      </w:r>
      <w:r>
        <w:rPr>
          <w:rStyle w:val="None A"/>
          <w:rFonts w:ascii="Arial" w:hAnsi="Arial"/>
          <w:sz w:val="22"/>
          <w:szCs w:val="22"/>
          <w:rtl w:val="0"/>
          <w:lang w:val="en-US"/>
        </w:rPr>
        <w:t xml:space="preserve">efoperazone and </w:t>
      </w:r>
      <w:r>
        <w:rPr>
          <w:rStyle w:val="None A"/>
          <w:rFonts w:ascii="Arial" w:hAnsi="Arial"/>
          <w:sz w:val="22"/>
          <w:szCs w:val="22"/>
          <w:rtl w:val="0"/>
          <w:lang w:val="en-US"/>
        </w:rPr>
        <w:t>s</w:t>
      </w:r>
      <w:r>
        <w:rPr>
          <w:rStyle w:val="None A"/>
          <w:rFonts w:ascii="Arial" w:hAnsi="Arial"/>
          <w:sz w:val="22"/>
          <w:szCs w:val="22"/>
          <w:rtl w:val="0"/>
          <w:lang w:val="en-US"/>
        </w:rPr>
        <w:t xml:space="preserve">treptomycin pretreatments, several Stickland fermentation intermediates, including propanoate and phosphonoacetate, were scored as highly important, much greater than their simulated means. Alternatively in the </w:t>
      </w:r>
      <w:r>
        <w:rPr>
          <w:rStyle w:val="None A"/>
          <w:rFonts w:ascii="Arial" w:hAnsi="Arial"/>
          <w:sz w:val="22"/>
          <w:szCs w:val="22"/>
          <w:rtl w:val="0"/>
          <w:lang w:val="en-US"/>
        </w:rPr>
        <w:t>c</w:t>
      </w:r>
      <w:r>
        <w:rPr>
          <w:rStyle w:val="None A"/>
          <w:rFonts w:ascii="Arial" w:hAnsi="Arial"/>
          <w:sz w:val="22"/>
          <w:szCs w:val="22"/>
          <w:rtl w:val="0"/>
          <w:lang w:val="en-US"/>
        </w:rPr>
        <w:t xml:space="preserve">lindamycin and </w:t>
      </w:r>
      <w:r>
        <w:rPr>
          <w:rStyle w:val="None A"/>
          <w:rFonts w:ascii="Arial" w:hAnsi="Arial"/>
          <w:sz w:val="22"/>
          <w:szCs w:val="22"/>
          <w:rtl w:val="0"/>
          <w:lang w:val="en-US"/>
        </w:rPr>
        <w:t>g</w:t>
      </w:r>
      <w:r>
        <w:rPr>
          <w:rStyle w:val="None A"/>
          <w:rFonts w:ascii="Arial" w:hAnsi="Arial"/>
          <w:sz w:val="22"/>
          <w:szCs w:val="22"/>
          <w:rtl w:val="0"/>
          <w:lang w:val="en-US"/>
        </w:rPr>
        <w:t xml:space="preserve">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w:t>
      </w:r>
      <w:r>
        <w:rPr>
          <w:rStyle w:val="None A"/>
          <w:rFonts w:ascii="Arial" w:hAnsi="Arial"/>
          <w:sz w:val="22"/>
          <w:szCs w:val="22"/>
          <w:rtl w:val="0"/>
          <w:lang w:val="en-US"/>
        </w:rPr>
        <w:t>c</w:t>
      </w:r>
      <w:r>
        <w:rPr>
          <w:rStyle w:val="None A"/>
          <w:rFonts w:ascii="Arial" w:hAnsi="Arial"/>
          <w:sz w:val="22"/>
          <w:szCs w:val="22"/>
          <w:rtl w:val="0"/>
          <w:lang w:val="en-US"/>
        </w:rPr>
        <w:t xml:space="preserve">efoperazone 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including D-fructose, mannitol, N-acetylneuraminic acid, salicin, and D-sorbitol (Ng, 2013; Theriot, 2014). These 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Carbon sources identified as important by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2014)</w:t>
      </w:r>
      <w:r>
        <w:rPr>
          <w:rStyle w:val="None A"/>
          <w:rFonts w:ascii="Arial" w:hAnsi="Arial"/>
          <w:sz w:val="22"/>
          <w:szCs w:val="22"/>
          <w:rtl w:val="0"/>
          <w:lang w:val="en-US"/>
        </w:rPr>
        <w:t xml:space="preserve"> </w:t>
      </w:r>
      <w:r>
        <w:rPr>
          <w:rStyle w:val="None A"/>
          <w:rFonts w:ascii="Arial" w:hAnsi="Arial"/>
          <w:sz w:val="22"/>
          <w:szCs w:val="22"/>
          <w:rtl w:val="0"/>
          <w:lang w:val="en-US"/>
        </w:rPr>
        <w:t xml:space="preserve">implicated by high importance scores.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(AA) for growth through Stickland fermentation, but is auxotrophic for several, the </w:t>
      </w:r>
      <w:r>
        <w:rPr>
          <w:rStyle w:val="None A"/>
          <w:rFonts w:ascii="Arial" w:hAnsi="Arial"/>
          <w:sz w:val="22"/>
          <w:szCs w:val="22"/>
          <w:rtl w:val="0"/>
          <w:lang w:val="en-US"/>
        </w:rPr>
        <w:t>best</w:t>
      </w:r>
      <w:r>
        <w:rPr>
          <w:rStyle w:val="None A"/>
          <w:rFonts w:ascii="Arial" w:hAnsi="Arial"/>
          <w:sz w:val="22"/>
          <w:szCs w:val="22"/>
          <w:rtl w:val="0"/>
          <w:lang w:val="en-US"/>
        </w:rPr>
        <w:t xml:space="preserve"> compar</w:t>
      </w:r>
      <w:r>
        <w:rPr>
          <w:rStyle w:val="None A"/>
          <w:rFonts w:ascii="Arial" w:hAnsi="Arial"/>
          <w:sz w:val="22"/>
          <w:szCs w:val="22"/>
          <w:rtl w:val="0"/>
          <w:lang w:val="en-US"/>
        </w:rPr>
        <w:t>ator</w:t>
      </w:r>
      <w:r>
        <w:rPr>
          <w:rStyle w:val="None A"/>
          <w:rFonts w:ascii="Arial" w:hAnsi="Arial"/>
          <w:sz w:val="22"/>
          <w:szCs w:val="22"/>
          <w:rtl w:val="0"/>
          <w:lang w:val="en-US"/>
        </w:rPr>
        <w:t xml:space="preserve"> </w:t>
      </w:r>
      <w:r>
        <w:rPr>
          <w:rStyle w:val="None A"/>
          <w:rFonts w:ascii="Arial" w:hAnsi="Arial"/>
          <w:sz w:val="22"/>
          <w:szCs w:val="22"/>
          <w:rtl w:val="0"/>
          <w:lang w:val="en-US"/>
        </w:rPr>
        <w:t>are -glucose +</w:t>
      </w:r>
      <w:r>
        <w:rPr>
          <w:rStyle w:val="None A"/>
          <w:rFonts w:ascii="Arial" w:hAnsi="Arial"/>
          <w:sz w:val="22"/>
          <w:szCs w:val="22"/>
          <w:rtl w:val="0"/>
          <w:lang w:val="en-US"/>
        </w:rPr>
        <w:t>AA</w:t>
      </w:r>
      <w:r>
        <w:rPr>
          <w:rStyle w:val="None A"/>
          <w:rFonts w:ascii="Arial" w:hAnsi="Arial"/>
          <w:sz w:val="22"/>
          <w:szCs w:val="22"/>
          <w:rtl w:val="0"/>
          <w:lang w:val="en-US"/>
        </w:rPr>
        <w:t xml:space="preserve"> </w:t>
      </w:r>
      <w:r>
        <w:rPr>
          <w:rStyle w:val="None A"/>
          <w:rFonts w:ascii="Arial" w:hAnsi="Arial"/>
          <w:sz w:val="22"/>
          <w:szCs w:val="22"/>
          <w:rtl w:val="0"/>
          <w:lang w:val="en-US"/>
        </w:rPr>
        <w:t xml:space="preserve">control wells. This informed whether the presence of the selected carbohydrate effects has positive or negative effects on the growth 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this analysis does not preclude the possibility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At least one carbohydrate highlighted as important in each of the antibiotic treatments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(Fig. 4C). This included D-fructose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and salicin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0.888). Each resulted in significantly more growth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than AA-only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than AA-only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These results indicate potential efficiency or preferences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0.089). Mannitol was second at 7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0.044), and salicin was third at 13.5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0.076). Interestingly, the salicin growth curve was still near its maximum growth rate at the 12 hour time point, while the D-fructose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0.006) and mannitol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0.888) than BHI rich media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some curves is most likely due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0.095 at 6.5 hours) is the highest reached by any media tested, yet the maximum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than D-sorbitol alone. This could suggest a combinatorial effect of D-fructose and D-sorbitol together on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In vivo </w:t>
      </w:r>
      <w:r>
        <w:rPr>
          <w:rStyle w:val="None A"/>
          <w:rFonts w:ascii="Arial" w:hAnsi="Arial"/>
          <w:b w:val="1"/>
          <w:bCs w:val="1"/>
          <w:sz w:val="22"/>
          <w:szCs w:val="22"/>
          <w:rtl w:val="0"/>
          <w:lang w:val="en-US"/>
        </w:rPr>
        <w:t xml:space="preserve">concentrations of predicted nutrients are </w:t>
      </w:r>
      <w:r>
        <w:rPr>
          <w:rStyle w:val="None A"/>
          <w:rFonts w:ascii="Arial" w:hAnsi="Arial" w:hint="default"/>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In order to test if the identified carbohydrates are present or enriched in their respective antibiotic treatments, we performed metabolomic analysis from cecal content from the same animals. (Fig. 5A) (Fig. 5B)</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Discussion</w:t>
      </w:r>
    </w:p>
    <w:p>
      <w:pPr>
        <w:pStyle w:val="Default"/>
        <w:shd w:val="clear" w:color="auto" w:fill="ffffff"/>
        <w:spacing w:line="480" w:lineRule="auto"/>
        <w:ind w:firstLine="709"/>
        <w:jc w:val="both"/>
        <w:rPr>
          <w:rStyle w:val="None A"/>
          <w:rFonts w:ascii="Arial" w:cs="Arial" w:hAnsi="Arial" w:eastAsia="Arial"/>
          <w:sz w:val="22"/>
          <w:szCs w:val="22"/>
          <w:shd w:val="clear" w:color="auto" w:fill="ffff00"/>
        </w:rPr>
      </w:pPr>
      <w:r>
        <w:rPr>
          <w:rStyle w:val="None A"/>
          <w:rFonts w:ascii="Arial" w:hAnsi="Arial"/>
          <w:sz w:val="22"/>
          <w:szCs w:val="22"/>
          <w:shd w:val="clear" w:color="auto" w:fill="ffff00"/>
          <w:rtl w:val="0"/>
          <w:lang w:val="en-US"/>
        </w:rPr>
        <w:t xml:space="preserve">[from Introduction]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w:t>
      </w:r>
      <w:r>
        <w:rPr>
          <w:rStyle w:val="None A"/>
          <w:rFonts w:ascii="Arial" w:hAnsi="Arial"/>
          <w:sz w:val="22"/>
          <w:szCs w:val="22"/>
          <w:rtl w:val="0"/>
          <w:lang w:val="en-US"/>
        </w:rPr>
        <w:t>c</w:t>
      </w:r>
      <w:r>
        <w:rPr>
          <w:rStyle w:val="None A"/>
          <w:rFonts w:ascii="Arial" w:hAnsi="Arial"/>
          <w:sz w:val="22"/>
          <w:szCs w:val="22"/>
          <w:rtl w:val="0"/>
          <w:lang w:val="en-US"/>
        </w:rPr>
        <w:t xml:space="preserve">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w:t>
      </w:r>
      <w:r>
        <w:rPr>
          <w:rStyle w:val="None A"/>
          <w:rFonts w:ascii="Arial" w:hAnsi="Arial"/>
          <w:sz w:val="22"/>
          <w:szCs w:val="22"/>
          <w:rtl w:val="0"/>
          <w:lang w:val="en-US"/>
        </w:rPr>
        <w:t>c</w:t>
      </w:r>
      <w:r>
        <w:rPr>
          <w:rStyle w:val="None A"/>
          <w:rFonts w:ascii="Arial" w:hAnsi="Arial"/>
          <w:sz w:val="22"/>
          <w:szCs w:val="22"/>
          <w:rtl w:val="0"/>
          <w:lang w:val="en-US"/>
        </w:rPr>
        <w:t xml:space="preserve">efoperazone and </w:t>
      </w:r>
      <w:r>
        <w:rPr>
          <w:rStyle w:val="None A"/>
          <w:rFonts w:ascii="Arial" w:hAnsi="Arial"/>
          <w:sz w:val="22"/>
          <w:szCs w:val="22"/>
          <w:rtl w:val="0"/>
          <w:lang w:val="en-US"/>
        </w:rPr>
        <w:t>s</w:t>
      </w:r>
      <w:r>
        <w:rPr>
          <w:rStyle w:val="None A"/>
          <w:rFonts w:ascii="Arial" w:hAnsi="Arial"/>
          <w:sz w:val="22"/>
          <w:szCs w:val="22"/>
          <w:rtl w:val="0"/>
          <w:lang w:val="en-US"/>
        </w:rPr>
        <w:t xml:space="preserve">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w:t>
      </w:r>
      <w:r>
        <w:rPr>
          <w:rStyle w:val="None A"/>
          <w:rFonts w:ascii="Arial" w:hAnsi="Arial"/>
          <w:sz w:val="22"/>
          <w:szCs w:val="22"/>
          <w:rtl w:val="0"/>
          <w:lang w:val="en-US"/>
        </w:rPr>
        <w:t>c</w:t>
      </w:r>
      <w:r>
        <w:rPr>
          <w:rStyle w:val="None A"/>
          <w:rFonts w:ascii="Arial" w:hAnsi="Arial"/>
          <w:sz w:val="22"/>
          <w:szCs w:val="22"/>
          <w:rtl w:val="0"/>
          <w:lang w:val="en-US"/>
        </w:rPr>
        <w:t xml:space="preserve">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There is also evidence for other bacterial species contributing to pools of resources that are usable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growth (Ng, 2013; Ferreyra, 2014). Schubert et. al. 2015 demonstrated that the same Clindamycin model of infection used here, results in a bloom in relative abundance of the commensal species </w:t>
      </w:r>
      <w:r>
        <w:rPr>
          <w:rStyle w:val="None A"/>
          <w:rFonts w:ascii="Arial" w:hAnsi="Arial"/>
          <w:i w:val="1"/>
          <w:iCs w:val="1"/>
          <w:sz w:val="22"/>
          <w:szCs w:val="22"/>
          <w:rtl w:val="0"/>
          <w:lang w:val="en-US"/>
        </w:rPr>
        <w:t>Akkermansia muciniphila</w:t>
      </w:r>
      <w:r>
        <w:rPr>
          <w:rStyle w:val="None A"/>
          <w:rFonts w:ascii="Arial" w:hAnsi="Arial"/>
          <w:sz w:val="22"/>
          <w:szCs w:val="22"/>
          <w:rtl w:val="0"/>
          <w:lang w:val="en-US"/>
        </w:rPr>
        <w:t xml:space="preserve"> at the time of infection. It has been previously shown that this bacterium is capable of cleaving host associated glycans and liberating short amino sugars, including salicin (Ganesh, 2013),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 Within the scope of this study, these findings are especially intriguing as salicin was one of the most important substrates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Clindamycin treated animals. Additionally, modeling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colonizing germfree mice revealed N-acetylneuraminic acid to be what was the most important carbon source in this condition. The capacity to catabolize this amino sugar and others like it is highly distributed among bacterial species that inhabit the mammalian gut (Vimr, 2004), meaning that it is an edge of strong competition with the normal microbiota and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In light of all of these studies our method may also strongly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These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 data also support that separate classes of antibiotics may cause susceptibility to CDI through slightly different means by allowing for increases in relative concentrations of different carbon sources. Limitation of specific subsets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of the gut microbiota to may represent the key to targeted colonization prevention. If we begin to understand the limited number of dimensions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inhabit within its niche space, we may be able to design targeted probiotics to fill those niches in susceptible individuals. There could also be many not yet appreciated environmental factors that influence the metabolic program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In the future, this may need to a consideration during treatment as the correct course of action could be situational based on the factors are initially causing patients to become susceptible to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w:t>
      </w:r>
      <w:r>
        <w:rPr>
          <w:rStyle w:val="None A"/>
          <w:rFonts w:ascii="Arial" w:hAnsi="Arial"/>
          <w:sz w:val="22"/>
          <w:szCs w:val="22"/>
          <w:rtl w:val="0"/>
          <w:lang w:val="en-US"/>
        </w:rPr>
        <w:t>c</w:t>
      </w:r>
      <w:r>
        <w:rPr>
          <w:rStyle w:val="None A"/>
          <w:rFonts w:ascii="Arial" w:hAnsi="Arial"/>
          <w:sz w:val="22"/>
          <w:szCs w:val="22"/>
          <w:rtl w:val="0"/>
          <w:lang w:val="en-US"/>
        </w:rPr>
        <w:t xml:space="preserve">efoperazone, </w:t>
      </w:r>
      <w:r>
        <w:rPr>
          <w:rStyle w:val="None A"/>
          <w:rFonts w:ascii="Arial" w:hAnsi="Arial"/>
          <w:sz w:val="22"/>
          <w:szCs w:val="22"/>
          <w:rtl w:val="0"/>
          <w:lang w:val="en-US"/>
        </w:rPr>
        <w:t>s</w:t>
      </w:r>
      <w:r>
        <w:rPr>
          <w:rStyle w:val="None A"/>
          <w:rFonts w:ascii="Arial" w:hAnsi="Arial"/>
          <w:sz w:val="22"/>
          <w:szCs w:val="22"/>
          <w:rtl w:val="0"/>
          <w:lang w:val="en-US"/>
        </w:rPr>
        <w:t xml:space="preserve">treptomycin, or </w:t>
      </w:r>
      <w:r>
        <w:rPr>
          <w:rStyle w:val="None A"/>
          <w:rFonts w:ascii="Arial" w:hAnsi="Arial"/>
          <w:sz w:val="22"/>
          <w:szCs w:val="22"/>
          <w:rtl w:val="0"/>
          <w:lang w:val="en-US"/>
        </w:rPr>
        <w:t>c</w:t>
      </w:r>
      <w:r>
        <w:rPr>
          <w:rStyle w:val="None A"/>
          <w:rFonts w:ascii="Arial" w:hAnsi="Arial"/>
          <w:sz w:val="22"/>
          <w:szCs w:val="22"/>
          <w:rtl w:val="0"/>
          <w:lang w:val="en-US"/>
        </w:rPr>
        <w:t xml:space="preserve">lindamycin (Table 1). Cefoperazone (0.5 mg/ml) and </w:t>
      </w:r>
      <w:r>
        <w:rPr>
          <w:rStyle w:val="None A"/>
          <w:rFonts w:ascii="Arial" w:hAnsi="Arial"/>
          <w:sz w:val="22"/>
          <w:szCs w:val="22"/>
          <w:rtl w:val="0"/>
          <w:lang w:val="en-US"/>
        </w:rPr>
        <w:t>s</w:t>
      </w:r>
      <w:r>
        <w:rPr>
          <w:rStyle w:val="None A"/>
          <w:rFonts w:ascii="Arial" w:hAnsi="Arial"/>
          <w:sz w:val="22"/>
          <w:szCs w:val="22"/>
          <w:rtl w:val="0"/>
          <w:lang w:val="en-US"/>
        </w:rPr>
        <w:t xml:space="preserve">treptomycin (5.0 mg/ml) were administered in the drinking water for 5 days with 2 days recovery with untreated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spun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hd w:val="clear" w:color="auto" w:fill="ffffff"/>
        <w:spacing w:line="480" w:lineRule="auto"/>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and library preparation. </w:t>
      </w:r>
      <w:r>
        <w:rPr>
          <w:rStyle w:val="None A"/>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15 minutes.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hd w:val="clear" w:color="auto" w:fill="ffffff"/>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hd w:val="clear" w:color="auto" w:fill="ffffff"/>
        <w:spacing w:line="480" w:lineRule="auto"/>
        <w:jc w:val="both"/>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cs="Arial" w:hAnsi="Arial" w:eastAsia="Arial"/>
          <w:sz w:val="22"/>
          <w:szCs w:val="22"/>
        </w:rPr>
        <w:tab/>
      </w: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insert the equation here again</w:t>
      </w:r>
    </w:p>
    <w:p>
      <w:pPr>
        <w:pStyle w:val="Default"/>
        <w:shd w:val="clear" w:color="auto" w:fill="ffffff"/>
        <w:spacing w:line="480" w:lineRule="auto"/>
        <w:jc w:val="both"/>
      </w:pPr>
      <w:r>
        <w:rPr>
          <w:rStyle w:val="None A"/>
          <w:rFonts w:ascii="Arial" w:hAnsi="Arial"/>
          <w:sz w:val="22"/>
          <w:szCs w:val="22"/>
          <w:rtl w:val="0"/>
          <w:lang w:val="en-US"/>
        </w:rPr>
        <w:t xml:space="preserve">If a compound is more likely to be produced, the more negative the resulting score will be. The general concept for the bipartite metabolic networks and substrate importance algorithm were partially based on methods created to infer metabolite preference of </w:t>
      </w:r>
      <w:r>
        <w:rPr>
          <w:rStyle w:val="None A"/>
          <w:rFonts w:ascii="Arial" w:hAnsi="Arial"/>
          <w:i w:val="1"/>
          <w:iCs w:val="1"/>
          <w:sz w:val="22"/>
          <w:szCs w:val="22"/>
          <w:rtl w:val="0"/>
          <w:lang w:val="en-US"/>
        </w:rPr>
        <w:t xml:space="preserve">Saccharomyces cerevisiae </w:t>
      </w:r>
      <w:r>
        <w:rPr>
          <w:rStyle w:val="None A"/>
          <w:rFonts w:ascii="Arial" w:hAnsi="Arial"/>
          <w:sz w:val="22"/>
          <w:szCs w:val="22"/>
          <w:rtl w:val="0"/>
          <w:lang w:val="en-US"/>
        </w:rPr>
        <w:t xml:space="preserve">grown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and using repeated transcriptomic sequencing efforts (Patil,  2005).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w:t>
      </w:r>
      <w:r>
        <w:rPr>
          <w:rStyle w:val="None A"/>
          <w:rFonts w:ascii="Arial" w:hAnsi="Arial"/>
          <w:sz w:val="22"/>
          <w:szCs w:val="22"/>
          <w:rtl w:val="0"/>
          <w:lang w:val="en-US"/>
        </w:rPr>
        <w:t>substrate</w:t>
      </w:r>
      <w:r>
        <w:rPr>
          <w:rStyle w:val="None A"/>
          <w:rFonts w:ascii="Arial" w:hAnsi="Arial"/>
          <w:sz w:val="22"/>
          <w:szCs w:val="22"/>
          <w:rtl w:val="0"/>
          <w:lang w:val="en-US"/>
        </w:rPr>
        <w:t xml:space="preserv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Untargeted liquid chromatography-mass spectrometry for metabolite content of mouse cecal content. </w:t>
      </w:r>
      <w:r>
        <w:rPr>
          <w:rStyle w:val="None A"/>
          <w:rFonts w:ascii="Arial" w:hAnsi="Arial"/>
          <w:sz w:val="22"/>
          <w:szCs w:val="22"/>
          <w:rtl w:val="0"/>
          <w:lang w:val="en-US"/>
        </w:rPr>
        <w:t xml:space="preserve">Flash frozen aliquot of cecal content was </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Experimental timelines for the antibiotic treatments used to sensitize animals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and infection (n = 9 per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Toxin titer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assessed through differential plating (plated without germinant) and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measured with an alternative plating strategy (heating to 65</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2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CdtR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3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w:t>
      </w:r>
      <w:r>
        <w:rPr>
          <w:rStyle w:val="None A"/>
          <w:rFonts w:ascii="Arial" w:hAnsi="Arial"/>
          <w:sz w:val="22"/>
          <w:szCs w:val="22"/>
          <w:rtl w:val="0"/>
          <w:lang w:val="en-US"/>
        </w:rPr>
        <w:t>c</w:t>
      </w:r>
      <w:r>
        <w:rPr>
          <w:rStyle w:val="None A"/>
          <w:rFonts w:ascii="Arial" w:hAnsi="Arial"/>
          <w:sz w:val="22"/>
          <w:szCs w:val="22"/>
          <w:rtl w:val="0"/>
          <w:lang w:val="en-US"/>
        </w:rPr>
        <w:t>efoperazone treated mice. The expanded window displays metabolite importance algorithm and an example of a single importance calculation based on local gene transcription.</w:t>
      </w:r>
      <w:r>
        <w:rPr>
          <w:rStyle w:val="None A"/>
          <w:rFonts w:ascii="Arial" w:hAnsi="Arial"/>
          <w:b w:val="1"/>
          <w:bCs w:val="1"/>
          <w:sz w:val="22"/>
          <w:szCs w:val="22"/>
          <w:rtl w:val="0"/>
          <w:lang w:val="en-US"/>
        </w:rPr>
        <w:t xml:space="preserve"> B) </w:t>
      </w:r>
      <w:r>
        <w:rPr>
          <w:rStyle w:val="None A"/>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A"/>
          <w:rFonts w:ascii="Arial" w:hAnsi="Arial"/>
          <w:b w:val="1"/>
          <w:bCs w:val="1"/>
          <w:sz w:val="22"/>
          <w:szCs w:val="22"/>
          <w:rtl w:val="0"/>
          <w:lang w:val="en-US"/>
        </w:rPr>
        <w:t xml:space="preserve">C)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5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from targeted LC-MS analysis of predicted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nutrient sources from metabolic models. A)</w:t>
      </w:r>
      <w:r>
        <w:rPr>
          <w:rStyle w:val="None A"/>
          <w:rFonts w:ascii="Arial" w:hAnsi="Arial"/>
          <w:sz w:val="22"/>
          <w:szCs w:val="22"/>
          <w:rtl w:val="0"/>
          <w:lang w:val="en-US"/>
        </w:rPr>
        <w:t xml:space="preserve"> Heatmap, group by treatment group on x-axis and hierarchical clustering on y-axis. Comparing No Antibiotics to each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6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r>
        <w:rPr>
          <w:rStyle w:val="None A"/>
          <w:rFonts w:ascii="Arial" w:cs="Arial" w:hAnsi="Arial" w:eastAsia="Arial"/>
          <w:i w:val="1"/>
          <w:iCs w:val="1"/>
          <w:sz w:val="18"/>
          <w:szCs w:val="18"/>
        </w:rPr>
        <w:tab/>
      </w:r>
      <w:r>
        <w:rPr>
          <w:rStyle w:val="None A"/>
          <w:rFonts w:ascii="Arial" w:hAnsi="Arial"/>
          <w:i w:val="1"/>
          <w:iCs w:val="1"/>
          <w:sz w:val="18"/>
          <w:szCs w:val="18"/>
          <w:rtl w:val="0"/>
          <w:lang w:val="en-US"/>
        </w:rPr>
        <w:t>intestinal microflora in health and disease</w:t>
      </w:r>
      <w:r>
        <w:rPr>
          <w:rFonts w:ascii="Arial" w:hAnsi="Arial"/>
          <w:sz w:val="18"/>
          <w:szCs w:val="18"/>
          <w:rtl w:val="0"/>
          <w:lang w:val="en-US"/>
        </w:rPr>
        <w:t>. Academic Press, Inc., New York, NY.</w:t>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Ho, T. D., &amp; Ellermeier, C. D. (2015). Ferric uptake regulator fur control of putative iron acquisition systems in Clostridium </w:t>
      </w:r>
      <w:r>
        <w:rPr>
          <w:rStyle w:val="None A"/>
          <w:rFonts w:ascii="Arial" w:cs="Arial" w:hAnsi="Arial" w:eastAsia="Arial"/>
          <w:sz w:val="18"/>
          <w:szCs w:val="18"/>
        </w:rPr>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rPr>
        <w:t xml:space="preserve">, </w:t>
      </w:r>
      <w:r>
        <w:rPr>
          <w:rStyle w:val="None A"/>
          <w:rFonts w:ascii="Arial" w:hAnsi="Arial"/>
          <w:i w:val="1"/>
          <w:iCs w:val="1"/>
          <w:sz w:val="18"/>
          <w:szCs w:val="18"/>
          <w:rtl w:val="0"/>
        </w:rPr>
        <w:t>197</w:t>
      </w:r>
      <w:r>
        <w:rPr>
          <w:rStyle w:val="None A"/>
          <w:rFonts w:ascii="Arial" w:hAnsi="Arial"/>
          <w:sz w:val="18"/>
          <w:szCs w:val="18"/>
          <w:rtl w:val="0"/>
        </w:rPr>
        <w:t>(18), 2930</w:t>
      </w:r>
      <w:r>
        <w:rPr>
          <w:rStyle w:val="None A"/>
          <w:rFonts w:ascii="Arial" w:hAnsi="Arial" w:hint="default"/>
          <w:sz w:val="18"/>
          <w:szCs w:val="18"/>
          <w:rtl w:val="0"/>
        </w:rPr>
        <w:t>–</w:t>
      </w:r>
      <w:r>
        <w:rPr>
          <w:rStyle w:val="None A"/>
          <w:rFonts w:ascii="Arial" w:hAnsi="Arial"/>
          <w:sz w:val="18"/>
          <w:szCs w:val="18"/>
          <w:rtl w:val="0"/>
          <w:lang w:val="it-IT"/>
        </w:rPr>
        <w:t xml:space="preserve">2940. </w:t>
      </w:r>
      <w:r>
        <w:rPr>
          <w:rStyle w:val="Hyperlink.2"/>
          <w:rFonts w:ascii="Arial" w:cs="Arial" w:hAnsi="Arial" w:eastAsia="Arial"/>
          <w:color w:val="0000ff"/>
          <w:sz w:val="18"/>
          <w:szCs w:val="18"/>
          <w:u w:val="single" w:color="0000ff"/>
        </w:rPr>
        <w:fldChar w:fldCharType="begin" w:fldLock="0"/>
      </w:r>
      <w:r>
        <w:rPr>
          <w:rStyle w:val="Hyperlink.2"/>
          <w:rFonts w:ascii="Arial" w:cs="Arial" w:hAnsi="Arial" w:eastAsia="Arial"/>
          <w:color w:val="0000ff"/>
          <w:sz w:val="18"/>
          <w:szCs w:val="18"/>
          <w:u w:val="single" w:color="0000ff"/>
        </w:rPr>
        <w:instrText xml:space="preserve"> HYPERLINK "http://doi.org/10.1128/JB.00098-15"</w:instrText>
      </w:r>
      <w:r>
        <w:rPr>
          <w:rStyle w:val="Hyperlink.2"/>
          <w:rFonts w:ascii="Arial" w:cs="Arial" w:hAnsi="Arial" w:eastAsia="Arial"/>
          <w:color w:val="0000ff"/>
          <w:sz w:val="18"/>
          <w:szCs w:val="18"/>
          <w:u w:val="single" w:color="0000ff"/>
        </w:rPr>
        <w:fldChar w:fldCharType="separate" w:fldLock="0"/>
      </w:r>
      <w:r>
        <w:rPr>
          <w:rStyle w:val="Hyperlink.2"/>
          <w:rFonts w:ascii="Arial" w:hAnsi="Arial"/>
          <w:color w:val="0000ff"/>
          <w:sz w:val="18"/>
          <w:szCs w:val="18"/>
          <w:u w:val="single" w:color="0000ff"/>
          <w:rtl w:val="0"/>
          <w:lang w:val="en-US"/>
        </w:rPr>
        <w:t>http://doi.org/10.1128/JB.00098-15</w:t>
      </w:r>
      <w:r>
        <w:rPr>
          <w:rFonts w:ascii="Arial" w:cs="Arial" w:hAnsi="Arial" w:eastAsia="Arial"/>
          <w:sz w:val="18"/>
          <w:szCs w:val="18"/>
        </w:rPr>
        <w:fldChar w:fldCharType="end" w:fldLock="0"/>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Pr>
        <w:tab/>
      </w:r>
      <w:r>
        <w:rPr>
          <w:rStyle w:val="None A"/>
          <w:rFonts w:ascii="Arial" w:hAnsi="Arial"/>
          <w:sz w:val="18"/>
          <w:szCs w:val="18"/>
          <w:rtl w:val="0"/>
          <w:lang w:val="en-US"/>
        </w:rPr>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rPr>
        <w:t xml:space="preserve">, </w:t>
      </w:r>
      <w:r>
        <w:rPr>
          <w:rStyle w:val="None A"/>
          <w:rFonts w:ascii="Arial" w:cs="Arial" w:hAnsi="Arial" w:eastAsia="Arial"/>
          <w:sz w:val="18"/>
          <w:szCs w:val="18"/>
        </w:rPr>
        <w:tab/>
      </w:r>
      <w:r>
        <w:rPr>
          <w:rStyle w:val="None A"/>
          <w:rFonts w:ascii="Arial" w:hAnsi="Arial"/>
          <w:i w:val="1"/>
          <w:iCs w:val="1"/>
          <w:sz w:val="18"/>
          <w:szCs w:val="18"/>
          <w:rtl w:val="0"/>
        </w:rPr>
        <w:t>244</w:t>
      </w:r>
      <w:r>
        <w:rPr>
          <w:rStyle w:val="None A"/>
          <w:rFonts w:ascii="Arial" w:hAnsi="Arial"/>
          <w:sz w:val="18"/>
          <w:szCs w:val="18"/>
          <w:rtl w:val="0"/>
        </w:rPr>
        <w:t>(3), 735</w:t>
      </w:r>
      <w:r>
        <w:rPr>
          <w:rStyle w:val="None A"/>
          <w:rFonts w:ascii="Arial" w:hAnsi="Arial" w:hint="default"/>
          <w:sz w:val="18"/>
          <w:szCs w:val="18"/>
          <w:rtl w:val="0"/>
        </w:rPr>
        <w:t>–</w:t>
      </w:r>
      <w:r>
        <w:rPr>
          <w:rStyle w:val="None A"/>
          <w:rFonts w:ascii="Arial" w:hAnsi="Arial"/>
          <w:sz w:val="18"/>
          <w:szCs w:val="18"/>
          <w:rtl w:val="0"/>
        </w:rPr>
        <w:t xml:space="preserve">742. </w:t>
      </w:r>
      <w:r>
        <w:rPr>
          <w:rStyle w:val="Hyperlink.2"/>
          <w:rFonts w:ascii="Arial" w:cs="Arial" w:hAnsi="Arial" w:eastAsia="Arial"/>
          <w:color w:val="0000ff"/>
          <w:sz w:val="18"/>
          <w:szCs w:val="18"/>
          <w:u w:val="single" w:color="0000ff"/>
        </w:rPr>
        <w:fldChar w:fldCharType="begin" w:fldLock="0"/>
      </w:r>
      <w:r>
        <w:rPr>
          <w:rStyle w:val="Hyperlink.2"/>
          <w:rFonts w:ascii="Arial" w:cs="Arial" w:hAnsi="Arial" w:eastAsia="Arial"/>
          <w:color w:val="0000ff"/>
          <w:sz w:val="18"/>
          <w:szCs w:val="18"/>
          <w:u w:val="single" w:color="0000ff"/>
        </w:rPr>
        <w:instrText xml:space="preserve"> HYPERLINK "http://doi.org/10.1111/j.1432-1033.1997.t01-1-00735.x"</w:instrText>
      </w:r>
      <w:r>
        <w:rPr>
          <w:rStyle w:val="Hyperlink.2"/>
          <w:rFonts w:ascii="Arial" w:cs="Arial" w:hAnsi="Arial" w:eastAsia="Arial"/>
          <w:color w:val="0000ff"/>
          <w:sz w:val="18"/>
          <w:szCs w:val="18"/>
          <w:u w:val="single" w:color="0000ff"/>
        </w:rPr>
        <w:fldChar w:fldCharType="separate" w:fldLock="0"/>
      </w:r>
      <w:r>
        <w:rPr>
          <w:rStyle w:val="Hyperlink.2"/>
          <w:rFonts w:ascii="Arial" w:hAnsi="Arial"/>
          <w:color w:val="0000ff"/>
          <w:sz w:val="18"/>
          <w:szCs w:val="18"/>
          <w:u w:val="single" w:color="0000ff"/>
          <w:rtl w:val="0"/>
          <w:lang w:val="en-US"/>
        </w:rPr>
        <w:t>http://doi.org/10.1111/j.1432-1033.1997.t01-1-00735.x</w:t>
      </w:r>
      <w:r>
        <w:rPr>
          <w:rFonts w:ascii="Arial" w:cs="Arial" w:hAnsi="Arial" w:eastAsia="Arial"/>
          <w:sz w:val="18"/>
          <w:szCs w:val="18"/>
        </w:rPr>
        <w:fldChar w:fldCharType="end" w:fldLock="0"/>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r>
      <w:r>
        <w:rPr>
          <w:rStyle w:val="None A"/>
          <w:rFonts w:ascii="Arial" w:cs="Arial" w:hAnsi="Arial" w:eastAsia="Arial"/>
          <w:sz w:val="18"/>
          <w:szCs w:val="18"/>
        </w:rPr>
        <w:tab/>
      </w:r>
      <w:r>
        <w:rPr>
          <w:rStyle w:val="None A"/>
          <w:rFonts w:ascii="Arial" w:hAnsi="Arial"/>
          <w:sz w:val="18"/>
          <w:szCs w:val="18"/>
          <w:rtl w:val="0"/>
          <w:lang w:val="en-US"/>
        </w:rPr>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rPr>
        <w:t xml:space="preserve">, </w:t>
      </w:r>
      <w:r>
        <w:rPr>
          <w:rStyle w:val="None A"/>
          <w:rFonts w:ascii="Arial" w:hAnsi="Arial"/>
          <w:i w:val="1"/>
          <w:iCs w:val="1"/>
          <w:sz w:val="18"/>
          <w:szCs w:val="18"/>
          <w:rtl w:val="0"/>
        </w:rPr>
        <w:t>81</w:t>
      </w:r>
      <w:r>
        <w:rPr>
          <w:rStyle w:val="None A"/>
          <w:rFonts w:ascii="Arial" w:hAnsi="Arial"/>
          <w:sz w:val="18"/>
          <w:szCs w:val="18"/>
          <w:rtl w:val="0"/>
        </w:rPr>
        <w:t>(10), 3757</w:t>
      </w:r>
      <w:r>
        <w:rPr>
          <w:rStyle w:val="None A"/>
          <w:rFonts w:ascii="Arial" w:hAnsi="Arial" w:hint="default"/>
          <w:sz w:val="18"/>
          <w:szCs w:val="18"/>
          <w:rtl w:val="0"/>
        </w:rPr>
        <w:t>–</w:t>
      </w:r>
      <w:r>
        <w:rPr>
          <w:rStyle w:val="None A"/>
          <w:rFonts w:ascii="Arial" w:hAnsi="Arial"/>
          <w:sz w:val="18"/>
          <w:szCs w:val="18"/>
          <w:rtl w:val="0"/>
        </w:rPr>
        <w:t>3769.</w:t>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sz w:val="18"/>
          <w:szCs w:val="18"/>
        </w:rPr>
        <w:tab/>
      </w:r>
      <w:r>
        <w:rPr>
          <w:rStyle w:val="Hyperlink.2"/>
          <w:rFonts w:ascii="Arial" w:cs="Arial" w:hAnsi="Arial" w:eastAsia="Arial"/>
          <w:color w:val="0000ff"/>
          <w:sz w:val="18"/>
          <w:szCs w:val="18"/>
          <w:u w:val="single" w:color="0000ff"/>
        </w:rPr>
        <w:fldChar w:fldCharType="begin" w:fldLock="0"/>
      </w:r>
      <w:r>
        <w:rPr>
          <w:rStyle w:val="Hyperlink.2"/>
          <w:rFonts w:ascii="Arial" w:cs="Arial" w:hAnsi="Arial" w:eastAsia="Arial"/>
          <w:color w:val="0000ff"/>
          <w:sz w:val="18"/>
          <w:szCs w:val="18"/>
          <w:u w:val="single" w:color="0000ff"/>
        </w:rPr>
        <w:instrText xml:space="preserve"> HYPERLINK "http://doi.org/10.1128/IAI.00515-13"</w:instrText>
      </w:r>
      <w:r>
        <w:rPr>
          <w:rStyle w:val="Hyperlink.2"/>
          <w:rFonts w:ascii="Arial" w:cs="Arial" w:hAnsi="Arial" w:eastAsia="Arial"/>
          <w:color w:val="0000ff"/>
          <w:sz w:val="18"/>
          <w:szCs w:val="18"/>
          <w:u w:val="single" w:color="0000ff"/>
        </w:rPr>
        <w:fldChar w:fldCharType="separate" w:fldLock="0"/>
      </w:r>
      <w:r>
        <w:rPr>
          <w:rStyle w:val="Hyperlink.2"/>
          <w:rFonts w:ascii="Arial" w:hAnsi="Arial"/>
          <w:color w:val="0000ff"/>
          <w:sz w:val="18"/>
          <w:szCs w:val="18"/>
          <w:u w:val="single" w:color="0000ff"/>
          <w:rtl w:val="0"/>
          <w:lang w:val="en-US"/>
        </w:rPr>
        <w:t>http://doi.org/10.1128/IAI.00515-13</w:t>
      </w:r>
      <w:r>
        <w:rPr>
          <w:rFonts w:ascii="Arial" w:cs="Arial" w:hAnsi="Arial" w:eastAsia="Arial"/>
          <w:sz w:val="18"/>
          <w:szCs w:val="18"/>
        </w:rPr>
        <w:fldChar w:fldCharType="end" w:fldLock="0"/>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r>
      <w:r>
        <w:rPr>
          <w:rStyle w:val="None A"/>
          <w:rFonts w:ascii="Arial" w:cs="Arial" w:hAnsi="Arial" w:eastAsia="Arial"/>
          <w:sz w:val="18"/>
          <w:szCs w:val="18"/>
        </w:rPr>
        <w:tab/>
      </w:r>
      <w:r>
        <w:rPr>
          <w:rStyle w:val="None A"/>
          <w:rFonts w:ascii="Arial" w:hAnsi="Arial"/>
          <w:sz w:val="18"/>
          <w:szCs w:val="18"/>
          <w:rtl w:val="0"/>
          <w:lang w:val="en-US"/>
        </w:rPr>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rPr>
        <w:t>, 2011.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rPr>
      </w:pPr>
      <w:r>
        <w:rPr>
          <w:rStyle w:val="None A"/>
          <w:rFonts w:ascii="Arial" w:hAnsi="Arial"/>
          <w:color w:val="323232"/>
          <w:sz w:val="18"/>
          <w:szCs w:val="18"/>
          <w:rtl w:val="0"/>
          <w:lang w:val="en-US"/>
        </w:rPr>
        <w:t xml:space="preserve">Kansau, I., Barketi-Klai, A., Monot, M., Hoy, S., Dupuy, B., &amp; Janoir, C. (2016). </w:t>
      </w:r>
      <w:r>
        <w:rPr>
          <w:rStyle w:val="None A"/>
          <w:rFonts w:ascii="Arial" w:hAnsi="Arial"/>
          <w:color w:val="323232"/>
          <w:sz w:val="18"/>
          <w:szCs w:val="18"/>
          <w:rtl w:val="0"/>
          <w:lang w:val="en-US"/>
        </w:rPr>
        <w:t>Deciphering Adaptation Strategies of the Epi</w:t>
      </w:r>
      <w:r>
        <w:rPr>
          <w:rStyle w:val="None A"/>
          <w:rFonts w:ascii="Arial" w:cs="Arial" w:hAnsi="Arial" w:eastAsia="Arial"/>
          <w:color w:val="323232"/>
          <w:sz w:val="18"/>
          <w:szCs w:val="18"/>
        </w:rPr>
        <w:tab/>
      </w:r>
      <w:r>
        <w:rPr>
          <w:rStyle w:val="None A"/>
          <w:rFonts w:ascii="Arial" w:hAnsi="Arial"/>
          <w:color w:val="323232"/>
          <w:sz w:val="18"/>
          <w:szCs w:val="18"/>
          <w:rtl w:val="0"/>
          <w:lang w:val="en-US"/>
        </w:rPr>
        <w:t>demic Clostridium difficile 027 Strain during Infection through In Vivo Transcriptional Analysis</w:t>
      </w:r>
      <w:r>
        <w:rPr>
          <w:rStyle w:val="None A"/>
          <w:rFonts w:ascii="Arial" w:hAnsi="Arial"/>
          <w:color w:val="323232"/>
          <w:sz w:val="18"/>
          <w:szCs w:val="18"/>
          <w:rtl w:val="0"/>
          <w:lang w:val="en-US"/>
        </w:rPr>
        <w:t xml:space="preserve">. </w:t>
      </w:r>
      <w:r>
        <w:rPr>
          <w:rStyle w:val="None A"/>
          <w:rFonts w:ascii="Arial" w:hAnsi="Arial"/>
          <w:i w:val="1"/>
          <w:iCs w:val="1"/>
          <w:color w:val="323232"/>
          <w:sz w:val="18"/>
          <w:szCs w:val="18"/>
          <w:rtl w:val="0"/>
          <w:lang w:val="de-DE"/>
        </w:rPr>
        <w:t>PLoS ONE</w:t>
      </w:r>
      <w:r>
        <w:rPr>
          <w:rStyle w:val="None A"/>
          <w:rFonts w:ascii="Arial" w:hAnsi="Arial"/>
          <w:color w:val="323232"/>
          <w:sz w:val="18"/>
          <w:szCs w:val="18"/>
          <w:rtl w:val="0"/>
        </w:rPr>
        <w:t>,</w:t>
      </w:r>
      <w:r>
        <w:rPr>
          <w:rStyle w:val="None A"/>
          <w:rFonts w:ascii="Arial" w:hAnsi="Arial"/>
          <w:color w:val="323232"/>
          <w:sz w:val="18"/>
          <w:szCs w:val="18"/>
          <w:rtl w:val="0"/>
          <w:lang w:val="en-US"/>
        </w:rPr>
        <w:t xml:space="preserve"> 11(6). </w:t>
        <w:tab/>
      </w:r>
      <w:r>
        <w:rPr>
          <w:rStyle w:val="None A"/>
          <w:rFonts w:ascii="Arial" w:hAnsi="Arial"/>
          <w:color w:val="323232"/>
          <w:sz w:val="18"/>
          <w:szCs w:val="18"/>
          <w:rtl w:val="0"/>
          <w:lang w:val="en-US"/>
        </w:rPr>
        <w:t>http://dx.doi.org/10.1371/journal.pone.0158204</w:t>
      </w:r>
    </w:p>
    <w:p>
      <w:pPr>
        <w:pStyle w:val="Text body"/>
        <w:shd w:val="clear" w:color="auto" w:fill="ffffff"/>
        <w:ind w:left="480" w:hanging="480"/>
        <w:rPr>
          <w:rStyle w:val="None A"/>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3"/>
        </w:rPr>
        <w:fldChar w:fldCharType="begin" w:fldLock="0"/>
      </w:r>
      <w:r>
        <w:rPr>
          <w:rStyle w:val="Hyperlink.3"/>
        </w:rPr>
        <w:instrText xml:space="preserve"> HYPERLINK "http://doi.org/10.1056/NEJMoa1408913"</w:instrText>
      </w:r>
      <w:r>
        <w:rPr>
          <w:rStyle w:val="Hyperlink.3"/>
        </w:rPr>
        <w:fldChar w:fldCharType="separate" w:fldLock="0"/>
      </w:r>
      <w:r>
        <w:rPr>
          <w:rStyle w:val="Hyperlink.3"/>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4"/>
        </w:rPr>
        <w:fldChar w:fldCharType="begin" w:fldLock="0"/>
      </w:r>
      <w:r>
        <w:rPr>
          <w:rStyle w:val="Hyperlink.4"/>
        </w:rPr>
        <w:instrText xml:space="preserve"> HYPERLINK "http://doi.org/10.1007/s10096-015-2479-6"</w:instrText>
      </w:r>
      <w:r>
        <w:rPr>
          <w:rStyle w:val="Hyperlink.4"/>
        </w:rPr>
        <w:fldChar w:fldCharType="separate" w:fldLock="0"/>
      </w:r>
      <w:r>
        <w:rPr>
          <w:rStyle w:val="Hyperlink.4"/>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olor w:val="000080"/>
      <w:sz w:val="22"/>
      <w:szCs w:val="22"/>
      <w:u w:val="single" w:color="000080"/>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Hyperlink"/>
    <w:next w:val="Hyperlink.2"/>
    <w:rPr>
      <w:color w:val="0000ff"/>
      <w:u w:val="single" w:color="0000ff"/>
    </w:rPr>
  </w:style>
  <w:style w:type="character" w:styleId="Hyperlink.3">
    <w:name w:val="Hyperlink.3"/>
    <w:basedOn w:val="None A"/>
    <w:next w:val="Hyperlink.3"/>
    <w:rPr>
      <w:rFonts w:ascii="Arial" w:cs="Arial" w:hAnsi="Arial" w:eastAsia="Arial"/>
      <w:color w:val="000080"/>
      <w:sz w:val="18"/>
      <w:szCs w:val="18"/>
      <w:u w:val="single" w:color="000080"/>
    </w:rPr>
  </w:style>
  <w:style w:type="character" w:styleId="Hyperlink.4">
    <w:name w:val="Hyperlink.4"/>
    <w:basedOn w:val="None A"/>
    <w:next w:val="Hyperlink.4"/>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