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color="2c2d30"/>
          <w:rtl w:val="0"/>
          <w:lang w:val="en-US"/>
        </w:rPr>
        <w:t>Clostridium difficile</w:t>
      </w:r>
      <w:r>
        <w:rPr>
          <w:rFonts w:ascii="Arial" w:hAnsi="Arial"/>
          <w:color w:val="2c2d30"/>
          <w:sz w:val="22"/>
          <w:szCs w:val="22"/>
          <w:u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r>
        <w:rPr>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(fermentation) and </w:t>
      </w:r>
      <w:r>
        <w:rPr>
          <w:rFonts w:ascii="Arial" w:hAnsi="Arial"/>
          <w:i w:val="1"/>
          <w:iCs w:val="1"/>
          <w:sz w:val="22"/>
          <w:szCs w:val="22"/>
          <w:rtl w:val="0"/>
          <w:lang w:val="en-US"/>
        </w:rPr>
        <w:t>prdR</w:t>
      </w:r>
      <w:r>
        <w:rPr>
          <w:rFonts w:ascii="Arial" w:hAnsi="Arial"/>
          <w:sz w:val="22"/>
          <w:szCs w:val="22"/>
          <w:rtl w:val="0"/>
          <w:lang w:val="en-US"/>
        </w:rPr>
        <w:t xml:space="preserve"> (amino acid catabolism)</w:t>
      </w:r>
      <w:r>
        <w:rPr>
          <w:rFonts w:ascii="Arial" w:hAnsi="Arial"/>
          <w:i w:val="1"/>
          <w:iCs w:val="1"/>
          <w:sz w:val="22"/>
          <w:szCs w:val="22"/>
          <w:rtl w:val="0"/>
          <w:lang w:val="en-US"/>
        </w:rPr>
        <w:t xml:space="preserve"> </w:t>
      </w:r>
      <w:r>
        <w:rPr>
          <w:rFonts w:ascii="Arial" w:hAnsi="Arial"/>
          <w:sz w:val="22"/>
          <w:szCs w:val="22"/>
          <w:rtl w:val="0"/>
          <w:lang w:val="en-US"/>
        </w:rPr>
        <w:t xml:space="preserve">(Fig. 3d).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rex</w:t>
      </w:r>
      <w:r>
        <w:rPr>
          <w:rFonts w:ascii="Arial" w:hAnsi="Arial"/>
          <w:sz w:val="22"/>
          <w:szCs w:val="22"/>
          <w:rtl w:val="0"/>
          <w:lang w:val="en-US"/>
        </w:rPr>
        <w:t xml:space="preserve"> expression is highly detectable in both cefoperazone-treated and germ free mice with modest expression in streptomycin-treated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of different aspects of its metabolism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For all gene sets, the highest overall expression was for genes involved in amino acid catabolism, following select genes involved in fermentation (Fig. S?). Together, these findings allude to fermentation </w:t>
      </w:r>
      <w:r>
        <w:rPr>
          <w:rFonts w:ascii="Arial" w:hAnsi="Arial"/>
          <w:sz w:val="22"/>
          <w:szCs w:val="22"/>
          <w:rtl w:val="0"/>
          <w:lang w:val="en-US"/>
        </w:rPr>
        <w:t xml:space="preserve">of amino acids </w:t>
      </w:r>
      <w:r>
        <w:rPr>
          <w:rFonts w:ascii="Arial" w:hAnsi="Arial"/>
          <w:sz w:val="22"/>
          <w:szCs w:val="22"/>
          <w:rtl w:val="0"/>
          <w:lang w:val="en-US"/>
        </w:rPr>
        <w:t xml:space="preserve">as a central part of </w:t>
      </w:r>
      <w:r>
        <w:rPr>
          <w:rFonts w:ascii="Arial" w:hAnsi="Arial"/>
          <w:i w:val="1"/>
          <w:iCs w:val="1"/>
          <w:sz w:val="22"/>
          <w:szCs w:val="22"/>
          <w:rtl w:val="0"/>
          <w:lang w:val="en-US"/>
        </w:rPr>
        <w:t>C. difficile</w:t>
      </w:r>
      <w:r>
        <w:rPr>
          <w:rFonts w:ascii="Arial" w:hAnsi="Arial"/>
          <w:sz w:val="22"/>
          <w:szCs w:val="22"/>
          <w:rtl w:val="0"/>
          <w:lang w:val="en-US"/>
        </w:rPr>
        <w:t xml:space="preserve"> metabolism</w:t>
      </w:r>
      <w:r>
        <w:rPr>
          <w:rFonts w:ascii="Arial" w:hAnsi="Arial"/>
          <w:i w:val="1"/>
          <w:iCs w:val="1"/>
          <w:sz w:val="22"/>
          <w:szCs w:val="22"/>
          <w:rtl w:val="0"/>
          <w:lang w:val="en-US"/>
        </w:rPr>
        <w:t xml:space="preserve"> in vivo</w:t>
      </w:r>
      <w:r>
        <w:rPr>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1"/>
      <w:r>
        <w:rPr>
          <w:rFonts w:ascii="Arial" w:hAnsi="Arial"/>
          <w:i w:val="1"/>
          <w:iCs w:val="1"/>
          <w:sz w:val="22"/>
          <w:szCs w:val="22"/>
          <w:rtl w:val="0"/>
          <w:lang w:val="en-US"/>
        </w:rPr>
        <w:t>adhE</w:t>
      </w:r>
      <w:bookmarkEnd w:id="1"/>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included genes for the steps involved in glycolysis as well as several genes that mediate entry points of a number of monosaccharides to this pathway. Transcripts for several genes in glycolysis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w:t>
      </w:r>
      <w:r>
        <w:rPr>
          <w:rFonts w:ascii="Arial" w:hAnsi="Arial"/>
          <w:sz w:val="22"/>
          <w:szCs w:val="22"/>
          <w:rtl w:val="0"/>
          <w:lang w:val="en-US"/>
        </w:rPr>
        <w:t xml:space="preserve">(BC) and </w:t>
      </w:r>
      <w:r>
        <w:rPr>
          <w:rFonts w:ascii="Arial" w:hAnsi="Arial"/>
          <w:sz w:val="22"/>
          <w:szCs w:val="22"/>
          <w:rtl w:val="0"/>
          <w:lang w:val="en-US"/>
        </w:rPr>
        <w:t xml:space="preserve">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w:t>
      </w:r>
      <w:r>
        <w:rPr>
          <w:rFonts w:ascii="Arial" w:hAnsi="Arial"/>
          <w:sz w:val="22"/>
          <w:szCs w:val="22"/>
          <w:rtl w:val="0"/>
          <w:lang w:val="en-US"/>
        </w:rPr>
        <w:t>BC</w:t>
      </w:r>
      <w:r>
        <w:rPr>
          <w:rFonts w:ascii="Arial" w:hAnsi="Arial"/>
          <w:sz w:val="22"/>
          <w:szCs w:val="22"/>
          <w:rtl w:val="0"/>
          <w:lang w:val="en-US"/>
        </w:rPr>
        <w:t xml:space="preserve"> reflects </w:t>
      </w:r>
      <w:r>
        <w:rPr>
          <w:rFonts w:ascii="Arial" w:hAnsi="Arial"/>
          <w:sz w:val="22"/>
          <w:szCs w:val="22"/>
          <w:rtl w:val="0"/>
          <w:lang w:val="en-US"/>
        </w:rPr>
        <w:t>the amount of influence a given hub has on the overall flow of metabolites through the network,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w:t>
      </w:r>
      <w:r>
        <w:rPr>
          <w:rFonts w:ascii="Arial" w:hAnsi="Arial"/>
          <w:sz w:val="22"/>
          <w:szCs w:val="22"/>
          <w:rtl w:val="0"/>
          <w:lang w:val="en-US"/>
        </w:rPr>
        <w:t xml:space="preserve">. </w:t>
      </w:r>
      <w:r>
        <w:rPr>
          <w:rFonts w:ascii="Arial" w:hAnsi="Arial"/>
          <w:sz w:val="22"/>
          <w:szCs w:val="22"/>
          <w:rtl w:val="0"/>
          <w:lang w:val="en-US"/>
        </w:rPr>
        <w:t>For both enzymes and substrates, the 18 of top 20 nodes with the highest BC values are involved in glycolysis, fermentation, and amino acid synthesis. In agreement almost all nodes with the largest OCCI values are involved in these same processes. Enzymes that score highly in both metrics</w:t>
      </w:r>
      <w:r>
        <w:rPr>
          <w:rFonts w:ascii="Arial" w:hAnsi="Arial"/>
          <w:sz w:val="22"/>
          <w:szCs w:val="22"/>
          <w:rtl w:val="0"/>
          <w:lang w:val="en-US"/>
        </w:rPr>
        <w:t xml:space="preserve"> included pyruvate</w:t>
      </w:r>
      <w:r>
        <w:rPr>
          <w:rFonts w:ascii="Arial" w:hAnsi="Arial"/>
          <w:sz w:val="22"/>
          <w:szCs w:val="22"/>
          <w:rtl w:val="0"/>
          <w:lang w:val="en-US"/>
        </w:rPr>
        <w:t xml:space="preserve"> </w:t>
      </w:r>
      <w:r>
        <w:rPr>
          <w:rFonts w:ascii="Arial" w:hAnsi="Arial"/>
          <w:sz w:val="22"/>
          <w:szCs w:val="22"/>
          <w:rtl w:val="0"/>
          <w:lang w:val="en-US"/>
        </w:rPr>
        <w:t>kinase</w:t>
      </w:r>
      <w:r>
        <w:rPr>
          <w:rFonts w:ascii="Arial" w:hAnsi="Arial"/>
          <w:sz w:val="22"/>
          <w:szCs w:val="22"/>
          <w:rtl w:val="0"/>
          <w:lang w:val="en-US"/>
        </w:rPr>
        <w:t xml:space="preserve">, </w:t>
      </w:r>
      <w:r>
        <w:rPr>
          <w:rFonts w:ascii="Arial" w:hAnsi="Arial"/>
          <w:sz w:val="22"/>
          <w:szCs w:val="22"/>
          <w:rtl w:val="0"/>
          <w:lang w:val="en-US"/>
        </w:rPr>
        <w:t>aspartate</w:t>
      </w:r>
      <w:r>
        <w:rPr>
          <w:rFonts w:ascii="Arial" w:hAnsi="Arial"/>
          <w:sz w:val="22"/>
          <w:szCs w:val="22"/>
          <w:rtl w:val="0"/>
          <w:lang w:val="en-US"/>
        </w:rPr>
        <w:t xml:space="preserve"> </w:t>
      </w:r>
      <w:r>
        <w:rPr>
          <w:rFonts w:ascii="Arial" w:hAnsi="Arial"/>
          <w:sz w:val="22"/>
          <w:szCs w:val="22"/>
          <w:rtl w:val="0"/>
          <w:lang w:val="en-US"/>
        </w:rPr>
        <w:t>aminotransferase</w:t>
      </w:r>
      <w:r>
        <w:rPr>
          <w:rFonts w:ascii="Arial" w:hAnsi="Arial"/>
          <w:sz w:val="22"/>
          <w:szCs w:val="22"/>
          <w:rtl w:val="0"/>
          <w:lang w:val="en-US"/>
        </w:rPr>
        <w:t xml:space="preserve">, and </w:t>
      </w:r>
      <w:r>
        <w:rPr>
          <w:rFonts w:ascii="Arial" w:hAnsi="Arial"/>
          <w:sz w:val="22"/>
          <w:szCs w:val="22"/>
          <w:rtl w:val="0"/>
          <w:lang w:val="en-US"/>
        </w:rPr>
        <w:t>formate</w:t>
      </w:r>
      <w:r>
        <w:rPr>
          <w:rFonts w:ascii="Arial" w:hAnsi="Arial"/>
          <w:sz w:val="22"/>
          <w:szCs w:val="22"/>
          <w:rtl w:val="0"/>
          <w:lang w:val="en-US"/>
        </w:rPr>
        <w:t xml:space="preserve"> </w:t>
      </w:r>
      <w:r>
        <w:rPr>
          <w:rFonts w:ascii="Arial" w:hAnsi="Arial"/>
          <w:sz w:val="22"/>
          <w:szCs w:val="22"/>
          <w:rtl w:val="0"/>
          <w:lang w:val="en-US"/>
        </w:rPr>
        <w:t>C-acetyltransferase</w:t>
      </w:r>
      <w:r>
        <w:rPr>
          <w:rFonts w:ascii="Arial" w:hAnsi="Arial"/>
          <w:sz w:val="22"/>
          <w:szCs w:val="22"/>
          <w:rtl w:val="0"/>
          <w:lang w:val="en-US"/>
        </w:rPr>
        <w:t xml:space="preserve"> while substrates consistently scoring most highly were </w:t>
      </w:r>
      <w:r>
        <w:rPr>
          <w:rFonts w:ascii="Arial" w:hAnsi="Arial"/>
          <w:sz w:val="22"/>
          <w:szCs w:val="22"/>
          <w:rtl w:val="0"/>
          <w:lang w:val="en-US"/>
        </w:rPr>
        <w:t>pyruvate, acetyl-CoA,</w:t>
      </w:r>
      <w:r>
        <w:rPr>
          <w:rFonts w:ascii="Arial" w:hAnsi="Arial"/>
          <w:sz w:val="22"/>
          <w:szCs w:val="22"/>
          <w:rtl w:val="0"/>
          <w:lang w:val="en-US"/>
        </w:rPr>
        <w:t xml:space="preserve"> </w:t>
      </w:r>
      <w:r>
        <w:rPr>
          <w:rFonts w:ascii="Arial" w:hAnsi="Arial"/>
          <w:sz w:val="22"/>
          <w:szCs w:val="22"/>
          <w:rtl w:val="0"/>
          <w:lang w:val="en-US"/>
        </w:rPr>
        <w:t>D-</w:t>
      </w:r>
      <w:r>
        <w:rPr>
          <w:rFonts w:ascii="Arial" w:hAnsi="Arial"/>
          <w:sz w:val="22"/>
          <w:szCs w:val="22"/>
          <w:rtl w:val="0"/>
          <w:lang w:val="en-US"/>
        </w:rPr>
        <w:t>g</w:t>
      </w:r>
      <w:r>
        <w:rPr>
          <w:rFonts w:ascii="Arial" w:hAnsi="Arial"/>
          <w:sz w:val="22"/>
          <w:szCs w:val="22"/>
          <w:rtl w:val="0"/>
          <w:lang w:val="en-US"/>
        </w:rPr>
        <w:t>lyceraldehyde</w:t>
      </w:r>
      <w:r>
        <w:rPr>
          <w:rFonts w:ascii="Arial" w:hAnsi="Arial"/>
          <w:sz w:val="22"/>
          <w:szCs w:val="22"/>
          <w:rtl w:val="0"/>
          <w:lang w:val="en-US"/>
        </w:rPr>
        <w:t xml:space="preserve"> </w:t>
      </w:r>
      <w:r>
        <w:rPr>
          <w:rFonts w:ascii="Arial" w:hAnsi="Arial"/>
          <w:sz w:val="22"/>
          <w:szCs w:val="22"/>
          <w:rtl w:val="0"/>
          <w:lang w:val="en-US"/>
        </w:rPr>
        <w:t>3-phosphate</w:t>
      </w:r>
      <w:r>
        <w:rPr>
          <w:rFonts w:ascii="Arial" w:hAnsi="Arial"/>
          <w:sz w:val="22"/>
          <w:szCs w:val="22"/>
          <w:rtl w:val="0"/>
          <w:lang w:val="en-US"/>
        </w:rPr>
        <w:t xml:space="preserve">. </w:t>
      </w:r>
      <w:r>
        <w:rPr>
          <w:rFonts w:ascii="Arial" w:hAnsi="Arial"/>
          <w:sz w:val="22"/>
          <w:szCs w:val="22"/>
          <w:rtl w:val="0"/>
          <w:lang w:val="en-US"/>
        </w:rPr>
        <w:t>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expression of genes for enzymes that produce the substrate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r>
        <w:rPr>
          <w:rStyle w:val="None"/>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color="323232"/>
          <w:rtl w:val="0"/>
          <w:lang w:val="de-DE"/>
        </w:rPr>
        <w:t>PLoS ONE</w:t>
      </w:r>
      <w:r>
        <w:rPr>
          <w:rStyle w:val="None"/>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