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rPr>
          <w:rFonts w:ascii="Arial" w:cs="Arial" w:hAnsi="Arial" w:eastAsia="Arial"/>
          <w:i w:val="1"/>
          <w:iCs w:val="1"/>
          <w:caps w:val="0"/>
          <w:smallCaps w:val="0"/>
          <w:color w:val="2c2d30"/>
          <w:spacing w:val="0"/>
          <w:sz w:val="22"/>
          <w:szCs w:val="22"/>
          <w:u w:color="2c2d30"/>
        </w:rPr>
      </w:pPr>
      <w:r>
        <w:rPr>
          <w:rFonts w:ascii="Arial" w:hAnsi="Arial"/>
          <w:b w:val="1"/>
          <w:bCs w:val="1"/>
          <w:sz w:val="22"/>
          <w:szCs w:val="22"/>
          <w:rtl w:val="0"/>
          <w:lang w:val="en-US"/>
        </w:rPr>
        <w:t>Title</w:t>
      </w:r>
    </w:p>
    <w:p>
      <w:pPr>
        <w:pStyle w:val="Default"/>
        <w:spacing w:line="480" w:lineRule="auto"/>
        <w:jc w:val="both"/>
        <w:rPr>
          <w:rFonts w:ascii="Arial" w:cs="Arial" w:hAnsi="Arial" w:eastAsia="Arial"/>
          <w:b w:val="1"/>
          <w:bCs w:val="1"/>
          <w:sz w:val="22"/>
          <w:szCs w:val="22"/>
        </w:rPr>
      </w:pPr>
      <w:r>
        <w:rPr>
          <w:rFonts w:ascii="Arial" w:hAnsi="Arial"/>
          <w:i w:val="1"/>
          <w:iCs w:val="1"/>
          <w:caps w:val="0"/>
          <w:smallCaps w:val="0"/>
          <w:color w:val="2c2d30"/>
          <w:spacing w:val="0"/>
          <w:sz w:val="22"/>
          <w:szCs w:val="22"/>
          <w:u w:color="2c2d30"/>
          <w:rtl w:val="0"/>
          <w:lang w:val="en-US"/>
        </w:rPr>
        <w:t>Clostridium difficile</w:t>
      </w:r>
      <w:r>
        <w:rPr>
          <w:rFonts w:ascii="Arial" w:hAnsi="Arial"/>
          <w:caps w:val="0"/>
          <w:smallCaps w:val="0"/>
          <w:color w:val="2c2d30"/>
          <w:spacing w:val="0"/>
          <w:sz w:val="22"/>
          <w:szCs w:val="22"/>
          <w:u w:color="2c2d30"/>
          <w:rtl w:val="0"/>
          <w:lang w:val="en-US"/>
        </w:rPr>
        <w:t xml:space="preserve"> colonizes alternative nutrient niches during infection across susceptible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r>
        <w:rPr>
          <w:rFonts w:ascii="Arial" w:hAnsi="Arial"/>
          <w:sz w:val="22"/>
          <w:szCs w:val="22"/>
          <w:rtl w:val="0"/>
          <w:lang w:val="en-US"/>
        </w:rPr>
        <w:t xml:space="preserve">2.  </w:t>
      </w:r>
      <w:bookmarkStart w:name="_DdeLink__1571_979451698" w:id="0"/>
      <w:r>
        <w:rPr>
          <w:rFonts w:ascii="Arial" w:hAnsi="Arial"/>
          <w:sz w:val="22"/>
          <w:szCs w:val="22"/>
          <w:rtl w:val="0"/>
          <w:lang w:val="en-US"/>
        </w:rPr>
        <w:t>Department of Internal Medicine</w:t>
      </w:r>
      <w:bookmarkEnd w:id="0"/>
      <w:r>
        <w:rPr>
          <w:rFonts w:ascii="Arial" w:hAnsi="Arial"/>
          <w:sz w:val="22"/>
          <w:szCs w:val="22"/>
          <w:rtl w:val="0"/>
          <w:lang w:val="en-US"/>
        </w:rPr>
        <w:t>; University of Michigan Health System; Ann Arbor, MI</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pacing w:line="480" w:lineRule="auto"/>
        <w:jc w:val="both"/>
        <w:rPr>
          <w:rFonts w:ascii="Arial" w:cs="Arial" w:hAnsi="Arial" w:eastAsia="Arial"/>
          <w:sz w:val="22"/>
          <w:szCs w:val="22"/>
        </w:r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w:t>
      </w:r>
      <w:r>
        <w:rPr>
          <w:rFonts w:ascii="Arial" w:hAnsi="Arial"/>
          <w:sz w:val="22"/>
          <w:szCs w:val="22"/>
          <w:rtl w:val="0"/>
          <w:lang w:val="en-US"/>
        </w:rPr>
        <w:t>of several</w:t>
      </w:r>
      <w:r>
        <w:rPr>
          <w:rFonts w:ascii="Arial" w:hAnsi="Arial"/>
          <w:sz w:val="22"/>
          <w:szCs w:val="22"/>
          <w:rtl w:val="0"/>
          <w:lang w:val="en-US"/>
        </w:rPr>
        <w:t xml:space="preserve"> useable by </w:t>
      </w:r>
      <w:r>
        <w:rPr>
          <w:rFonts w:ascii="Arial" w:hAnsi="Arial"/>
          <w:i w:val="1"/>
          <w:iCs w:val="1"/>
          <w:sz w:val="22"/>
          <w:szCs w:val="22"/>
          <w:rtl w:val="0"/>
          <w:lang w:val="en-US"/>
        </w:rPr>
        <w:t>C. difficile</w:t>
      </w:r>
      <w:r>
        <w:rPr>
          <w:rFonts w:ascii="Arial" w:hAnsi="Arial"/>
          <w:sz w:val="22"/>
          <w:szCs w:val="22"/>
          <w:rtl w:val="0"/>
          <w:lang w:val="en-US"/>
        </w:rPr>
        <w:t>.  In this study, we orally challenged C57BL/6</w:t>
      </w:r>
      <w:r>
        <w:rPr>
          <w:rFonts w:ascii="Arial" w:hAnsi="Arial"/>
          <w:sz w:val="22"/>
          <w:szCs w:val="22"/>
          <w:rtl w:val="0"/>
          <w:lang w:val="en-US"/>
        </w:rPr>
        <w:t xml:space="preserve"> </w:t>
      </w:r>
      <w:r>
        <w:rPr>
          <w:rFonts w:ascii="Arial" w:hAnsi="Arial"/>
          <w:sz w:val="22"/>
          <w:szCs w:val="22"/>
          <w:rtl w:val="0"/>
          <w:lang w:val="en-US"/>
        </w:rPr>
        <w:t xml:space="preserve">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caps w:val="0"/>
          <w:smallCaps w:val="0"/>
          <w:color w:val="000000"/>
          <w:spacing w:val="0"/>
          <w:sz w:val="22"/>
          <w:szCs w:val="22"/>
          <w:u w:color="000000"/>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w:t>
      </w:r>
      <w:r>
        <w:rPr>
          <w:rFonts w:ascii="Arial" w:hAnsi="Arial"/>
          <w:i w:val="1"/>
          <w:iCs w:val="1"/>
          <w:sz w:val="22"/>
          <w:szCs w:val="22"/>
          <w:rtl w:val="0"/>
          <w:lang w:val="en-US"/>
        </w:rPr>
        <w:t>Clostridium difficile</w:t>
      </w:r>
      <w:r>
        <w:rPr>
          <w:rFonts w:ascii="Arial" w:hAnsi="Arial"/>
          <w:sz w:val="22"/>
          <w:szCs w:val="22"/>
          <w:rtl w:val="0"/>
          <w:lang w:val="en-US"/>
        </w:rPr>
        <w:t xml:space="preserve"> has increased in both prevalence and severity across numerous countries over the last decade (Lessa 2012).  In the United States for the last year alone, </w:t>
      </w:r>
      <w:r>
        <w:rPr>
          <w:rFonts w:ascii="Arial" w:hAnsi="Arial"/>
          <w:i w:val="1"/>
          <w:iCs w:val="1"/>
          <w:sz w:val="22"/>
          <w:szCs w:val="22"/>
          <w:rtl w:val="0"/>
          <w:lang w:val="en-US"/>
        </w:rPr>
        <w:t>C. difficile</w:t>
      </w:r>
      <w:r>
        <w:rPr>
          <w:rFonts w:ascii="Arial" w:hAnsi="Arial"/>
          <w:sz w:val="22"/>
          <w:szCs w:val="22"/>
          <w:rtl w:val="0"/>
          <w:lang w:val="en-US"/>
        </w:rPr>
        <w:t xml:space="preserve"> was estimated to have caused &gt;500,000 infections and resulted in ~$4.8 billion worth of acute care costs (Lessa, 2015).  Aside from a small percentage of individuals who become asymptomatically colonized, </w:t>
      </w:r>
      <w:r>
        <w:rPr>
          <w:rFonts w:ascii="Arial" w:hAnsi="Arial"/>
          <w:i w:val="1"/>
          <w:iCs w:val="1"/>
          <w:sz w:val="22"/>
          <w:szCs w:val="22"/>
          <w:rtl w:val="0"/>
          <w:lang w:val="en-US"/>
        </w:rPr>
        <w:t>Clostridium difficile</w:t>
      </w:r>
      <w:r>
        <w:rPr>
          <w:rFonts w:ascii="Arial" w:hAnsi="Arial"/>
          <w:sz w:val="22"/>
          <w:szCs w:val="22"/>
          <w:rtl w:val="0"/>
          <w:lang w:val="en-US"/>
        </w:rPr>
        <w:t xml:space="preserve"> infection (CDI) causes an array of toxin-mediated symptoms ranging from abdominal pain and diarrhea, to the more life-threatening conditions pseudomembraneous colitis and toxin megacolon.  The standard treatment regiment for cases of CDI primarily includes the administration of oral antibiotics.  Paradoxically, previous treatment with antibiotics is the most common risk-factor associated with susceptibility to CDI (Leffler, 2015).  This relationship has been strongly connected to the health and integrity of the community of microorganisms inhabiting the human gastrointestinal tract, known as the gut microbiota.  Through an attribute known as colonization resistance the gut microbiota inhibits the persistence or growth of a number of pathogenic bacteria (Lawley, 2013).  Several proposed mechanisms could account for this protection including competition for physical space or growth nutrients (Lawley, 2013).  Previous work from our laboratory in a mouse model of CDI, it was demonstrated the many classes of antibiotics cause distinct changes to structure in the bacterial component of the gut microbiota, but result in largely equal susceptibility to </w:t>
      </w:r>
      <w:r>
        <w:rPr>
          <w:rFonts w:ascii="Arial" w:hAnsi="Arial"/>
          <w:i w:val="1"/>
          <w:iCs w:val="1"/>
          <w:sz w:val="22"/>
          <w:szCs w:val="22"/>
          <w:rtl w:val="0"/>
          <w:lang w:val="en-US"/>
        </w:rPr>
        <w:t>C. difficile</w:t>
      </w:r>
      <w:r>
        <w:rPr>
          <w:rFonts w:ascii="Arial" w:hAnsi="Arial"/>
          <w:sz w:val="22"/>
          <w:szCs w:val="22"/>
          <w:rtl w:val="0"/>
          <w:lang w:val="en-US"/>
        </w:rPr>
        <w:t xml:space="preserve"> str. 630 </w:t>
      </w:r>
      <w:r>
        <w:rPr>
          <w:rFonts w:ascii="Arial" w:hAnsi="Arial" w:hint="default"/>
          <w:sz w:val="22"/>
          <w:szCs w:val="22"/>
          <w:rtl w:val="0"/>
          <w:lang w:val="en-US"/>
        </w:rPr>
        <w:t>∆</w:t>
      </w:r>
      <w:r>
        <w:rPr>
          <w:rFonts w:ascii="Arial" w:hAnsi="Arial"/>
          <w:sz w:val="22"/>
          <w:szCs w:val="22"/>
          <w:rtl w:val="0"/>
          <w:lang w:val="en-US"/>
        </w:rPr>
        <w:t xml:space="preserve">erm colonization (Schubert, 2015).  Furthermore, several groups have employed GC/LC-MS analysis to reveal that antibiotic treatment also alters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in the gastrointestinal tract of mice (Antunes 2011; Theriot, 2014; Ferreyra, 2014; Jump, 2014).  Taken together these results are a strong indication that the healthy gut microbiota, at least in part,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successfully.  This hypothesis was first proposed almost 30 years ago (Wilson, 1988), however until recently the tools to adequately measure this ability in the context of a complex community of microbes have on recently been developed.</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From the earlier research, it is evident that </w:t>
      </w:r>
      <w:r>
        <w:rPr>
          <w:rFonts w:ascii="Arial" w:hAnsi="Arial"/>
          <w:i w:val="1"/>
          <w:iCs w:val="1"/>
          <w:sz w:val="22"/>
          <w:szCs w:val="22"/>
          <w:rtl w:val="0"/>
          <w:lang w:val="en-US"/>
        </w:rPr>
        <w:t>C. difficile</w:t>
      </w:r>
      <w:r>
        <w:rPr>
          <w:rFonts w:ascii="Arial" w:hAnsi="Arial"/>
          <w:sz w:val="22"/>
          <w:szCs w:val="22"/>
          <w:rtl w:val="0"/>
          <w:lang w:val="en-US"/>
        </w:rPr>
        <w:t xml:space="preserve"> is able to adapt to the varied microbiomes that it encounters in unique susceptible gut environments.  In addition to several other traits including a relatively large and mosaic genome, it is amenable to a variety of growth substrates, and it possesses a wide host range;  all of which are hallmarks of bacterial generalists (Sebaihia, 2006; Tracy, 2012; Songer, 2006).  Moreover, it has been noted that high concentrations of easily metabolized carbon sources, such as glucose or amino acids, inhibit toxin gene expression (Neumann-Schaal, 2015).  Similarly, sporulation has been shown to be under similar nutrient-based regulation (Nawrocki, 2016).  Transcription of an enormous number of genes in </w:t>
      </w:r>
      <w:r>
        <w:rPr>
          <w:rFonts w:ascii="Arial" w:hAnsi="Arial"/>
          <w:i w:val="1"/>
          <w:iCs w:val="1"/>
          <w:sz w:val="22"/>
          <w:szCs w:val="22"/>
          <w:rtl w:val="0"/>
          <w:lang w:val="en-US"/>
        </w:rPr>
        <w:t>C. difficile</w:t>
      </w:r>
      <w:r>
        <w:rPr>
          <w:rFonts w:ascii="Arial" w:hAnsi="Arial"/>
          <w:sz w:val="22"/>
          <w:szCs w:val="22"/>
          <w:rtl w:val="0"/>
          <w:lang w:val="en-US"/>
        </w:rPr>
        <w:t xml:space="preserve"> are effected as many DNA-binding sigma factors like the pleiotropic regulator </w:t>
      </w:r>
      <w:r>
        <w:rPr>
          <w:rFonts w:ascii="Arial" w:hAnsi="Arial"/>
          <w:i w:val="1"/>
          <w:iCs w:val="1"/>
          <w:sz w:val="22"/>
          <w:szCs w:val="22"/>
          <w:rtl w:val="0"/>
          <w:lang w:val="en-US"/>
        </w:rPr>
        <w:t>c</w:t>
      </w:r>
      <w:r>
        <w:rPr>
          <w:rFonts w:ascii="Arial" w:hAnsi="Arial"/>
          <w:i w:val="1"/>
          <w:iCs w:val="1"/>
          <w:sz w:val="22"/>
          <w:szCs w:val="22"/>
          <w:rtl w:val="0"/>
          <w:lang w:val="en-US"/>
        </w:rPr>
        <w:t>cpA</w:t>
      </w:r>
      <w:r>
        <w:rPr>
          <w:rFonts w:ascii="Arial" w:hAnsi="Arial"/>
          <w:sz w:val="22"/>
          <w:szCs w:val="22"/>
          <w:rtl w:val="0"/>
          <w:lang w:val="en-US"/>
        </w:rPr>
        <w:t xml:space="preserve"> are under the control of environmental nutrient concentrations, especially carbohydrates (Bouillaut, 2015).  Downstream effects of this regulation most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In this study, we employed a mouse model of infection to compare the response of </w:t>
      </w:r>
      <w:r>
        <w:rPr>
          <w:rFonts w:ascii="Arial" w:hAnsi="Arial"/>
          <w:i w:val="1"/>
          <w:iCs w:val="1"/>
          <w:sz w:val="22"/>
          <w:szCs w:val="22"/>
          <w:rtl w:val="0"/>
          <w:lang w:val="en-US"/>
        </w:rPr>
        <w:t xml:space="preserve">C. difficile </w:t>
      </w:r>
      <w:r>
        <w:rPr>
          <w:rFonts w:ascii="Arial" w:hAnsi="Arial"/>
          <w:sz w:val="22"/>
          <w:szCs w:val="22"/>
          <w:rtl w:val="0"/>
          <w:lang w:val="en-US"/>
        </w:rPr>
        <w:t xml:space="preserve">str. 630 the gut environment caused by different classes of antibiotics (Fig. 1A).  At a macroscopic level, we observed that not only is toxin activity affected by class of antibiotic pretreatment, but and sporulation was also effected between treatment groups.  We then utilized high-throughput RNA sequencing to analyze differences in the transcriptional profile of </w:t>
      </w:r>
      <w:r>
        <w:rPr>
          <w:rFonts w:ascii="Arial" w:hAnsi="Arial"/>
          <w:i w:val="1"/>
          <w:iCs w:val="1"/>
          <w:sz w:val="22"/>
          <w:szCs w:val="22"/>
          <w:rtl w:val="0"/>
          <w:lang w:val="en-US"/>
        </w:rPr>
        <w:t>C. difficile</w:t>
      </w:r>
      <w:r>
        <w:rPr>
          <w:rFonts w:ascii="Arial" w:hAnsi="Arial"/>
          <w:sz w:val="22"/>
          <w:szCs w:val="22"/>
          <w:rtl w:val="0"/>
          <w:lang w:val="en-US"/>
        </w:rPr>
        <w:t xml:space="preserve"> during colonization of multiple different susceptible cecal environments in mice.  These studies revealed a large amount of differential expression between conditions, particularly in genes associated with the response to environment nutrient supplies and life cycle progression.   For example, high levels of both </w:t>
      </w:r>
      <w:r>
        <w:rPr>
          <w:rFonts w:ascii="Arial" w:hAnsi="Arial"/>
          <w:i w:val="1"/>
          <w:iCs w:val="1"/>
          <w:sz w:val="22"/>
          <w:szCs w:val="22"/>
          <w:rtl w:val="0"/>
          <w:lang w:val="en-US"/>
        </w:rPr>
        <w:t>c</w:t>
      </w:r>
      <w:r>
        <w:rPr>
          <w:rFonts w:ascii="Arial" w:hAnsi="Arial"/>
          <w:i w:val="1"/>
          <w:iCs w:val="1"/>
          <w:sz w:val="22"/>
          <w:szCs w:val="22"/>
          <w:rtl w:val="0"/>
          <w:lang w:val="en-US"/>
        </w:rPr>
        <w:t>odY</w:t>
      </w:r>
      <w:r>
        <w:rPr>
          <w:rFonts w:ascii="Arial" w:hAnsi="Arial"/>
          <w:sz w:val="22"/>
          <w:szCs w:val="22"/>
          <w:rtl w:val="0"/>
          <w:lang w:val="en-US"/>
        </w:rPr>
        <w:t xml:space="preserve"> and </w:t>
      </w:r>
      <w:r>
        <w:rPr>
          <w:rFonts w:ascii="Arial" w:hAnsi="Arial"/>
          <w:i w:val="1"/>
          <w:iCs w:val="1"/>
          <w:sz w:val="22"/>
          <w:szCs w:val="22"/>
          <w:rtl w:val="0"/>
          <w:lang w:val="en-US"/>
        </w:rPr>
        <w:t>s</w:t>
      </w:r>
      <w:r>
        <w:rPr>
          <w:rFonts w:ascii="Arial" w:hAnsi="Arial"/>
          <w:i w:val="1"/>
          <w:iCs w:val="1"/>
          <w:sz w:val="22"/>
          <w:szCs w:val="22"/>
          <w:rtl w:val="0"/>
          <w:lang w:val="en-US"/>
        </w:rPr>
        <w:t>po0A</w:t>
      </w:r>
      <w:r>
        <w:rPr>
          <w:rFonts w:ascii="Arial" w:hAnsi="Arial"/>
          <w:sz w:val="22"/>
          <w:szCs w:val="22"/>
          <w:rtl w:val="0"/>
          <w:lang w:val="en-US"/>
        </w:rPr>
        <w:t xml:space="preserve"> expression were highly expressed in every treatment.  Canonically CodY has been shown to be a negative sporulation regulator (Nawrocki, 2016) while Spo0A positively regulates sporulation (Deakin, 2012), and expression of both has been shown to be linked to metabolism.  It also demonstrates that a more complex mechanism determining </w:t>
      </w:r>
      <w:r>
        <w:rPr>
          <w:rFonts w:ascii="Arial" w:hAnsi="Arial"/>
          <w:i w:val="1"/>
          <w:iCs w:val="1"/>
          <w:sz w:val="22"/>
          <w:szCs w:val="22"/>
          <w:rtl w:val="0"/>
          <w:lang w:val="en-US"/>
        </w:rPr>
        <w:t>C. difficile</w:t>
      </w:r>
      <w:r>
        <w:rPr>
          <w:rFonts w:ascii="Arial" w:hAnsi="Arial"/>
          <w:sz w:val="22"/>
          <w:szCs w:val="22"/>
          <w:rtl w:val="0"/>
          <w:lang w:val="en-US"/>
        </w:rPr>
        <w:t xml:space="preserve"> sporulation timing is active compared to our previous understanding.  These data further supported to the hypothesis that growth nutrient availability was effecting the behavior of </w:t>
      </w:r>
      <w:r>
        <w:rPr>
          <w:rFonts w:ascii="Arial" w:hAnsi="Arial"/>
          <w:i w:val="1"/>
          <w:iCs w:val="1"/>
          <w:sz w:val="22"/>
          <w:szCs w:val="22"/>
          <w:rtl w:val="0"/>
          <w:lang w:val="en-US"/>
        </w:rPr>
        <w:t>C. difficile</w:t>
      </w:r>
      <w:r>
        <w:rPr>
          <w:rFonts w:ascii="Arial" w:hAnsi="Arial"/>
          <w:sz w:val="22"/>
          <w:szCs w:val="22"/>
          <w:rtl w:val="0"/>
          <w:lang w:val="en-US"/>
        </w:rPr>
        <w:t xml:space="preserve"> across models of infection.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Although traditional transcriptomic analyses are informative, they can be subject to many spurious co-correlates within the data that may lead to biologically insignificant results.  Additionally, it does very little to understand the potential edges of competition between bacterial species in the microenvironment being studied.  To address this shortcoming, it is possible to reduce inherent noise and degrees of freedom by targeting the analysis toward specific aspects of cellular function by integrating multiple levels of data (Patil, 2009).  Here we combined the </w:t>
      </w:r>
      <w:r>
        <w:rPr>
          <w:rFonts w:ascii="Arial" w:hAnsi="Arial"/>
          <w:i w:val="1"/>
          <w:iCs w:val="1"/>
          <w:sz w:val="22"/>
          <w:szCs w:val="22"/>
          <w:rtl w:val="0"/>
          <w:lang w:val="en-US"/>
        </w:rPr>
        <w:t>C. difficile</w:t>
      </w:r>
      <w:r>
        <w:rPr>
          <w:rFonts w:ascii="Arial" w:hAnsi="Arial"/>
          <w:sz w:val="22"/>
          <w:szCs w:val="22"/>
          <w:rtl w:val="0"/>
          <w:lang w:val="en-US"/>
        </w:rPr>
        <w:t xml:space="preserve"> str. 630 the fully sequenced genome, known enzyme-substrate interactions, and transcript abundances in a single model of the pathogen</w:t>
      </w:r>
      <w:r>
        <w:rPr>
          <w:rFonts w:ascii="Arial" w:hAnsi="Arial" w:hint="default"/>
          <w:sz w:val="22"/>
          <w:szCs w:val="22"/>
          <w:rtl w:val="0"/>
          <w:lang w:val="en-US"/>
        </w:rPr>
        <w:t>’</w:t>
      </w:r>
      <w:r>
        <w:rPr>
          <w:rFonts w:ascii="Arial" w:hAnsi="Arial"/>
          <w:sz w:val="22"/>
          <w:szCs w:val="22"/>
          <w:rtl w:val="0"/>
          <w:lang w:val="en-US"/>
        </w:rPr>
        <w:t xml:space="preserve">s metabolism.  As an extension of this approach, we also developed a novel genome-scale metabolic modeling algorithm to calculate the relative importance of all substrates in the metabolic network.  The resulting scores are indicative of the possibility that a given metabolite is acquired from the environment, opposed to being synthesized by the organism.  With this strategy it becomes possible to predict cellular responses to stimuli and other environmental changes during infection.  Upon implementation, we uncovered differential carbohydrate preferences across each of the antibiotic treatments.  Results pointed to carbon sources known to be usable by </w:t>
      </w:r>
      <w:r>
        <w:rPr>
          <w:rFonts w:ascii="Arial" w:hAnsi="Arial"/>
          <w:i w:val="1"/>
          <w:iCs w:val="1"/>
          <w:sz w:val="22"/>
          <w:szCs w:val="22"/>
          <w:rtl w:val="0"/>
          <w:lang w:val="en-US"/>
        </w:rPr>
        <w:t>C. difficile</w:t>
      </w:r>
      <w:r>
        <w:rPr>
          <w:rFonts w:ascii="Arial" w:hAnsi="Arial"/>
          <w:sz w:val="22"/>
          <w:szCs w:val="22"/>
          <w:rtl w:val="0"/>
          <w:lang w:val="en-US"/>
        </w:rPr>
        <w:t xml:space="preserve"> for growth.  These findings were validated with both </w:t>
      </w:r>
      <w:r>
        <w:rPr>
          <w:rFonts w:ascii="Arial" w:hAnsi="Arial"/>
          <w:i w:val="1"/>
          <w:iCs w:val="1"/>
          <w:sz w:val="22"/>
          <w:szCs w:val="22"/>
          <w:rtl w:val="0"/>
          <w:lang w:val="en-US"/>
        </w:rPr>
        <w:t>in vitro</w:t>
      </w:r>
      <w:r>
        <w:rPr>
          <w:rFonts w:ascii="Arial" w:hAnsi="Arial"/>
          <w:sz w:val="22"/>
          <w:szCs w:val="22"/>
          <w:rtl w:val="0"/>
          <w:lang w:val="en-US"/>
        </w:rPr>
        <w:t xml:space="preserve"> growth assays and </w:t>
      </w:r>
      <w:r>
        <w:rPr>
          <w:rFonts w:ascii="Arial" w:hAnsi="Arial"/>
          <w:i w:val="1"/>
          <w:iCs w:val="1"/>
          <w:sz w:val="22"/>
          <w:szCs w:val="22"/>
          <w:rtl w:val="0"/>
          <w:lang w:val="en-US"/>
        </w:rPr>
        <w:t>in vivo</w:t>
      </w:r>
      <w:r>
        <w:rPr>
          <w:rFonts w:ascii="Arial" w:hAnsi="Arial"/>
          <w:sz w:val="22"/>
          <w:szCs w:val="22"/>
          <w:rtl w:val="0"/>
          <w:lang w:val="en-US"/>
        </w:rPr>
        <w:t xml:space="preserve"> liquid chromatography-mass spectrometry to establish that </w:t>
      </w:r>
      <w:r>
        <w:rPr>
          <w:rFonts w:ascii="Arial" w:hAnsi="Arial"/>
          <w:i w:val="1"/>
          <w:iCs w:val="1"/>
          <w:sz w:val="22"/>
          <w:szCs w:val="22"/>
          <w:rtl w:val="0"/>
          <w:lang w:val="en-US"/>
        </w:rPr>
        <w:t>C. difficile</w:t>
      </w:r>
      <w:r>
        <w:rPr>
          <w:rFonts w:ascii="Arial" w:hAnsi="Arial"/>
          <w:sz w:val="22"/>
          <w:szCs w:val="22"/>
          <w:rtl w:val="0"/>
          <w:lang w:val="en-US"/>
        </w:rPr>
        <w:t xml:space="preserve"> elects to utilize more available resources for growth in the gut.  This work demonstrates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highly variable resource pools when colonizing gut environments treated with different classes of antibiotics and potentially highlights the role of the intact microbiota in out-competing </w:t>
      </w:r>
      <w:r>
        <w:rPr>
          <w:rFonts w:ascii="Arial" w:hAnsi="Arial"/>
          <w:i w:val="1"/>
          <w:iCs w:val="1"/>
          <w:sz w:val="22"/>
          <w:szCs w:val="22"/>
          <w:rtl w:val="0"/>
          <w:lang w:val="en-US"/>
        </w:rPr>
        <w:t>C. difficile</w:t>
      </w:r>
      <w:r>
        <w:rPr>
          <w:rFonts w:ascii="Arial" w:hAnsi="Arial"/>
          <w:sz w:val="22"/>
          <w:szCs w:val="22"/>
          <w:rtl w:val="0"/>
          <w:lang w:val="en-US"/>
        </w:rPr>
        <w:t xml:space="preserve"> for growth nutrients to prevent infection.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susceptible mice, pretreated with distinct classes of antibiotics.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The antibiotic classes used in this study (Table 1) have alternative effects on the structure on the structure of the gut microbiota (Schubert, 2015).  Each has also been shown to alter the gut metabolome relative to untreated animals (Antunes, 2011; Theriot, 2014; Jump, 2014).  As such,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subet of nutrients and competitors in each susceptible environment which would necessitate distinct adaptive responses.  In order to first infer changes in </w:t>
      </w:r>
      <w:r>
        <w:rPr>
          <w:rFonts w:ascii="Arial" w:hAnsi="Arial"/>
          <w:i w:val="1"/>
          <w:iCs w:val="1"/>
          <w:sz w:val="22"/>
          <w:szCs w:val="22"/>
          <w:rtl w:val="0"/>
          <w:lang w:val="en-US"/>
        </w:rPr>
        <w:t>C. difficile</w:t>
      </w:r>
      <w:r>
        <w:rPr>
          <w:rFonts w:ascii="Arial" w:hAnsi="Arial"/>
          <w:sz w:val="22"/>
          <w:szCs w:val="22"/>
          <w:rtl w:val="0"/>
          <w:lang w:val="en-US"/>
        </w:rPr>
        <w:t xml:space="preserve"> metabolism between treatments, we  assayed for differences in the amount of sporulation and toxin activity phenotypes between antibiotic pretreatments.  Expression of both characteristics has been strongly linked to </w:t>
      </w:r>
      <w:r>
        <w:rPr>
          <w:rFonts w:ascii="Arial" w:hAnsi="Arial"/>
          <w:i w:val="1"/>
          <w:iCs w:val="1"/>
          <w:sz w:val="22"/>
          <w:szCs w:val="22"/>
          <w:rtl w:val="0"/>
          <w:lang w:val="en-US"/>
        </w:rPr>
        <w:t>C. difficile</w:t>
      </w:r>
      <w:r>
        <w:rPr>
          <w:rFonts w:ascii="Arial" w:hAnsi="Arial"/>
          <w:sz w:val="22"/>
          <w:szCs w:val="22"/>
          <w:rtl w:val="0"/>
          <w:lang w:val="en-US"/>
        </w:rPr>
        <w:t xml:space="preserve"> metabolism and growth nutrient availability, primarily carbohydrates and amino acids, in the gastrointestinal tract (Bouillaut, 2015).</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measure the amount of sporulation occurring at 18 hours post-infection, differential anaerobic plating was performed to determine the load of both spores and vegetative cells by CFU count respectively in each treatment condition.  This was accomplished by first plating on  media lacking taurocholate, primary germinant of </w:t>
      </w:r>
      <w:r>
        <w:rPr>
          <w:rFonts w:ascii="Arial" w:hAnsi="Arial"/>
          <w:i w:val="1"/>
          <w:iCs w:val="1"/>
          <w:sz w:val="22"/>
          <w:szCs w:val="22"/>
          <w:rtl w:val="0"/>
          <w:lang w:val="en-US"/>
        </w:rPr>
        <w:t>C. difficile</w:t>
      </w:r>
      <w:r>
        <w:rPr>
          <w:rFonts w:ascii="Arial" w:hAnsi="Arial"/>
          <w:sz w:val="22"/>
          <w:szCs w:val="22"/>
          <w:rtl w:val="0"/>
          <w:lang w:val="en-US"/>
        </w:rPr>
        <w:t>, to enumerate vegetative cells exclusively.  Samples were then immediately incubated for 30 minute 65</w:t>
      </w:r>
      <w:r>
        <w:rPr>
          <w:rFonts w:ascii="Arial" w:hAnsi="Arial" w:hint="default"/>
          <w:sz w:val="22"/>
          <w:szCs w:val="22"/>
          <w:rtl w:val="0"/>
          <w:lang w:val="en-US"/>
        </w:rPr>
        <w:t xml:space="preserve">° </w:t>
      </w:r>
      <w:r>
        <w:rPr>
          <w:rFonts w:ascii="Arial" w:hAnsi="Arial"/>
          <w:sz w:val="22"/>
          <w:szCs w:val="22"/>
          <w:rtl w:val="0"/>
          <w:lang w:val="en-US"/>
        </w:rPr>
        <w:t>C to eliminate vegetative cells, then were subsequently plated on media containing germinant.  No quantifiable difference was found in vegetative cell load between any susceptible condition tested (Fig 1C).  All antibiotic treated as well as germfree animals were colonized to ~1</w:t>
      </w:r>
      <w:r>
        <w:rPr>
          <w:rFonts w:ascii="Arial" w:hAnsi="Arial" w:hint="default"/>
          <w:caps w:val="0"/>
          <w:smallCaps w:val="0"/>
          <w:color w:val="000000"/>
          <w:spacing w:val="0"/>
          <w:sz w:val="22"/>
          <w:szCs w:val="22"/>
          <w:u w:color="000000"/>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However, despite having the same vegetative </w:t>
      </w:r>
      <w:r>
        <w:rPr>
          <w:rFonts w:ascii="Arial" w:hAnsi="Arial"/>
          <w:i w:val="1"/>
          <w:iCs w:val="1"/>
          <w:sz w:val="22"/>
          <w:szCs w:val="22"/>
          <w:rtl w:val="0"/>
          <w:lang w:val="en-US"/>
        </w:rPr>
        <w:t>C. difficile</w:t>
      </w:r>
      <w:r>
        <w:rPr>
          <w:rFonts w:ascii="Arial" w:hAnsi="Arial"/>
          <w:sz w:val="22"/>
          <w:szCs w:val="22"/>
          <w:rtl w:val="0"/>
          <w:lang w:val="en-US"/>
        </w:rPr>
        <w:t xml:space="preserve"> carriage, large differences were detected in the number of CFU per g content contributed by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any other the antibiotic treated mice (Fig. 1D).  Both Streptomycin and Clindamycin quantification were significantly different from that of Cefoperzone before correction, supporting that there may still be underlying biological differences between the response of </w:t>
      </w:r>
      <w:r>
        <w:rPr>
          <w:rFonts w:ascii="Arial" w:hAnsi="Arial"/>
          <w:i w:val="1"/>
          <w:iCs w:val="1"/>
          <w:sz w:val="22"/>
          <w:szCs w:val="22"/>
          <w:rtl w:val="0"/>
          <w:lang w:val="en-US"/>
        </w:rPr>
        <w:t>C. difficile</w:t>
      </w:r>
      <w:r>
        <w:rPr>
          <w:rFonts w:ascii="Arial" w:hAnsi="Arial"/>
          <w:sz w:val="22"/>
          <w:szCs w:val="22"/>
          <w:rtl w:val="0"/>
          <w:lang w:val="en-US"/>
        </w:rPr>
        <w:t xml:space="preserve"> in these treatments.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We then compared </w:t>
      </w:r>
      <w:r>
        <w:rPr>
          <w:rFonts w:ascii="Arial" w:hAnsi="Arial"/>
          <w:i w:val="1"/>
          <w:iCs w:val="1"/>
          <w:sz w:val="22"/>
          <w:szCs w:val="22"/>
          <w:rtl w:val="0"/>
          <w:lang w:val="en-US"/>
        </w:rPr>
        <w:t>C. difficile</w:t>
      </w:r>
      <w:r>
        <w:rPr>
          <w:rFonts w:ascii="Arial" w:hAnsi="Arial"/>
          <w:sz w:val="22"/>
          <w:szCs w:val="22"/>
          <w:rtl w:val="0"/>
          <w:lang w:val="en-US"/>
        </w:rPr>
        <w:t xml:space="preserve"> toxin activity in cecal content at the same time point using the standard Vero cell-rounding assay (Leslie, 2014).  As mentioned previously, local concentrations of nutrients, particularly glucose, influence toxin gene transcription and expression (Antunes, 2011).  The assay revealed that not only is the significantly more toxin activity of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-values &lt; 0.01), but toxin activity also varied between antibiotic treatment groups (Fig. 1B).  While similar toxin titers were found in both Cefoperazone and Clindamycin treatment groups, while toxin activity was not detectable in Streptomycin treated animals.  There is no correlation with the levels of sporulation across antibiotic treatment groups (Fig. S1A) and indicates a differential regulation may control these processes independently in the context of antibiotic induced susceptibility.  The inclusion of results from monoassociated animals creates a significant correlation (Fig. S1B), but is likely due to temporal changes in the course of the infection when no other bacteria are present.  For this reason, it may be inappropriate to make comparisons with the gnotobiotic group in certain types of analyses.</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stranded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In order to generate enough mRNA biomass contributed by </w:t>
      </w:r>
      <w:r>
        <w:rPr>
          <w:rFonts w:ascii="Arial" w:hAnsi="Arial"/>
          <w:i w:val="1"/>
          <w:iCs w:val="1"/>
          <w:sz w:val="22"/>
          <w:szCs w:val="22"/>
          <w:rtl w:val="0"/>
          <w:lang w:val="en-US"/>
        </w:rPr>
        <w:t>C. difficile</w:t>
      </w:r>
      <w:r>
        <w:rPr>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Fonts w:ascii="Arial" w:hAnsi="Arial"/>
          <w:i w:val="1"/>
          <w:iCs w:val="1"/>
          <w:sz w:val="22"/>
          <w:szCs w:val="22"/>
          <w:rtl w:val="0"/>
          <w:lang w:val="en-US"/>
        </w:rPr>
        <w:t>lostridium difficile</w:t>
      </w:r>
      <w:r>
        <w:rPr>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as shown in Figure 2.</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Fonts w:ascii="Arial" w:hAnsi="Arial"/>
          <w:i w:val="1"/>
          <w:iCs w:val="1"/>
          <w:sz w:val="22"/>
          <w:szCs w:val="22"/>
          <w:rtl w:val="0"/>
          <w:lang w:val="en-US"/>
        </w:rPr>
        <w:t>C. difficile</w:t>
      </w:r>
      <w:r>
        <w:rPr>
          <w:rFonts w:ascii="Arial" w:hAnsi="Arial"/>
          <w:sz w:val="22"/>
          <w:szCs w:val="22"/>
          <w:rtl w:val="0"/>
          <w:lang w:val="en-US"/>
        </w:rPr>
        <w:t xml:space="preserve"> (Fig. 2A).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detectable in each condition, despite apparent differences in toxin and spore production.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both phenotypes (Bouillaut, 2015)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 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from Fig. 1D where Cefoperazone pretreatment resulted in delayed sporulation.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2B).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2C).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  Mutants for this gene have been associated with impaired toxin secretion and low </w:t>
      </w:r>
      <w:r>
        <w:rPr>
          <w:rFonts w:ascii="Arial" w:hAnsi="Arial"/>
          <w:i w:val="1"/>
          <w:iCs w:val="1"/>
          <w:sz w:val="22"/>
          <w:szCs w:val="22"/>
          <w:rtl w:val="0"/>
          <w:lang w:val="en-US"/>
        </w:rPr>
        <w:t>in vivo</w:t>
      </w:r>
      <w:r>
        <w:rPr>
          <w:rFonts w:ascii="Arial" w:hAnsi="Arial"/>
          <w:sz w:val="22"/>
          <w:szCs w:val="22"/>
          <w:rtl w:val="0"/>
          <w:lang w:val="en-US"/>
        </w:rPr>
        <w:t xml:space="preserve"> expression of </w:t>
      </w:r>
      <w:r>
        <w:rPr>
          <w:rFonts w:ascii="Arial" w:hAnsi="Arial"/>
          <w:i w:val="1"/>
          <w:iCs w:val="1"/>
          <w:sz w:val="22"/>
          <w:szCs w:val="22"/>
          <w:rtl w:val="0"/>
          <w:lang w:val="en-US"/>
        </w:rPr>
        <w:t>tcdE</w:t>
      </w:r>
      <w:r>
        <w:rPr>
          <w:rFonts w:ascii="Arial" w:hAnsi="Arial"/>
          <w:sz w:val="22"/>
          <w:szCs w:val="22"/>
          <w:rtl w:val="0"/>
          <w:lang w:val="en-US"/>
        </w:rPr>
        <w:t xml:space="preserve"> may partially explain the historically lowered virulence of </w:t>
      </w:r>
      <w:r>
        <w:rPr>
          <w:rFonts w:ascii="Arial" w:hAnsi="Arial"/>
          <w:i w:val="1"/>
          <w:iCs w:val="1"/>
          <w:sz w:val="22"/>
          <w:szCs w:val="22"/>
          <w:rtl w:val="0"/>
          <w:lang w:val="en-US"/>
        </w:rPr>
        <w:t>C. difficile</w:t>
      </w:r>
      <w:r>
        <w:rPr>
          <w:rFonts w:ascii="Arial" w:hAnsi="Arial"/>
          <w:sz w:val="22"/>
          <w:szCs w:val="22"/>
          <w:rtl w:val="0"/>
          <w:lang w:val="en-US"/>
        </w:rPr>
        <w:t xml:space="preserve"> str. 630 (Theriot, 2011).</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2D).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quorum sensing occurring.</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energy metabolism pathways are differentially expressed between colonized environments.</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Fonts w:ascii="Arial" w:hAnsi="Arial"/>
          <w:i w:val="1"/>
          <w:iCs w:val="1"/>
          <w:sz w:val="22"/>
          <w:szCs w:val="22"/>
          <w:rtl w:val="0"/>
          <w:lang w:val="en-US"/>
        </w:rPr>
        <w:t>C. difficile</w:t>
      </w:r>
      <w:r>
        <w:rPr>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Fonts w:ascii="Arial" w:hAnsi="Arial"/>
          <w:i w:val="1"/>
          <w:iCs w:val="1"/>
          <w:sz w:val="22"/>
          <w:szCs w:val="22"/>
          <w:rtl w:val="0"/>
          <w:lang w:val="en-US"/>
        </w:rPr>
        <w:t>C. difficile</w:t>
      </w:r>
      <w:r>
        <w:rPr>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Fonts w:ascii="Arial" w:hAnsi="Arial"/>
          <w:i w:val="1"/>
          <w:iCs w:val="1"/>
          <w:sz w:val="22"/>
          <w:szCs w:val="22"/>
          <w:rtl w:val="0"/>
          <w:lang w:val="en-US"/>
        </w:rPr>
        <w:t>C. difficile</w:t>
      </w:r>
      <w:r>
        <w:rPr>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Fonts w:ascii="Arial" w:hAnsi="Arial"/>
          <w:i w:val="1"/>
          <w:iCs w:val="1"/>
          <w:sz w:val="22"/>
          <w:szCs w:val="22"/>
          <w:rtl w:val="0"/>
          <w:lang w:val="en-US"/>
        </w:rPr>
        <w:t>mtl</w:t>
      </w:r>
      <w:r>
        <w:rPr>
          <w:rFonts w:ascii="Arial" w:hAnsi="Arial"/>
          <w:sz w:val="22"/>
          <w:szCs w:val="22"/>
          <w:rtl w:val="0"/>
          <w:lang w:val="en-US"/>
        </w:rPr>
        <w:t xml:space="preserve"> operon) while those proximal to Streptomycin are involved in sorbitol metabolism (</w:t>
      </w:r>
      <w:r>
        <w:rPr>
          <w:rFonts w:ascii="Arial" w:hAnsi="Arial"/>
          <w:i w:val="1"/>
          <w:iCs w:val="1"/>
          <w:sz w:val="22"/>
          <w:szCs w:val="22"/>
          <w:rtl w:val="0"/>
          <w:lang w:val="en-US"/>
        </w:rPr>
        <w:t xml:space="preserve">srl </w:t>
      </w:r>
      <w:r>
        <w:rPr>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Fonts w:ascii="Arial" w:hAnsi="Arial"/>
          <w:i w:val="1"/>
          <w:iCs w:val="1"/>
          <w:sz w:val="22"/>
          <w:szCs w:val="22"/>
          <w:rtl w:val="0"/>
          <w:lang w:val="en-US"/>
        </w:rPr>
        <w:t>maa</w:t>
      </w:r>
      <w:r>
        <w:rPr>
          <w:rFonts w:ascii="Arial" w:hAnsi="Arial"/>
          <w:sz w:val="22"/>
          <w:szCs w:val="22"/>
          <w:rtl w:val="0"/>
          <w:lang w:val="en-US"/>
        </w:rPr>
        <w:t xml:space="preserve"> &amp; </w:t>
      </w:r>
      <w:r>
        <w:rPr>
          <w:rFonts w:ascii="Arial" w:hAnsi="Arial"/>
          <w:i w:val="1"/>
          <w:iCs w:val="1"/>
          <w:sz w:val="22"/>
          <w:szCs w:val="22"/>
          <w:rtl w:val="0"/>
          <w:lang w:val="en-US"/>
        </w:rPr>
        <w:t>map</w:t>
      </w:r>
      <w:r>
        <w:rPr>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Fonts w:ascii="Arial" w:hAnsi="Arial"/>
          <w:i w:val="1"/>
          <w:iCs w:val="1"/>
          <w:outline w:val="0"/>
          <w:color w:val="000000"/>
          <w:spacing w:val="0"/>
          <w:kern w:val="0"/>
          <w:sz w:val="22"/>
          <w:szCs w:val="22"/>
          <w:u w:color="000000"/>
          <w:rtl w:val="0"/>
          <w:lang w:val="en-US"/>
        </w:rPr>
        <w:t>nanA</w:t>
      </w:r>
      <w:r>
        <w:rPr>
          <w:rFonts w:ascii="Arial" w:hAnsi="Arial"/>
          <w:outline w:val="0"/>
          <w:color w:val="000000"/>
          <w:spacing w:val="0"/>
          <w:kern w:val="0"/>
          <w:sz w:val="22"/>
          <w:szCs w:val="22"/>
          <w:u w:color="000000"/>
          <w:rtl w:val="0"/>
          <w:lang w:val="en-US"/>
        </w:rPr>
        <w:t xml:space="preserve"> and </w:t>
      </w:r>
      <w:r>
        <w:rPr>
          <w:rFonts w:ascii="Arial" w:hAnsi="Arial"/>
          <w:sz w:val="22"/>
          <w:szCs w:val="22"/>
          <w:rtl w:val="0"/>
          <w:lang w:val="en-US"/>
        </w:rPr>
        <w:t xml:space="preserve">an </w:t>
      </w:r>
      <w:r>
        <w:rPr>
          <w:rFonts w:ascii="Arial" w:hAnsi="Arial"/>
          <w:outline w:val="0"/>
          <w:color w:val="000000"/>
          <w:spacing w:val="0"/>
          <w:kern w:val="0"/>
          <w:sz w:val="22"/>
          <w:szCs w:val="22"/>
          <w:u w:color="000000"/>
          <w:rtl w:val="0"/>
          <w:lang w:val="en-US"/>
        </w:rPr>
        <w:t xml:space="preserve">N-acylglucosamine-6-phosphate 2-epimerase.  </w:t>
      </w:r>
      <w:r>
        <w:rPr>
          <w:rFonts w:ascii="Arial" w:hAnsi="Arial"/>
          <w:sz w:val="22"/>
          <w:szCs w:val="22"/>
          <w:rtl w:val="0"/>
          <w:lang w:val="en-US"/>
        </w:rPr>
        <w:t xml:space="preserve">These gene products are important for the metabolism of </w:t>
      </w:r>
      <w:r>
        <w:rPr>
          <w:rFonts w:ascii="Arial" w:hAnsi="Arial"/>
          <w:outline w:val="0"/>
          <w:color w:val="1a1a1a"/>
          <w:spacing w:val="0"/>
          <w:kern w:val="0"/>
          <w:sz w:val="22"/>
          <w:szCs w:val="22"/>
          <w:u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Fonts w:ascii="Arial" w:hAnsi="Arial"/>
          <w:i w:val="1"/>
          <w:iCs w:val="1"/>
          <w:outline w:val="0"/>
          <w:color w:val="1a1a1a"/>
          <w:spacing w:val="0"/>
          <w:kern w:val="0"/>
          <w:sz w:val="22"/>
          <w:szCs w:val="22"/>
          <w:u w:color="1a1a1a"/>
          <w:rtl w:val="0"/>
          <w:lang w:val="en-US"/>
        </w:rPr>
        <w:t>fruABC</w:t>
      </w:r>
      <w:r>
        <w:rPr>
          <w:rFonts w:ascii="Arial" w:hAnsi="Arial"/>
          <w:outline w:val="0"/>
          <w:color w:val="1a1a1a"/>
          <w:spacing w:val="0"/>
          <w:kern w:val="0"/>
          <w:sz w:val="22"/>
          <w:szCs w:val="22"/>
          <w:u w:color="1a1a1a"/>
          <w:rtl w:val="0"/>
          <w:lang w:val="en-US"/>
        </w:rPr>
        <w:t xml:space="preserve">, a fructose specific PTS transport system (Fig 3H), and </w:t>
      </w:r>
      <w:r>
        <w:rPr>
          <w:rFonts w:ascii="Arial" w:hAnsi="Arial"/>
          <w:i w:val="1"/>
          <w:iCs w:val="1"/>
          <w:outline w:val="0"/>
          <w:color w:val="1a1a1a"/>
          <w:spacing w:val="0"/>
          <w:kern w:val="0"/>
          <w:sz w:val="22"/>
          <w:szCs w:val="22"/>
          <w:u w:color="1a1a1a"/>
          <w:rtl w:val="0"/>
          <w:lang w:val="en-US"/>
        </w:rPr>
        <w:t>fruK</w:t>
      </w:r>
      <w:r>
        <w:rPr>
          <w:rFonts w:ascii="Arial" w:hAnsi="Arial"/>
          <w:outline w:val="0"/>
          <w:color w:val="1a1a1a"/>
          <w:spacing w:val="0"/>
          <w:kern w:val="0"/>
          <w:sz w:val="22"/>
          <w:szCs w:val="22"/>
          <w:u w:color="1a1a1a"/>
          <w:rtl w:val="0"/>
          <w:lang w:val="en-US"/>
        </w:rPr>
        <w:t>, which phosphorylates fructose upon import (Fig 3C), supporting that fructose utilization is occurring in this condition as well.</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Addition analysis revealed several between-group significant differences in similarity.  Genes in the sugar transport systems, PEP and sugar-specific ABC (Fig. 3H &amp; 3I), are among the groups that segregate relative to each other.  Both systems are known carbohydrate importers, however activation of some PEP systems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environments with unique concentrations of resources and colonize a variety of nutrient niches during infection.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 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w:t>
      </w:r>
      <w:r>
        <w:rPr>
          <w:rFonts w:ascii="Arial" w:hAnsi="Arial"/>
          <w:strike w:val="0"/>
          <w:dstrike w:val="0"/>
          <w:outline w:val="0"/>
          <w:sz w:val="22"/>
          <w:szCs w:val="22"/>
          <w:u w:val="none"/>
          <w:rtl w:val="0"/>
          <w:lang w:val="en-US"/>
        </w:rPr>
        <w:t xml:space="preserve">pyruvate kinase, 1-deoxy-D-xylulose-5-phosphate synthase, and transketolase while substrates with the highest scores included pyruvate, acetyl-CoA, and D-glyceraldehyde 3-phosphate.  </w:t>
      </w:r>
      <w:r>
        <w:rPr>
          <w:rFonts w:ascii="Arial" w:hAnsi="Arial"/>
          <w:sz w:val="22"/>
          <w:szCs w:val="22"/>
          <w:rtl w:val="0"/>
          <w:lang w:val="en-US"/>
        </w:rPr>
        <w:t xml:space="preserve">For both enzymes and substrates, these nodes are known to be involved in numerous simultaneous pathways including glycolysis, the citric acid cycle, and amino acid biosynthesis which are all critical to life for most free-living bacteria. </w:t>
      </w:r>
    </w:p>
    <w:p>
      <w:pPr>
        <w:pStyle w:val="Default"/>
        <w:spacing w:line="480" w:lineRule="auto"/>
        <w:jc w:val="both"/>
        <w:rPr>
          <w:rStyle w:val="None"/>
          <w:rFonts w:ascii="Arial" w:cs="Arial" w:hAnsi="Arial" w:eastAsia="Arial"/>
          <w:sz w:val="22"/>
          <w:szCs w:val="22"/>
        </w:rPr>
      </w:pPr>
      <w:r>
        <w:rPr>
          <w:rFonts w:ascii="Arial" w:cs="Arial" w:hAnsi="Arial" w:eastAsia="Arial"/>
          <w:sz w:val="22"/>
          <w:szCs w:val="22"/>
          <w:rtl w:val="0"/>
          <w:lang w:val="en-US"/>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val="1"/>
          <w:bCs w:val="1"/>
          <w:sz w:val="22"/>
          <w:szCs w:val="22"/>
          <w:rtl w:val="0"/>
          <w:lang w:val="en-US"/>
        </w:rPr>
        <w:t>t</w:t>
      </w:r>
      <w:r>
        <w:rPr>
          <w:rFonts w:ascii="Arial" w:hAnsi="Arial"/>
          <w:b w:val="1"/>
          <w:bCs w:val="1"/>
          <w:sz w:val="22"/>
          <w:szCs w:val="22"/>
          <w:vertAlign w:val="subscript"/>
          <w:rtl w:val="0"/>
          <w:lang w:val="en-US"/>
        </w:rPr>
        <w:t>o</w:t>
      </w:r>
      <w:r>
        <w:rPr>
          <w:rFonts w:ascii="Arial" w:hAnsi="Arial"/>
          <w:sz w:val="22"/>
          <w:szCs w:val="22"/>
          <w:rtl w:val="0"/>
          <w:lang w:val="en-US"/>
        </w:rPr>
        <w:t xml:space="preserve"> and </w:t>
      </w:r>
      <w:r>
        <w:rPr>
          <w:rFonts w:ascii="Arial" w:hAnsi="Arial"/>
          <w:b w:val="1"/>
          <w:bCs w:val="1"/>
          <w:sz w:val="22"/>
          <w:szCs w:val="22"/>
          <w:rtl w:val="0"/>
          <w:lang w:val="en-US"/>
        </w:rPr>
        <w:t>t</w:t>
      </w:r>
      <w:r>
        <w:rPr>
          <w:rFonts w:ascii="Arial" w:hAnsi="Arial"/>
          <w:b w:val="1"/>
          <w:bCs w:val="1"/>
          <w:sz w:val="22"/>
          <w:szCs w:val="22"/>
          <w:vertAlign w:val="subscript"/>
          <w:rtl w:val="0"/>
          <w:lang w:val="en-US"/>
        </w:rPr>
        <w:t>i</w:t>
      </w:r>
      <w:r>
        <w:rPr>
          <w:rFonts w:ascii="Arial" w:hAnsi="Arial"/>
          <w:sz w:val="22"/>
          <w:szCs w:val="22"/>
          <w:rtl w:val="0"/>
          <w:lang w:val="en-US"/>
        </w:rPr>
        <w:t>), representing the reactions they mediate that either create or utilize the substrate (</w:t>
      </w:r>
      <w:r>
        <w:rPr>
          <w:rFonts w:ascii="Arial" w:hAnsi="Arial"/>
          <w:b w:val="1"/>
          <w:bCs w:val="1"/>
          <w:sz w:val="22"/>
          <w:szCs w:val="22"/>
          <w:rtl w:val="0"/>
          <w:lang w:val="en-US"/>
        </w:rPr>
        <w:t>s</w:t>
      </w:r>
      <w:r>
        <w:rPr>
          <w:rFonts w:ascii="Arial" w:hAnsi="Arial"/>
          <w:sz w:val="22"/>
          <w:szCs w:val="22"/>
          <w:rtl w:val="0"/>
          <w:lang w:val="en-US"/>
        </w:rPr>
        <w:t>).  The sum is then taken of transcript abundances for enzyme nodes that connect with a given substrate node with the same direction edge (</w:t>
      </w:r>
      <w:r>
        <w:rPr>
          <w:rFonts w:ascii="Arial" w:hAnsi="Arial"/>
          <w:b w:val="1"/>
          <w:bCs w:val="1"/>
          <w:sz w:val="22"/>
          <w:szCs w:val="22"/>
          <w:rtl w:val="0"/>
          <w:lang w:val="en-US"/>
        </w:rPr>
        <w:t>e</w:t>
      </w:r>
      <w:r>
        <w:rPr>
          <w:rFonts w:ascii="Arial" w:hAnsi="Arial"/>
          <w:b w:val="1"/>
          <w:bCs w:val="1"/>
          <w:sz w:val="22"/>
          <w:szCs w:val="22"/>
          <w:vertAlign w:val="subscript"/>
          <w:rtl w:val="0"/>
          <w:lang w:val="en-US"/>
        </w:rPr>
        <w:t>o</w:t>
      </w:r>
      <w:r>
        <w:rPr>
          <w:rFonts w:ascii="Arial" w:hAnsi="Arial"/>
          <w:sz w:val="22"/>
          <w:szCs w:val="22"/>
          <w:rtl w:val="0"/>
          <w:lang w:val="en-US"/>
        </w:rPr>
        <w:t xml:space="preserve"> or </w:t>
      </w:r>
      <w:r>
        <w:rPr>
          <w:rFonts w:ascii="Arial" w:hAnsi="Arial"/>
          <w:b w:val="1"/>
          <w:bCs w:val="1"/>
          <w:sz w:val="22"/>
          <w:szCs w:val="22"/>
          <w:rtl w:val="0"/>
          <w:lang w:val="en-US"/>
        </w:rPr>
        <w:t>e</w:t>
      </w:r>
      <w:r>
        <w:rPr>
          <w:rFonts w:ascii="Arial" w:hAnsi="Arial"/>
          <w:b w:val="1"/>
          <w:bCs w:val="1"/>
          <w:sz w:val="22"/>
          <w:szCs w:val="22"/>
          <w:vertAlign w:val="subscript"/>
          <w:rtl w:val="0"/>
          <w:lang w:val="en-US"/>
        </w:rPr>
        <w:t>i</w:t>
      </w:r>
      <w:r>
        <w:rPr>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Fonts w:ascii="Arial" w:cs="Arial" w:hAnsi="Arial" w:eastAsia="Arial"/>
          <w:color w:val="000080"/>
          <w:sz w:val="22"/>
          <w:szCs w:val="22"/>
          <w:u w:val="single" w:color="000080"/>
        </w:rPr>
        <w:fldChar w:fldCharType="begin" w:fldLock="0"/>
      </w:r>
      <w:r>
        <w:rPr>
          <w:rStyle w:val="Hyperlink.0"/>
          <w:rFonts w:ascii="Arial" w:cs="Arial" w:hAnsi="Arial" w:eastAsia="Arial"/>
          <w:color w:val="000080"/>
          <w:sz w:val="22"/>
          <w:szCs w:val="22"/>
          <w:u w:val="single" w:color="000080"/>
        </w:rPr>
        <w:instrText xml:space="preserve"> HYPERLINK "https://github.com/mjenior/bigsmall"</w:instrText>
      </w:r>
      <w:r>
        <w:rPr>
          <w:rStyle w:val="Hyperlink.0"/>
          <w:rFonts w:ascii="Arial" w:cs="Arial" w:hAnsi="Arial" w:eastAsia="Arial"/>
          <w:color w:val="000080"/>
          <w:sz w:val="22"/>
          <w:szCs w:val="22"/>
          <w:u w:val="single" w:color="000080"/>
        </w:rPr>
        <w:fldChar w:fldCharType="separate" w:fldLock="0"/>
      </w:r>
      <w:r>
        <w:rPr>
          <w:rStyle w:val="Hyperlink.0"/>
          <w:rFonts w:ascii="Arial" w:hAnsi="Arial"/>
          <w:color w:val="000080"/>
          <w:sz w:val="22"/>
          <w:szCs w:val="22"/>
          <w:u w:val="single" w:color="000080"/>
          <w:rtl w:val="0"/>
        </w:rPr>
        <w:t>https://github.com/mjenior/bigsmall</w:t>
      </w:r>
      <w:r>
        <w:rPr/>
        <w:fldChar w:fldCharType="end" w:fldLock="0"/>
      </w:r>
      <w:r>
        <w:rPr>
          <w:rStyle w:val="None"/>
          <w:rFonts w:ascii="Arial" w:hAnsi="Arial"/>
          <w:sz w:val="22"/>
          <w:szCs w:val="22"/>
          <w:rtl w:val="0"/>
          <w:lang w:val="en-US"/>
        </w:rPr>
        <w:t xml:space="preserve">.  Applying this method, we extracted the relative importance values of the 758 unique compounds in the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after 18 hours of infection in each treatment group.  We included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w:t>
      </w:r>
      <w:r>
        <w:rPr>
          <w:rStyle w:val="None"/>
          <w:rFonts w:ascii="Arial" w:hAnsi="Arial"/>
          <w:outline w:val="0"/>
          <w:color w:val="000000"/>
          <w:spacing w:val="0"/>
          <w:kern w:val="0"/>
          <w:position w:val="0"/>
          <w:sz w:val="22"/>
          <w:szCs w:val="22"/>
          <w:u w:val="none" w:color="000000"/>
          <w:vertAlign w:val="baseline"/>
          <w:rtl w:val="0"/>
          <w:lang w:val="en-US"/>
        </w:rPr>
        <w:t>hosphonoacetate</w:t>
      </w:r>
      <w:r>
        <w:rPr>
          <w:rStyle w:val="None"/>
          <w:rFonts w:ascii="Arial" w:hAnsi="Arial"/>
          <w:sz w:val="22"/>
          <w:szCs w:val="22"/>
          <w:rtl w:val="0"/>
          <w:lang w:val="en-US"/>
        </w:rPr>
        <w:t xml:space="preserv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demonstrated that our importance-defining algorithm was robust could detect biologically relevant patterns of expression.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are always active to some degree across conditions and are central to the organism</w:t>
      </w:r>
      <w:r>
        <w:rPr>
          <w:rStyle w:val="None"/>
          <w:rFonts w:ascii="Arial" w:hAnsi="Arial" w:hint="default"/>
          <w:sz w:val="22"/>
          <w:szCs w:val="22"/>
          <w:rtl w:val="0"/>
          <w:lang w:val="en-US"/>
        </w:rPr>
        <w:t>’</w:t>
      </w:r>
      <w:r>
        <w:rPr>
          <w:rStyle w:val="None"/>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val="1"/>
          <w:iCs w:val="1"/>
          <w:sz w:val="22"/>
          <w:szCs w:val="22"/>
          <w:u w:val="none"/>
          <w:rtl w:val="0"/>
          <w:lang w:val="en-US"/>
        </w:rPr>
        <w:t>C. difficile</w:t>
      </w:r>
      <w:r>
        <w:rPr>
          <w:rStyle w:val="None"/>
          <w:rFonts w:ascii="Arial" w:hAnsi="Arial"/>
          <w:sz w:val="22"/>
          <w:szCs w:val="22"/>
          <w:u w:val="none"/>
          <w:rtl w:val="0"/>
          <w:lang w:val="en-US"/>
        </w:rPr>
        <w:t xml:space="preserve">; </w:t>
      </w:r>
      <w:r>
        <w:rPr>
          <w:rStyle w:val="None"/>
          <w:rFonts w:ascii="Arial" w:hAnsi="Arial"/>
          <w:sz w:val="22"/>
          <w:szCs w:val="22"/>
          <w:rtl w:val="0"/>
          <w:lang w:val="en-US"/>
        </w:rPr>
        <w:t xml:space="preserve"> including D-fructose, mannitol, N-acetylneuraminic acid, salicin, and D-sorbitol (Ng, 2013; Theriot, 2014).  These 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may exploit alternative carbon sources between the susceptible environments in colonizes.</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Carbon sources identified as important by metabolic networks support </w:t>
      </w: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growth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able to utilize each substrate for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This was performed using the modified defined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minimal media (Theriot, 2014), supplemented individually with the selected carbohydrates implicated by high importance scores.  Optical density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was measured every 30 minutes over 24 hours of incubation.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use amino acids (AA) for growth through Stickland fermentation, but is auxotrophic for several, the most useful comparison to make is between a given carbon source and the AA-only control wells (no glucose added).  This informed whether the presence of the selected carbohydrate effects has positive or negative effects on the growth 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however this analysis does not preclude the possibility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simply grows equally as well as it does using strictly AA for carbon.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At least one carbohydrate highlighted as important in each of the antibiotic treatments groups provided high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(Fig. 4C).  This included D-fructose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0.671), mannitol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0.464), and salicin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0.888).  Each resulted in significantly more growth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 than AA-only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0.556) than AA-only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These results indicate potential efficiency or preferences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the each carbohydrate source tested.</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0.089).  Mannitol was second at 7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0.044), and salicin was third at 13.5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0.076).  Interestingly, the salicin growth curve was still near its maximum growth rate at the 12 hour time point, while the D-fructose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0.006) and mannitol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0.888) than BHI rich media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some curves is most likely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ceasing division and switching to primarily sporulation, which has been associated with other bacterial species (Van Beilen, 2013).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0.095 at 6.5 hours) is the highest reached by any media tested, yet the maximum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than D-sorbitol alone.  This could suggest a combinatorial effect of D-fructose and D-sorbitol together on the growth of </w:t>
      </w:r>
      <w:r>
        <w:rPr>
          <w:rStyle w:val="None"/>
          <w:rFonts w:ascii="Arial" w:hAnsi="Arial"/>
          <w:i w:val="1"/>
          <w:iCs w:val="1"/>
          <w:sz w:val="22"/>
          <w:szCs w:val="22"/>
          <w:rtl w:val="0"/>
          <w:lang w:val="en-US"/>
        </w:rPr>
        <w:t>C. difficile</w:t>
      </w:r>
      <w:r>
        <w:rPr>
          <w:rStyle w:val="None"/>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In vivo </w:t>
      </w:r>
      <w:r>
        <w:rPr>
          <w:rStyle w:val="None"/>
          <w:rFonts w:ascii="Arial" w:hAnsi="Arial"/>
          <w:b w:val="1"/>
          <w:bCs w:val="1"/>
          <w:sz w:val="22"/>
          <w:szCs w:val="22"/>
          <w:rtl w:val="0"/>
          <w:lang w:val="en-US"/>
        </w:rPr>
        <w:t xml:space="preserve">concentrations of predicted nutrients are </w:t>
      </w:r>
      <w:r>
        <w:rPr>
          <w:rStyle w:val="None"/>
          <w:rFonts w:ascii="Arial" w:hAnsi="Arial" w:hint="default"/>
          <w:b w:val="1"/>
          <w:bCs w:val="1"/>
          <w:sz w:val="22"/>
          <w:szCs w:val="22"/>
          <w:rtl w:val="0"/>
          <w:lang w:val="en-US"/>
        </w:rPr>
        <w:t>…</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In order to test if the identified carbohydrates are present or enriched in their respective antibiotic treatments, we performed metabolomic analysis from cecal content from the same animals. (Fig. 5A) (Fig. 5B)</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outline w:val="0"/>
          <w:color w:val="000000"/>
          <w:spacing w:val="0"/>
          <w:kern w:val="0"/>
          <w:sz w:val="22"/>
          <w:szCs w:val="22"/>
          <w:u w:val="none" w:color="000000"/>
        </w:rPr>
      </w:pPr>
      <w:r>
        <w:rPr>
          <w:rStyle w:val="None"/>
          <w:rFonts w:ascii="Arial" w:hAnsi="Arial"/>
          <w:b w:val="1"/>
          <w:bCs w:val="1"/>
          <w:sz w:val="22"/>
          <w:szCs w:val="22"/>
          <w:u w:val="none"/>
          <w:rtl w:val="0"/>
          <w:lang w:val="en-US"/>
        </w:rPr>
        <w:t>Discussion</w:t>
      </w:r>
    </w:p>
    <w:p>
      <w:pPr>
        <w:pStyle w:val="Default"/>
        <w:spacing w:line="480" w:lineRule="auto"/>
        <w:jc w:val="both"/>
        <w:rPr>
          <w:rStyle w:val="None"/>
          <w:rFonts w:ascii="Arial" w:cs="Arial" w:hAnsi="Arial" w:eastAsia="Arial"/>
          <w:outline w:val="0"/>
          <w:color w:val="000000"/>
          <w:spacing w:val="0"/>
          <w:kern w:val="0"/>
          <w:sz w:val="22"/>
          <w:szCs w:val="22"/>
          <w:u w:val="none" w:color="000000"/>
        </w:rPr>
      </w:pPr>
      <w:r>
        <w:rPr>
          <w:rStyle w:val="None"/>
          <w:rFonts w:ascii="Arial" w:cs="Arial" w:hAnsi="Arial" w:eastAsia="Arial"/>
          <w:outline w:val="0"/>
          <w:color w:val="000000"/>
          <w:spacing w:val="0"/>
          <w:kern w:val="0"/>
          <w:sz w:val="22"/>
          <w:szCs w:val="22"/>
          <w:u w:val="none" w:color="000000"/>
          <w:rtl w:val="0"/>
        </w:rPr>
        <w:tab/>
        <w:t xml:space="preserve">Our results indicate that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occupies separate nutrient niches across susceptible gut environments based on which substrates are available.  Both </w:t>
      </w:r>
      <w:r>
        <w:rPr>
          <w:rStyle w:val="None"/>
          <w:rFonts w:ascii="Arial" w:hAnsi="Arial"/>
          <w:i w:val="1"/>
          <w:iCs w:val="1"/>
          <w:outline w:val="0"/>
          <w:color w:val="000000"/>
          <w:spacing w:val="0"/>
          <w:kern w:val="0"/>
          <w:sz w:val="22"/>
          <w:szCs w:val="22"/>
          <w:u w:val="none" w:color="000000"/>
          <w:rtl w:val="0"/>
          <w:lang w:val="en-US"/>
        </w:rPr>
        <w:t>in vivo</w:t>
      </w:r>
      <w:r>
        <w:rPr>
          <w:rStyle w:val="None"/>
          <w:rFonts w:ascii="Arial" w:hAnsi="Arial"/>
          <w:outline w:val="0"/>
          <w:color w:val="000000"/>
          <w:spacing w:val="0"/>
          <w:kern w:val="0"/>
          <w:sz w:val="22"/>
          <w:szCs w:val="22"/>
          <w:u w:val="none" w:color="000000"/>
          <w:rtl w:val="0"/>
          <w:lang w:val="en-US"/>
        </w:rPr>
        <w:t xml:space="preserve"> and </w:t>
      </w:r>
      <w:r>
        <w:rPr>
          <w:rStyle w:val="None"/>
          <w:rFonts w:ascii="Arial" w:hAnsi="Arial"/>
          <w:i w:val="1"/>
          <w:iCs w:val="1"/>
          <w:outline w:val="0"/>
          <w:color w:val="000000"/>
          <w:spacing w:val="0"/>
          <w:kern w:val="0"/>
          <w:sz w:val="22"/>
          <w:szCs w:val="22"/>
          <w:u w:val="none" w:color="000000"/>
          <w:rtl w:val="0"/>
          <w:lang w:val="en-US"/>
        </w:rPr>
        <w:t xml:space="preserve">in vitro </w:t>
      </w:r>
      <w:r>
        <w:rPr>
          <w:rStyle w:val="None"/>
          <w:rFonts w:ascii="Arial" w:hAnsi="Arial"/>
          <w:outline w:val="0"/>
          <w:color w:val="000000"/>
          <w:spacing w:val="0"/>
          <w:kern w:val="0"/>
          <w:sz w:val="22"/>
          <w:szCs w:val="22"/>
          <w:u w:val="none" w:color="000000"/>
          <w:rtl w:val="0"/>
          <w:lang w:val="en-US"/>
        </w:rPr>
        <w:t xml:space="preserve">data support that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(Antunes, 2012).  In these experiments, the level of both phenotypes varied between antibiotic pretreatment groups and initially suggested differences in metabolic cues received by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in each of condition.  By directly examining the transcription of specific metabolic pathways, we were able to gain a greater understanding of the plasticity that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possesses for nutrient utilization.</w:t>
      </w:r>
    </w:p>
    <w:p>
      <w:pPr>
        <w:pStyle w:val="Default"/>
        <w:spacing w:line="480" w:lineRule="auto"/>
        <w:jc w:val="both"/>
        <w:rPr>
          <w:rStyle w:val="None"/>
          <w:rFonts w:ascii="Arial" w:cs="Arial" w:hAnsi="Arial" w:eastAsia="Arial"/>
          <w:outline w:val="0"/>
          <w:color w:val="000000"/>
          <w:spacing w:val="0"/>
          <w:kern w:val="0"/>
          <w:sz w:val="22"/>
          <w:szCs w:val="22"/>
          <w:u w:val="none" w:color="000000"/>
        </w:rPr>
      </w:pPr>
      <w:r>
        <w:rPr>
          <w:rStyle w:val="None"/>
          <w:rFonts w:ascii="Arial" w:cs="Arial" w:hAnsi="Arial" w:eastAsia="Arial"/>
          <w:outline w:val="0"/>
          <w:color w:val="000000"/>
          <w:spacing w:val="0"/>
          <w:kern w:val="0"/>
          <w:sz w:val="22"/>
          <w:szCs w:val="22"/>
          <w:u w:val="none" w:color="000000"/>
          <w:rtl w:val="0"/>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val="1"/>
          <w:iCs w:val="1"/>
          <w:outline w:val="0"/>
          <w:color w:val="000000"/>
          <w:spacing w:val="0"/>
          <w:kern w:val="0"/>
          <w:sz w:val="22"/>
          <w:szCs w:val="22"/>
          <w:u w:val="none" w:color="000000"/>
          <w:rtl w:val="0"/>
          <w:lang w:val="en-US"/>
        </w:rPr>
        <w:t>spo</w:t>
      </w:r>
      <w:r>
        <w:rPr>
          <w:rStyle w:val="None"/>
          <w:rFonts w:ascii="Arial" w:hAnsi="Arial"/>
          <w:outline w:val="0"/>
          <w:color w:val="000000"/>
          <w:spacing w:val="0"/>
          <w:kern w:val="0"/>
          <w:sz w:val="22"/>
          <w:szCs w:val="22"/>
          <w:u w:val="none" w:color="000000"/>
          <w:rtl w:val="0"/>
          <w:lang w:val="en-US"/>
        </w:rPr>
        <w:t xml:space="preserve">0A, which was consistently highly expressed, </w:t>
      </w:r>
      <w:r>
        <w:rPr>
          <w:rStyle w:val="None"/>
          <w:rFonts w:ascii="Arial" w:hAnsi="Arial"/>
          <w:i w:val="1"/>
          <w:iCs w:val="1"/>
          <w:outline w:val="0"/>
          <w:color w:val="000000"/>
          <w:spacing w:val="0"/>
          <w:kern w:val="0"/>
          <w:sz w:val="22"/>
          <w:szCs w:val="22"/>
          <w:u w:val="none" w:color="000000"/>
          <w:rtl w:val="0"/>
          <w:lang w:val="en-US"/>
        </w:rPr>
        <w:t>spo</w:t>
      </w:r>
      <w:r>
        <w:rPr>
          <w:rStyle w:val="None"/>
          <w:rFonts w:ascii="Arial" w:hAnsi="Arial"/>
          <w:outline w:val="0"/>
          <w:color w:val="000000"/>
          <w:spacing w:val="0"/>
          <w:kern w:val="0"/>
          <w:sz w:val="22"/>
          <w:szCs w:val="22"/>
          <w:u w:val="none" w:color="000000"/>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has begun its final phase before transmission either other antibiotic group.  In addition to lifestyle associated genes,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displayed increased relative abundance in gene expression associated with catabolizing monosaccharides and simple sugar alcohols.  However,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expression in the Clindamycin treated animals seemed to favor fermentation of polysaccharides.  These differences could signify a focus in nutrient catabolism for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in some treatments and virulence/transmission in others.</w:t>
      </w:r>
    </w:p>
    <w:p>
      <w:pPr>
        <w:pStyle w:val="Default"/>
        <w:spacing w:line="480" w:lineRule="auto"/>
        <w:jc w:val="both"/>
        <w:rPr>
          <w:rStyle w:val="None"/>
          <w:rFonts w:ascii="Arial" w:cs="Arial" w:hAnsi="Arial" w:eastAsia="Arial"/>
          <w:outline w:val="0"/>
          <w:color w:val="000000"/>
          <w:spacing w:val="0"/>
          <w:kern w:val="0"/>
          <w:sz w:val="22"/>
          <w:szCs w:val="22"/>
          <w:u w:color="000000"/>
        </w:rPr>
      </w:pPr>
      <w:r>
        <w:rPr>
          <w:rStyle w:val="None"/>
          <w:rFonts w:ascii="Arial" w:cs="Arial" w:hAnsi="Arial" w:eastAsia="Arial"/>
          <w:outline w:val="0"/>
          <w:color w:val="000000"/>
          <w:spacing w:val="0"/>
          <w:kern w:val="0"/>
          <w:sz w:val="22"/>
          <w:szCs w:val="22"/>
          <w:u w:val="none" w:color="000000"/>
          <w:rtl w:val="0"/>
        </w:rPr>
        <w:tab/>
        <w:t xml:space="preserve">There is also evidence for other bacterial species contributing to pools of resources that are usable by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for growth (Ng, 2013; Ferreyra, 2014).  Schubert et. al. 2015 demonstrated that the same Clindamycin model of infection used here, results in a bloom in relative abundance of the commensal species </w:t>
      </w:r>
      <w:r>
        <w:rPr>
          <w:rStyle w:val="None"/>
          <w:rFonts w:ascii="Arial" w:hAnsi="Arial"/>
          <w:i w:val="1"/>
          <w:iCs w:val="1"/>
          <w:outline w:val="0"/>
          <w:color w:val="000000"/>
          <w:spacing w:val="0"/>
          <w:kern w:val="0"/>
          <w:sz w:val="22"/>
          <w:szCs w:val="22"/>
          <w:u w:val="none" w:color="000000"/>
          <w:rtl w:val="0"/>
          <w:lang w:val="en-US"/>
        </w:rPr>
        <w:t>Akkermansia muciniphila</w:t>
      </w:r>
      <w:r>
        <w:rPr>
          <w:rStyle w:val="None"/>
          <w:rFonts w:ascii="Arial" w:hAnsi="Arial"/>
          <w:outline w:val="0"/>
          <w:color w:val="000000"/>
          <w:spacing w:val="0"/>
          <w:kern w:val="0"/>
          <w:sz w:val="22"/>
          <w:szCs w:val="22"/>
          <w:u w:val="none" w:color="000000"/>
          <w:rtl w:val="0"/>
          <w:lang w:val="en-US"/>
        </w:rPr>
        <w:t xml:space="preserve"> at the time of infection.  It has been previously shown that this bacterium is capable of cleaving host associated glycans and liberating short amino sugars, including salicin (Ganesh, 2013), which is a functionality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lacks (Sebaihia, 2006).  Within the scope of this study, these findings are especially intriguing as salicin was one of the most important substrates to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when colonizing Clindamycin treated animals.  Additionally, modeling analysis of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colonizing germfree mice revealed N-acetylneuraminic acid to be what was the most important carbon source in this condition.  The capacity to catabolize this amino sugar and others like it is highly distributed among bacterial species that inhabit the mammalian gut (Vimr, 2004), meaning that it is an edge of strong competition with the normal microbiota and could demonstrate a preference of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for N-acetylneuraminic acid as a growth substrate.  In light of all of these studies our method may also strongly support that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p>
    <w:p>
      <w:pPr>
        <w:pStyle w:val="Default"/>
        <w:spacing w:line="480" w:lineRule="auto"/>
        <w:jc w:val="both"/>
        <w:rPr>
          <w:rStyle w:val="None"/>
          <w:rFonts w:ascii="Arial" w:cs="Arial" w:hAnsi="Arial" w:eastAsia="Arial"/>
          <w:sz w:val="22"/>
          <w:szCs w:val="22"/>
        </w:rPr>
      </w:pPr>
      <w:r>
        <w:rPr>
          <w:rStyle w:val="None"/>
          <w:rFonts w:ascii="Arial" w:cs="Arial" w:hAnsi="Arial" w:eastAsia="Arial"/>
          <w:outline w:val="0"/>
          <w:color w:val="000000"/>
          <w:spacing w:val="0"/>
          <w:kern w:val="0"/>
          <w:sz w:val="22"/>
          <w:szCs w:val="22"/>
          <w:u w:color="000000"/>
          <w:rtl w:val="0"/>
        </w:rPr>
        <w:tab/>
        <w:t xml:space="preserve">These results may also indicate that further considerations are needed when attempting to design more targeted probiotics for the prevention or elimination of </w:t>
      </w:r>
      <w:r>
        <w:rPr>
          <w:rStyle w:val="None"/>
          <w:rFonts w:ascii="Arial" w:hAnsi="Arial"/>
          <w:i w:val="1"/>
          <w:iCs w:val="1"/>
          <w:outline w:val="0"/>
          <w:color w:val="000000"/>
          <w:spacing w:val="0"/>
          <w:kern w:val="0"/>
          <w:sz w:val="22"/>
          <w:szCs w:val="22"/>
          <w:u w:color="000000"/>
          <w:rtl w:val="0"/>
          <w:lang w:val="en-US"/>
        </w:rPr>
        <w:t>C. difficile</w:t>
      </w:r>
      <w:r>
        <w:rPr>
          <w:rStyle w:val="None"/>
          <w:rFonts w:ascii="Arial" w:hAnsi="Arial"/>
          <w:outline w:val="0"/>
          <w:color w:val="000000"/>
          <w:spacing w:val="0"/>
          <w:kern w:val="0"/>
          <w:sz w:val="22"/>
          <w:szCs w:val="22"/>
          <w:u w:color="000000"/>
          <w:rtl w:val="0"/>
          <w:lang w:val="en-US"/>
        </w:rPr>
        <w:t xml:space="preserve"> from the human gut. Different classes of antibiotics may each result in a unique gut environment which </w:t>
      </w:r>
      <w:r>
        <w:rPr>
          <w:rStyle w:val="None"/>
          <w:rFonts w:ascii="Arial" w:hAnsi="Arial"/>
          <w:i w:val="1"/>
          <w:iCs w:val="1"/>
          <w:outline w:val="0"/>
          <w:color w:val="000000"/>
          <w:spacing w:val="0"/>
          <w:kern w:val="0"/>
          <w:sz w:val="22"/>
          <w:szCs w:val="22"/>
          <w:u w:color="000000"/>
          <w:rtl w:val="0"/>
          <w:lang w:val="en-US"/>
        </w:rPr>
        <w:t>C. difficile</w:t>
      </w:r>
      <w:r>
        <w:rPr>
          <w:rStyle w:val="None"/>
          <w:rFonts w:ascii="Arial" w:hAnsi="Arial"/>
          <w:outline w:val="0"/>
          <w:color w:val="000000"/>
          <w:spacing w:val="0"/>
          <w:kern w:val="0"/>
          <w:sz w:val="22"/>
          <w:szCs w:val="22"/>
          <w:u w:color="000000"/>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val="1"/>
          <w:iCs w:val="1"/>
          <w:outline w:val="0"/>
          <w:color w:val="000000"/>
          <w:spacing w:val="0"/>
          <w:kern w:val="0"/>
          <w:sz w:val="22"/>
          <w:szCs w:val="22"/>
          <w:u w:color="000000"/>
          <w:rtl w:val="0"/>
          <w:lang w:val="en-US"/>
        </w:rPr>
        <w:t>C. difficile</w:t>
      </w:r>
      <w:r>
        <w:rPr>
          <w:rStyle w:val="None"/>
          <w:rFonts w:ascii="Arial" w:hAnsi="Arial"/>
          <w:outline w:val="0"/>
          <w:color w:val="000000"/>
          <w:spacing w:val="0"/>
          <w:kern w:val="0"/>
          <w:sz w:val="22"/>
          <w:szCs w:val="22"/>
          <w:u w:color="000000"/>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val="1"/>
          <w:iCs w:val="1"/>
          <w:outline w:val="0"/>
          <w:color w:val="000000"/>
          <w:spacing w:val="0"/>
          <w:kern w:val="0"/>
          <w:sz w:val="22"/>
          <w:szCs w:val="22"/>
          <w:u w:color="000000"/>
          <w:rtl w:val="0"/>
          <w:lang w:val="en-US"/>
        </w:rPr>
        <w:t>C. difficile</w:t>
      </w:r>
      <w:r>
        <w:rPr>
          <w:rStyle w:val="None"/>
          <w:rFonts w:ascii="Arial" w:hAnsi="Arial"/>
          <w:outline w:val="0"/>
          <w:color w:val="000000"/>
          <w:spacing w:val="0"/>
          <w:kern w:val="0"/>
          <w:sz w:val="22"/>
          <w:szCs w:val="22"/>
          <w:u w:color="000000"/>
          <w:rtl w:val="0"/>
          <w:lang w:val="en-US"/>
        </w:rPr>
        <w:t xml:space="preserve"> clearance.  This could be supported by combining the metabolic modeling technique described here using metatranscriptomic analysis of susceptible versus resistance gut bacterial communities.</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In conclusion,</w:t>
      </w:r>
      <w:r>
        <w:rPr>
          <w:rStyle w:val="None"/>
          <w:rFonts w:ascii="Arial" w:hAnsi="Arial"/>
          <w:outline w:val="0"/>
          <w:color w:val="000000"/>
          <w:spacing w:val="0"/>
          <w:kern w:val="0"/>
          <w:sz w:val="22"/>
          <w:szCs w:val="22"/>
          <w:u w:val="none" w:color="000000"/>
          <w:rtl w:val="0"/>
          <w:lang w:val="en-US"/>
        </w:rPr>
        <w:t xml:space="preserve"> our</w:t>
      </w:r>
      <w:r>
        <w:rPr>
          <w:rStyle w:val="None"/>
          <w:rFonts w:ascii="Arial" w:hAnsi="Arial"/>
          <w:sz w:val="22"/>
          <w:szCs w:val="22"/>
          <w:rtl w:val="0"/>
          <w:lang w:val="en-US"/>
        </w:rPr>
        <w:t xml:space="preserve"> findings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able to cope with unique nutrient availabilities across vulnerable gut environments which it colonizes.  The data also support that separate classes of antibiotics may cause susceptibility to CDI through slightly different means by allowing for increases in relative concentrations of different carbon sources.  Limitation of specific subsets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 by specific of the gut microbiota to may represent the key to targeted colonization prevention.  If we begin to understand the limited number of dimensions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inhabit within its niche space, we may be able to design targeted probiotics to fill those niches in susceptible individuals.  </w:t>
      </w:r>
      <w:r>
        <w:rPr>
          <w:rStyle w:val="None"/>
          <w:rFonts w:ascii="Arial" w:hAnsi="Arial"/>
          <w:outline w:val="0"/>
          <w:color w:val="000000"/>
          <w:spacing w:val="0"/>
          <w:kern w:val="0"/>
          <w:sz w:val="22"/>
          <w:szCs w:val="22"/>
          <w:u w:val="none" w:color="000000"/>
          <w:rtl w:val="0"/>
          <w:lang w:val="en-US"/>
        </w:rPr>
        <w:t xml:space="preserve">There could also be many not yet appreciated environmental factors that influence the metabolic program of </w:t>
      </w:r>
      <w:r>
        <w:rPr>
          <w:rStyle w:val="None"/>
          <w:rFonts w:ascii="Arial" w:hAnsi="Arial"/>
          <w:i w:val="1"/>
          <w:iCs w:val="1"/>
          <w:outline w:val="0"/>
          <w:color w:val="000000"/>
          <w:spacing w:val="0"/>
          <w:kern w:val="0"/>
          <w:sz w:val="22"/>
          <w:szCs w:val="22"/>
          <w:u w:val="none" w:color="000000"/>
          <w:rtl w:val="0"/>
          <w:lang w:val="en-US"/>
        </w:rPr>
        <w:t>C. difficile</w:t>
      </w:r>
      <w:r>
        <w:rPr>
          <w:rStyle w:val="None"/>
          <w:rFonts w:ascii="Arial" w:hAnsi="Arial"/>
          <w:outline w:val="0"/>
          <w:color w:val="000000"/>
          <w:spacing w:val="0"/>
          <w:kern w:val="0"/>
          <w:sz w:val="22"/>
          <w:szCs w:val="22"/>
          <w:u w:val="none" w:color="000000"/>
          <w:rtl w:val="0"/>
          <w:lang w:val="en-US"/>
        </w:rPr>
        <w:t xml:space="preserve"> during infection.  </w:t>
      </w:r>
      <w:r>
        <w:rPr>
          <w:rStyle w:val="None"/>
          <w:rFonts w:ascii="Arial" w:hAnsi="Arial"/>
          <w:sz w:val="22"/>
          <w:szCs w:val="22"/>
          <w:rtl w:val="0"/>
          <w:lang w:val="en-US"/>
        </w:rPr>
        <w:t>In the future, this may need to a consideration during treatment as the correct course of action could be situational based on the factors are initially causing patients to become susceptible to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u w:val="none"/>
          <w:rtl w:val="0"/>
          <w:lang w:val="en-US"/>
        </w:rPr>
        <w:t>Materials and Methods</w:t>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Animal care and antibiotic administration.</w:t>
      </w:r>
      <w:r>
        <w:rPr>
          <w:rStyle w:val="None"/>
          <w:rFonts w:ascii="Arial" w:hAnsi="Arial"/>
          <w:sz w:val="22"/>
          <w:szCs w:val="22"/>
          <w:rtl w:val="0"/>
          <w:lang w:val="en-US"/>
        </w:rPr>
        <w:t xml:space="preserve">  Six-to-eight week-old specific pathogen free (SPF)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caps w:val="0"/>
          <w:smallCaps w:val="0"/>
          <w:color w:val="000000"/>
          <w:spacing w:val="0"/>
          <w:sz w:val="22"/>
          <w:szCs w:val="22"/>
          <w:u w:color="000000"/>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phosphate-buffered saline (PBS). Subsequent quantitative plating for CFU was performed to ensure correct dosage.</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 xml:space="preserve"> 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caps w:val="0"/>
          <w:smallCaps w:val="0"/>
          <w:color w:val="000000"/>
          <w:spacing w:val="0"/>
          <w:sz w:val="22"/>
          <w:szCs w:val="22"/>
          <w:u w:color="000000"/>
          <w:rtl w:val="0"/>
          <w:lang w:val="en-US"/>
        </w:rPr>
        <w:t>°</w:t>
      </w:r>
      <w:r>
        <w:rPr>
          <w:rStyle w:val="None"/>
          <w:rFonts w:ascii="Arial" w:hAnsi="Arial"/>
          <w:sz w:val="22"/>
          <w:szCs w:val="22"/>
          <w:rtl w:val="0"/>
          <w:lang w:val="en-US"/>
        </w:rPr>
        <w:t xml:space="preserve"> 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w:t>
      </w:r>
      <w:r>
        <w:rPr>
          <w:rStyle w:val="None"/>
          <w:rFonts w:ascii="Arial" w:hAnsi="Arial"/>
          <w:caps w:val="0"/>
          <w:smallCaps w:val="0"/>
          <w:color w:val="000000"/>
          <w:spacing w:val="0"/>
          <w:sz w:val="22"/>
          <w:szCs w:val="22"/>
          <w:u w:color="000000"/>
          <w:rtl w:val="0"/>
          <w:lang w:val="en-US"/>
        </w:rPr>
        <w:t>ells were grown to a confluent monolayer in DMEM, supplemented with 10% heat-inactivated fetal bovine serum and 1% penicillin-streptomycin . The cells then were transferred to a conical tube and spun at 1,000 rpm for 5 minutes to pellet the cells. 1</w:t>
      </w:r>
      <w:r>
        <w:rPr>
          <w:rStyle w:val="None"/>
          <w:rFonts w:ascii="Arial" w:hAnsi="Arial" w:hint="default"/>
          <w:caps w:val="0"/>
          <w:smallCaps w:val="0"/>
          <w:color w:val="000000"/>
          <w:spacing w:val="0"/>
          <w:sz w:val="22"/>
          <w:szCs w:val="22"/>
          <w:u w:color="000000"/>
          <w:rtl w:val="0"/>
          <w:lang w:val="en-US"/>
        </w:rPr>
        <w:t>×</w:t>
      </w:r>
      <w:r>
        <w:rPr>
          <w:rStyle w:val="None"/>
          <w:rFonts w:ascii="Arial" w:hAnsi="Arial"/>
          <w:caps w:val="0"/>
          <w:smallCaps w:val="0"/>
          <w:color w:val="000000"/>
          <w:spacing w:val="0"/>
          <w:sz w:val="22"/>
          <w:szCs w:val="22"/>
          <w:u w:color="000000"/>
          <w:rtl w:val="0"/>
          <w:lang w:val="en-US"/>
        </w:rPr>
        <w:t>10</w:t>
      </w:r>
      <w:r>
        <w:rPr>
          <w:rStyle w:val="None"/>
          <w:rFonts w:ascii="Arial" w:hAnsi="Arial"/>
          <w:caps w:val="0"/>
          <w:smallCaps w:val="0"/>
          <w:color w:val="000000"/>
          <w:spacing w:val="0"/>
          <w:sz w:val="22"/>
          <w:szCs w:val="22"/>
          <w:u w:color="000000"/>
          <w:vertAlign w:val="superscript"/>
          <w:rtl w:val="0"/>
          <w:lang w:val="en-US"/>
        </w:rPr>
        <w:t>5</w:t>
      </w:r>
      <w:r>
        <w:rPr>
          <w:rStyle w:val="None"/>
          <w:rFonts w:ascii="Arial" w:hAnsi="Arial"/>
          <w:caps w:val="0"/>
          <w:smallCaps w:val="0"/>
          <w:color w:val="000000"/>
          <w:spacing w:val="0"/>
          <w:sz w:val="22"/>
          <w:szCs w:val="22"/>
          <w:u w:color="000000"/>
          <w:rtl w:val="0"/>
          <w:lang w:val="en-US"/>
        </w:rPr>
        <w:t xml:space="preserve"> cells were seeded in each well of a 96-well plate and incubated for 4 hours. Filtered cecal content was serially diluted 1:10 in </w:t>
      </w:r>
      <w:r>
        <w:rPr>
          <w:rStyle w:val="None"/>
          <w:rFonts w:ascii="Arial" w:hAnsi="Arial" w:hint="default"/>
          <w:caps w:val="0"/>
          <w:smallCaps w:val="0"/>
          <w:color w:val="000000"/>
          <w:spacing w:val="0"/>
          <w:sz w:val="22"/>
          <w:szCs w:val="22"/>
          <w:u w:color="000000"/>
          <w:rtl w:val="0"/>
          <w:lang w:val="en-US"/>
        </w:rPr>
        <w:t>×</w:t>
      </w:r>
      <w:r>
        <w:rPr>
          <w:rStyle w:val="None"/>
          <w:rFonts w:ascii="Arial" w:hAnsi="Arial"/>
          <w:caps w:val="0"/>
          <w:smallCaps w:val="0"/>
          <w:color w:val="000000"/>
          <w:spacing w:val="0"/>
          <w:sz w:val="22"/>
          <w:szCs w:val="22"/>
          <w:u w:color="000000"/>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caps w:val="0"/>
          <w:smallCaps w:val="0"/>
          <w:color w:val="000000"/>
          <w:spacing w:val="0"/>
          <w:sz w:val="22"/>
          <w:szCs w:val="22"/>
          <w:u w:color="000000"/>
          <w:rtl w:val="0"/>
          <w:lang w:val="en-US"/>
        </w:rPr>
        <w:t xml:space="preserve">° </w:t>
      </w:r>
      <w:r>
        <w:rPr>
          <w:rStyle w:val="None"/>
          <w:rFonts w:ascii="Arial" w:hAnsi="Arial"/>
          <w:caps w:val="0"/>
          <w:smallCaps w:val="0"/>
          <w:color w:val="000000"/>
          <w:spacing w:val="0"/>
          <w:sz w:val="22"/>
          <w:szCs w:val="22"/>
          <w:u w:color="000000"/>
          <w:rtl w:val="0"/>
          <w:lang w:val="en-US"/>
        </w:rPr>
        <w:t xml:space="preserve">C.  Plates were viewed after 24 hours at </w:t>
      </w:r>
      <w:r>
        <w:rPr>
          <w:rStyle w:val="None"/>
          <w:rFonts w:ascii="Arial" w:hAnsi="Arial" w:hint="default"/>
          <w:caps w:val="0"/>
          <w:smallCaps w:val="0"/>
          <w:color w:val="000000"/>
          <w:spacing w:val="0"/>
          <w:sz w:val="22"/>
          <w:szCs w:val="22"/>
          <w:u w:color="000000"/>
          <w:rtl w:val="0"/>
          <w:lang w:val="en-US"/>
        </w:rPr>
        <w:t>×</w:t>
      </w:r>
      <w:r>
        <w:rPr>
          <w:rStyle w:val="None"/>
          <w:rFonts w:ascii="Arial" w:hAnsi="Arial"/>
          <w:caps w:val="0"/>
          <w:smallCaps w:val="0"/>
          <w:color w:val="000000"/>
          <w:spacing w:val="0"/>
          <w:sz w:val="22"/>
          <w:szCs w:val="22"/>
          <w:u w:color="000000"/>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pacing w:line="480" w:lineRule="auto"/>
        <w:jc w:val="both"/>
        <w:rPr>
          <w:rStyle w:val="None"/>
          <w:rFonts w:ascii="Arial" w:cs="Arial" w:hAnsi="Arial" w:eastAsia="Arial"/>
          <w:caps w:val="0"/>
          <w:smallCaps w:val="0"/>
          <w:color w:val="000000"/>
          <w:spacing w:val="0"/>
          <w:sz w:val="22"/>
          <w:szCs w:val="22"/>
          <w:u w:color="000000"/>
        </w:rPr>
      </w:pPr>
      <w:r>
        <w:rPr>
          <w:rStyle w:val="Hyperlink.1"/>
          <w:rFonts w:ascii="Arial" w:cs="Arial" w:hAnsi="Arial" w:eastAsia="Arial"/>
          <w:caps w:val="0"/>
          <w:smallCaps w:val="0"/>
          <w:color w:val="000000"/>
          <w:spacing w:val="0"/>
          <w:sz w:val="22"/>
          <w:szCs w:val="22"/>
          <w:u w:val="single" w:color="000000"/>
        </w:rPr>
        <w:fldChar w:fldCharType="begin" w:fldLock="0"/>
      </w:r>
      <w:r>
        <w:rPr>
          <w:rStyle w:val="Hyperlink.1"/>
          <w:rFonts w:ascii="Arial" w:cs="Arial" w:hAnsi="Arial" w:eastAsia="Arial"/>
          <w:caps w:val="0"/>
          <w:smallCaps w:val="0"/>
          <w:color w:val="000000"/>
          <w:spacing w:val="0"/>
          <w:sz w:val="22"/>
          <w:szCs w:val="22"/>
          <w:u w:val="single" w:color="000000"/>
        </w:rPr>
        <w:instrText xml:space="preserve"> HYPERLINK "https://github.com/jlleslie/Intraspecific_Competition/blob/master/methods/Verocell_ToxinActivity_Assay.Rmd"</w:instrText>
      </w:r>
      <w:r>
        <w:rPr>
          <w:rStyle w:val="Hyperlink.1"/>
          <w:rFonts w:ascii="Arial" w:cs="Arial" w:hAnsi="Arial" w:eastAsia="Arial"/>
          <w:caps w:val="0"/>
          <w:smallCaps w:val="0"/>
          <w:color w:val="000000"/>
          <w:spacing w:val="0"/>
          <w:sz w:val="22"/>
          <w:szCs w:val="22"/>
          <w:u w:val="single" w:color="000000"/>
        </w:rPr>
        <w:fldChar w:fldCharType="separate" w:fldLock="0"/>
      </w:r>
      <w:r>
        <w:rPr>
          <w:rStyle w:val="Hyperlink.1"/>
          <w:rFonts w:ascii="Arial" w:hAnsi="Arial"/>
          <w:caps w:val="0"/>
          <w:smallCaps w:val="0"/>
          <w:color w:val="000000"/>
          <w:spacing w:val="0"/>
          <w:sz w:val="22"/>
          <w:szCs w:val="22"/>
          <w:u w:val="single" w:color="000000"/>
          <w:rtl w:val="0"/>
        </w:rPr>
        <w:t>https://github.com/jlleslie/Intraspecific_Competition/blob/master/methods/Verocell_ToxinActivity_Assa</w:t>
      </w:r>
      <w:r>
        <w:rPr/>
        <w:fldChar w:fldCharType="end" w:fldLock="0"/>
      </w:r>
      <w:r>
        <w:rPr>
          <w:rStyle w:val="Hyperlink.1"/>
          <w:rFonts w:ascii="Arial" w:cs="Arial" w:hAnsi="Arial" w:eastAsia="Arial"/>
          <w:caps w:val="0"/>
          <w:smallCaps w:val="0"/>
          <w:color w:val="000000"/>
          <w:spacing w:val="0"/>
          <w:sz w:val="22"/>
          <w:szCs w:val="22"/>
          <w:u w:val="single" w:color="000000"/>
        </w:rPr>
        <w:fldChar w:fldCharType="begin" w:fldLock="0"/>
      </w:r>
      <w:r>
        <w:rPr>
          <w:rStyle w:val="Hyperlink.1"/>
          <w:rFonts w:ascii="Arial" w:cs="Arial" w:hAnsi="Arial" w:eastAsia="Arial"/>
          <w:caps w:val="0"/>
          <w:smallCaps w:val="0"/>
          <w:color w:val="000000"/>
          <w:spacing w:val="0"/>
          <w:sz w:val="22"/>
          <w:szCs w:val="22"/>
          <w:u w:val="single" w:color="000000"/>
        </w:rPr>
        <w:instrText xml:space="preserve"> HYPERLINK "https://github.com/jlleslie/Intraspecific_Competition/blob/master/methods/Verocell_ToxinActivity_Assay.Rmd"</w:instrText>
      </w:r>
      <w:r>
        <w:rPr>
          <w:rStyle w:val="Hyperlink.1"/>
          <w:rFonts w:ascii="Arial" w:cs="Arial" w:hAnsi="Arial" w:eastAsia="Arial"/>
          <w:caps w:val="0"/>
          <w:smallCaps w:val="0"/>
          <w:color w:val="000000"/>
          <w:spacing w:val="0"/>
          <w:sz w:val="22"/>
          <w:szCs w:val="22"/>
          <w:u w:val="single" w:color="000000"/>
        </w:rPr>
        <w:fldChar w:fldCharType="separate" w:fldLock="0"/>
      </w:r>
      <w:r>
        <w:rPr>
          <w:rStyle w:val="Hyperlink.1"/>
          <w:rFonts w:ascii="Arial" w:hAnsi="Arial"/>
          <w:caps w:val="0"/>
          <w:smallCaps w:val="0"/>
          <w:color w:val="000000"/>
          <w:spacing w:val="0"/>
          <w:sz w:val="22"/>
          <w:szCs w:val="22"/>
          <w:u w:val="single" w:color="000000"/>
          <w:rtl w:val="0"/>
        </w:rPr>
        <w:t>y.Rmd</w:t>
      </w:r>
      <w:r>
        <w:rPr/>
        <w:fldChar w:fldCharType="end" w:fldLock="0"/>
      </w:r>
    </w:p>
    <w:p>
      <w:pPr>
        <w:pStyle w:val="Default"/>
        <w:spacing w:line="480" w:lineRule="auto"/>
        <w:jc w:val="both"/>
        <w:rPr>
          <w:rStyle w:val="None"/>
          <w:rFonts w:ascii="Arial" w:cs="Arial" w:hAnsi="Arial" w:eastAsia="Arial"/>
          <w:caps w:val="0"/>
          <w:smallCaps w:val="0"/>
          <w:color w:val="000000"/>
          <w:spacing w:val="0"/>
          <w:sz w:val="22"/>
          <w:szCs w:val="22"/>
          <w:u w:color="000000"/>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RNA extraction and library preparation.</w:t>
      </w:r>
      <w:r>
        <w:rPr>
          <w:rStyle w:val="None"/>
          <w:rFonts w:ascii="Arial" w:hAnsi="Arial"/>
          <w:sz w:val="22"/>
          <w:szCs w:val="22"/>
          <w:rtl w:val="0"/>
          <w:lang w:val="en-US"/>
        </w:rPr>
        <w:t xml:space="preserve">  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15 minutes.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RNA-Seq libraries were made constructed with the TruSeq RNA Library Preparation Kit v2, both using the manufacturer's protocol.  2x50 bp sequencing was finally performed using an Illumina HiSeq 2500.  A detailed protocol for this entire procedure containing product numbers and QC primer sequences can be found in the Github repository associated with this project.</w:t>
      </w:r>
    </w:p>
    <w:p>
      <w:pPr>
        <w:pStyle w:val="Default"/>
        <w:spacing w:line="480" w:lineRule="auto"/>
        <w:jc w:val="both"/>
        <w:rPr>
          <w:rStyle w:val="None"/>
          <w:rFonts w:ascii="Arial" w:cs="Arial" w:hAnsi="Arial" w:eastAsia="Arial"/>
          <w:sz w:val="22"/>
          <w:szCs w:val="22"/>
        </w:rPr>
      </w:pPr>
      <w:r>
        <w:rPr>
          <w:rStyle w:val="Hyperlink.0"/>
          <w:rFonts w:ascii="Arial" w:cs="Arial" w:hAnsi="Arial" w:eastAsia="Arial"/>
          <w:color w:val="000080"/>
          <w:sz w:val="22"/>
          <w:szCs w:val="22"/>
          <w:u w:val="single" w:color="000080"/>
        </w:rPr>
        <w:fldChar w:fldCharType="begin" w:fldLock="0"/>
      </w:r>
      <w:r>
        <w:rPr>
          <w:rStyle w:val="Hyperlink.0"/>
          <w:rFonts w:ascii="Arial" w:cs="Arial" w:hAnsi="Arial" w:eastAsia="Arial"/>
          <w:color w:val="000080"/>
          <w:sz w:val="22"/>
          <w:szCs w:val="22"/>
          <w:u w:val="single" w:color="000080"/>
        </w:rPr>
        <w:instrText xml:space="preserve"> HYPERLINK "https://github.com/SchlossLab/Jenior_Transcriptomics_2015/blob/master/doc/wetlab_protocol.txt"</w:instrText>
      </w:r>
      <w:r>
        <w:rPr>
          <w:rStyle w:val="Hyperlink.0"/>
          <w:rFonts w:ascii="Arial" w:cs="Arial" w:hAnsi="Arial" w:eastAsia="Arial"/>
          <w:color w:val="000080"/>
          <w:sz w:val="22"/>
          <w:szCs w:val="22"/>
          <w:u w:val="single" w:color="000080"/>
        </w:rPr>
        <w:fldChar w:fldCharType="separate" w:fldLock="0"/>
      </w:r>
      <w:r>
        <w:rPr>
          <w:rStyle w:val="Hyperlink.0"/>
          <w:rFonts w:ascii="Arial" w:hAnsi="Arial"/>
          <w:color w:val="000080"/>
          <w:sz w:val="22"/>
          <w:szCs w:val="22"/>
          <w:u w:val="single" w:color="000080"/>
          <w:rtl w:val="0"/>
        </w:rPr>
        <w:t>https://github.com/SchlossLab/Jenior_Transcriptomics_2015/blob/master/doc/wetlab_protocol.txt</w:t>
      </w:r>
      <w:r>
        <w:rPr/>
        <w:fldChar w:fldCharType="end" w:fldLock="0"/>
      </w:r>
    </w:p>
    <w:p>
      <w:pPr>
        <w:pStyle w:val="Default"/>
        <w:spacing w:line="480" w:lineRule="auto"/>
        <w:jc w:val="both"/>
        <w:rPr>
          <w:rStyle w:val="None"/>
          <w:rFonts w:ascii="Arial" w:cs="Arial" w:hAnsi="Arial" w:eastAsia="Arial"/>
          <w:b w:val="1"/>
          <w:bCs w:val="1"/>
          <w:sz w:val="22"/>
          <w:szCs w:val="22"/>
        </w:rPr>
      </w:pPr>
      <w:r>
        <w:rPr>
          <w:rStyle w:val="None"/>
          <w:rFonts w:ascii="Arial" w:cs="Arial" w:hAnsi="Arial" w:eastAsia="Arial"/>
          <w:sz w:val="22"/>
          <w:szCs w:val="22"/>
        </w:rPr>
        <w:tab/>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Sequence curation, read mapping, and normalization.</w:t>
      </w:r>
      <w:r>
        <w:rPr>
          <w:rStyle w:val="None"/>
          <w:rFonts w:ascii="Arial" w:hAnsi="Arial"/>
          <w:sz w:val="22"/>
          <w:szCs w:val="22"/>
          <w:rtl w:val="0"/>
          <w:lang w:val="en-US"/>
        </w:rPr>
        <w:t xml:space="preserve">  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with a minimum Q-score of 20.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Fonts w:ascii="Arial" w:cs="Arial" w:hAnsi="Arial" w:eastAsia="Arial"/>
          <w:color w:val="000080"/>
          <w:sz w:val="22"/>
          <w:szCs w:val="22"/>
          <w:u w:val="single" w:color="000080"/>
        </w:rPr>
        <w:fldChar w:fldCharType="begin" w:fldLock="0"/>
      </w:r>
      <w:r>
        <w:rPr>
          <w:rStyle w:val="Hyperlink.0"/>
          <w:rFonts w:ascii="Arial" w:cs="Arial" w:hAnsi="Arial" w:eastAsia="Arial"/>
          <w:color w:val="000080"/>
          <w:sz w:val="22"/>
          <w:szCs w:val="22"/>
          <w:u w:val="single" w:color="000080"/>
        </w:rPr>
        <w:instrText xml:space="preserve"> HYPERLINK "http://broadinstitute.github.io/picard/"</w:instrText>
      </w:r>
      <w:r>
        <w:rPr>
          <w:rStyle w:val="Hyperlink.0"/>
          <w:rFonts w:ascii="Arial" w:cs="Arial" w:hAnsi="Arial" w:eastAsia="Arial"/>
          <w:color w:val="000080"/>
          <w:sz w:val="22"/>
          <w:szCs w:val="22"/>
          <w:u w:val="single" w:color="000080"/>
        </w:rPr>
        <w:fldChar w:fldCharType="separate" w:fldLock="0"/>
      </w:r>
      <w:r>
        <w:rPr>
          <w:rStyle w:val="Hyperlink.0"/>
          <w:rFonts w:ascii="Arial" w:hAnsi="Arial"/>
          <w:color w:val="000080"/>
          <w:sz w:val="22"/>
          <w:szCs w:val="22"/>
          <w:u w:val="single" w:color="000080"/>
          <w:rtl w:val="0"/>
        </w:rPr>
        <w:t>http://broadinstitute.github.io/picard/</w:t>
      </w:r>
      <w:r>
        <w:rPr/>
        <w:fldChar w:fldCharType="end" w:fldLock="0"/>
      </w:r>
      <w:r>
        <w:rPr>
          <w:rStyle w:val="None"/>
          <w:rFonts w:ascii="Arial" w:hAnsi="Arial"/>
          <w:sz w:val="22"/>
          <w:szCs w:val="22"/>
          <w:rtl w:val="0"/>
          <w:lang w:val="en-US"/>
        </w:rPr>
        <w:t>),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This process was performed iteratively when indicated and the median transcript abundance was used.</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Bipartite Metabolic Modeling.</w:t>
      </w:r>
      <w:r>
        <w:rPr>
          <w:rStyle w:val="None"/>
          <w:rFonts w:ascii="Arial" w:hAnsi="Arial"/>
          <w:sz w:val="22"/>
          <w:szCs w:val="22"/>
          <w:rtl w:val="0"/>
          <w:lang w:val="en-US"/>
        </w:rPr>
        <w:t xml:space="preserve">  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p>
    <w:p>
      <w:pPr>
        <w:pStyle w:val="Default"/>
        <w:spacing w:line="480" w:lineRule="auto"/>
        <w:jc w:val="center"/>
        <w:rPr>
          <w:rStyle w:val="None"/>
          <w:rFonts w:ascii="Arial" w:cs="Arial" w:hAnsi="Arial" w:eastAsia="Arial"/>
          <w:sz w:val="22"/>
          <w:szCs w:val="22"/>
        </w:rPr>
      </w:pPr>
      <w:r>
        <w:rPr>
          <w:rStyle w:val="None"/>
          <w:rFonts w:ascii="Arial" w:hAnsi="Arial"/>
          <w:sz w:val="22"/>
          <w:szCs w:val="22"/>
          <w:rtl w:val="0"/>
          <w:lang w:val="en-US"/>
        </w:rPr>
        <w:t>insert the equation here again</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If a compound is more likely to be produced, the more negative the resulting score will be.  The general concept for the bipartite metabolic networks and substrate importance algorithm were partially based on methods created to infer metabolite preference of </w:t>
      </w:r>
      <w:r>
        <w:rPr>
          <w:rStyle w:val="None"/>
          <w:rFonts w:ascii="Arial" w:hAnsi="Arial"/>
          <w:i w:val="1"/>
          <w:iCs w:val="1"/>
          <w:sz w:val="22"/>
          <w:szCs w:val="22"/>
          <w:rtl w:val="0"/>
          <w:lang w:val="en-US"/>
        </w:rPr>
        <w:t xml:space="preserve">Saccharomyces cerevisiae </w:t>
      </w:r>
      <w:r>
        <w:rPr>
          <w:rStyle w:val="None"/>
          <w:rFonts w:ascii="Arial" w:hAnsi="Arial"/>
          <w:sz w:val="22"/>
          <w:szCs w:val="22"/>
          <w:rtl w:val="0"/>
          <w:lang w:val="en-US"/>
        </w:rPr>
        <w:t xml:space="preserve">grown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and using repeated transcriptomic sequencing efforts (Patil,  2005).  All of these methods have been written into a set of python scripts and are presented as BiGSMAll, available in a public Github repository at </w:t>
      </w:r>
      <w:r>
        <w:rPr>
          <w:rStyle w:val="Hyperlink.0"/>
          <w:rFonts w:ascii="Arial" w:cs="Arial" w:hAnsi="Arial" w:eastAsia="Arial"/>
          <w:color w:val="000080"/>
          <w:sz w:val="22"/>
          <w:szCs w:val="22"/>
          <w:u w:val="single" w:color="000080"/>
        </w:rPr>
        <w:fldChar w:fldCharType="begin" w:fldLock="0"/>
      </w:r>
      <w:r>
        <w:rPr>
          <w:rStyle w:val="Hyperlink.0"/>
          <w:rFonts w:ascii="Arial" w:cs="Arial" w:hAnsi="Arial" w:eastAsia="Arial"/>
          <w:color w:val="000080"/>
          <w:sz w:val="22"/>
          <w:szCs w:val="22"/>
          <w:u w:val="single" w:color="000080"/>
        </w:rPr>
        <w:instrText xml:space="preserve"> HYPERLINK "https://github.com/mjenior/bigsmall"</w:instrText>
      </w:r>
      <w:r>
        <w:rPr>
          <w:rStyle w:val="Hyperlink.0"/>
          <w:rFonts w:ascii="Arial" w:cs="Arial" w:hAnsi="Arial" w:eastAsia="Arial"/>
          <w:color w:val="000080"/>
          <w:sz w:val="22"/>
          <w:szCs w:val="22"/>
          <w:u w:val="single" w:color="000080"/>
        </w:rPr>
        <w:fldChar w:fldCharType="separate" w:fldLock="0"/>
      </w:r>
      <w:r>
        <w:rPr>
          <w:rStyle w:val="Hyperlink.0"/>
          <w:rFonts w:ascii="Arial" w:hAnsi="Arial"/>
          <w:color w:val="000080"/>
          <w:sz w:val="22"/>
          <w:szCs w:val="22"/>
          <w:u w:val="single" w:color="000080"/>
          <w:rtl w:val="0"/>
        </w:rPr>
        <w:t>https://github.com/mjenior/bigsmall</w:t>
      </w:r>
      <w:r>
        <w:rPr/>
        <w:fldChar w:fldCharType="end" w:fldLock="0"/>
      </w:r>
      <w:r>
        <w:rPr>
          <w:rStyle w:val="None"/>
          <w:rFonts w:ascii="Arial" w:hAnsi="Arial"/>
          <w:sz w:val="22"/>
          <w:szCs w:val="2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measured metabolite importance from consistently important compounds or those scores derived from random chance.  With this in mind we took an iterative approach of randomizing assignment of transcript abundance to enzyme nodes and recalculating metabolite importances.  Each compound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w:t>
      </w:r>
      <w:r>
        <w:rPr>
          <w:rStyle w:val="None"/>
          <w:rFonts w:ascii="Arial" w:hAnsi="Arial"/>
          <w:sz w:val="22"/>
          <w:szCs w:val="22"/>
          <w:rtl w:val="0"/>
          <w:lang w:val="en-US"/>
        </w:rPr>
        <w:t xml:space="preserve">  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outline w:val="0"/>
          <w:color w:val="000000"/>
          <w:spacing w:val="0"/>
          <w:kern w:val="0"/>
          <w:sz w:val="22"/>
          <w:szCs w:val="22"/>
          <w:u w:val="none" w:color="000000"/>
        </w:rPr>
      </w:pPr>
      <w:r>
        <w:rPr>
          <w:rStyle w:val="None"/>
          <w:rFonts w:ascii="Arial" w:hAnsi="Arial"/>
          <w:b w:val="1"/>
          <w:bCs w:val="1"/>
          <w:outline w:val="0"/>
          <w:color w:val="000000"/>
          <w:spacing w:val="0"/>
          <w:kern w:val="0"/>
          <w:sz w:val="22"/>
          <w:szCs w:val="22"/>
          <w:u w:val="none" w:color="000000"/>
          <w:rtl w:val="0"/>
          <w:lang w:val="en-US"/>
        </w:rPr>
        <w:t>Untargeted liquid chromatography-mass spectrometry for metabolite content of mouse cecal content.</w:t>
      </w:r>
      <w:r>
        <w:rPr>
          <w:rStyle w:val="None"/>
          <w:rFonts w:ascii="Arial" w:hAnsi="Arial"/>
          <w:outline w:val="0"/>
          <w:color w:val="000000"/>
          <w:spacing w:val="0"/>
          <w:kern w:val="0"/>
          <w:sz w:val="22"/>
          <w:szCs w:val="22"/>
          <w:u w:val="none" w:color="000000"/>
          <w:rtl w:val="0"/>
          <w:lang w:val="en-US"/>
        </w:rPr>
        <w:t xml:space="preserve">  Flash frozen aliquot of cecal content was </w:t>
      </w:r>
    </w:p>
    <w:p>
      <w:pPr>
        <w:pStyle w:val="Default"/>
        <w:spacing w:line="480" w:lineRule="auto"/>
        <w:jc w:val="both"/>
        <w:rPr>
          <w:rStyle w:val="None"/>
          <w:rFonts w:ascii="Arial" w:cs="Arial" w:hAnsi="Arial" w:eastAsia="Arial"/>
          <w:outline w:val="0"/>
          <w:color w:val="000000"/>
          <w:spacing w:val="0"/>
          <w:kern w:val="0"/>
          <w:sz w:val="22"/>
          <w:szCs w:val="22"/>
          <w:u w:val="none" w:color="000000"/>
        </w:rPr>
      </w:pPr>
    </w:p>
    <w:p>
      <w:pPr>
        <w:pStyle w:val="Text body"/>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outline w:val="0"/>
          <w:color w:val="000000"/>
          <w:spacing w:val="0"/>
          <w:kern w:val="0"/>
          <w:sz w:val="22"/>
          <w:szCs w:val="22"/>
          <w:u w:val="none" w:color="000000"/>
          <w:rtl w:val="0"/>
          <w:lang w:val="en-US"/>
        </w:rPr>
        <w:t>Figure Legends</w:t>
      </w: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 xml:space="preserve"> 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w:t>
      </w:r>
      <w:r>
        <w:rPr>
          <w:rStyle w:val="None"/>
          <w:rFonts w:ascii="Arial" w:hAnsi="Arial"/>
          <w:sz w:val="22"/>
          <w:szCs w:val="22"/>
          <w:rtl w:val="0"/>
          <w:lang w:val="en-US"/>
        </w:rPr>
        <w:t xml:space="preserve">  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CdtR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u w:val="none"/>
          <w:rtl w:val="0"/>
          <w:lang w:val="en-US"/>
        </w:rPr>
        <w:t>C)</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Supplementary Figure 1 |  Spore % of total CFU and toxin to spore correlations.</w:t>
      </w:r>
      <w:r>
        <w:rPr>
          <w:rStyle w:val="None"/>
          <w:rFonts w:ascii="Arial" w:hAnsi="Arial"/>
          <w:sz w:val="22"/>
          <w:szCs w:val="22"/>
          <w:rtl w:val="0"/>
          <w:lang w:val="en-US"/>
        </w:rPr>
        <w:t xml:space="preserve">  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w:t>
      </w:r>
      <w:r>
        <w:rPr>
          <w:rStyle w:val="None"/>
          <w:rFonts w:ascii="Arial" w:hAnsi="Arial"/>
          <w:sz w:val="22"/>
          <w:szCs w:val="22"/>
          <w:rtl w:val="0"/>
          <w:lang w:val="en-US"/>
        </w:rPr>
        <w:t xml:space="preserve">  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Supplementary Figure 3 |  Expression of specific KEGG gene families.</w:t>
      </w:r>
      <w:r>
        <w:rPr>
          <w:rStyle w:val="None"/>
          <w:rFonts w:ascii="Arial" w:hAnsi="Arial"/>
          <w:sz w:val="22"/>
          <w:szCs w:val="22"/>
          <w:rtl w:val="0"/>
          <w:lang w:val="en-US"/>
        </w:rPr>
        <w:t xml:space="preserve">  Description. A). B). C).</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Supplementary Figure 4 |  Substrate scores outside of at least two standard deviations from simulated means.</w:t>
      </w:r>
      <w:r>
        <w:rPr>
          <w:rStyle w:val="None"/>
          <w:rFonts w:ascii="Arial" w:hAnsi="Arial"/>
          <w:sz w:val="22"/>
          <w:szCs w:val="22"/>
          <w:rtl w:val="0"/>
          <w:lang w:val="en-US"/>
        </w:rPr>
        <w:t xml:space="preserve">  Description. A). B). C).</w:t>
      </w:r>
    </w:p>
    <w:p>
      <w:pPr>
        <w:pStyle w:val="Default"/>
        <w:spacing w:line="480" w:lineRule="auto"/>
        <w:jc w:val="both"/>
        <w:rPr>
          <w:rFonts w:ascii="Arial" w:cs="Arial" w:hAnsi="Arial" w:eastAsia="Arial"/>
          <w:sz w:val="22"/>
          <w:szCs w:val="22"/>
        </w:rPr>
      </w:pPr>
    </w:p>
    <w:p>
      <w:pPr>
        <w:pStyle w:val="Default"/>
        <w:spacing w:line="480" w:lineRule="auto"/>
        <w:ind w:left="480" w:hanging="480"/>
        <w:jc w:val="both"/>
        <w:rPr>
          <w:rStyle w:val="None"/>
          <w:rFonts w:ascii="Arial" w:cs="Arial" w:hAnsi="Arial" w:eastAsia="Arial"/>
          <w:b w:val="1"/>
          <w:bCs w:val="1"/>
          <w:outline w:val="0"/>
          <w:color w:val="000000"/>
          <w:spacing w:val="0"/>
          <w:kern w:val="0"/>
          <w:sz w:val="22"/>
          <w:szCs w:val="22"/>
          <w:u w:val="none" w:color="000000"/>
        </w:rPr>
      </w:pPr>
      <w:r>
        <w:rPr>
          <w:rStyle w:val="None"/>
          <w:rFonts w:ascii="Arial" w:hAnsi="Arial"/>
          <w:b w:val="1"/>
          <w:bCs w:val="1"/>
          <w:outline w:val="0"/>
          <w:color w:val="000000"/>
          <w:spacing w:val="0"/>
          <w:kern w:val="0"/>
          <w:sz w:val="22"/>
          <w:szCs w:val="22"/>
          <w:u w:val="none" w:color="000000"/>
          <w:rtl w:val="0"/>
          <w:lang w:val="en-US"/>
        </w:rPr>
        <w:t>Supplementary Figure 5 |  Additional growth curves.</w:t>
      </w:r>
      <w:r>
        <w:rPr>
          <w:rStyle w:val="None"/>
          <w:rFonts w:ascii="Arial" w:hAnsi="Arial"/>
          <w:outline w:val="0"/>
          <w:color w:val="000000"/>
          <w:spacing w:val="0"/>
          <w:kern w:val="0"/>
          <w:sz w:val="22"/>
          <w:szCs w:val="22"/>
          <w:u w:val="none" w:color="000000"/>
          <w:rtl w:val="0"/>
          <w:lang w:val="en-US"/>
        </w:rPr>
        <w:t xml:space="preserve">   Description.</w:t>
      </w:r>
    </w:p>
    <w:p>
      <w:pPr>
        <w:pStyle w:val="Text body"/>
        <w:spacing w:line="480" w:lineRule="auto"/>
        <w:ind w:left="480" w:hanging="480"/>
        <w:jc w:val="both"/>
        <w:rPr>
          <w:rStyle w:val="None"/>
          <w:rFonts w:ascii="Arial" w:cs="Arial" w:hAnsi="Arial" w:eastAsia="Arial"/>
          <w:b w:val="1"/>
          <w:bCs w:val="1"/>
          <w:outline w:val="0"/>
          <w:color w:val="000000"/>
          <w:spacing w:val="0"/>
          <w:kern w:val="0"/>
          <w:sz w:val="22"/>
          <w:szCs w:val="22"/>
          <w:u w:val="none" w:color="000000"/>
        </w:rPr>
      </w:pPr>
    </w:p>
    <w:p>
      <w:pPr>
        <w:pStyle w:val="Default"/>
        <w:spacing w:line="480" w:lineRule="auto"/>
        <w:ind w:left="480" w:hanging="480"/>
        <w:jc w:val="both"/>
        <w:rPr>
          <w:rStyle w:val="None"/>
          <w:rFonts w:ascii="Arial" w:cs="Arial" w:hAnsi="Arial" w:eastAsia="Arial"/>
          <w:b w:val="1"/>
          <w:bCs w:val="1"/>
          <w:outline w:val="0"/>
          <w:color w:val="000000"/>
          <w:spacing w:val="0"/>
          <w:kern w:val="0"/>
          <w:sz w:val="22"/>
          <w:szCs w:val="22"/>
          <w:u w:val="none" w:color="000000"/>
        </w:rPr>
      </w:pPr>
      <w:r>
        <w:rPr>
          <w:rStyle w:val="None"/>
          <w:rFonts w:ascii="Arial" w:hAnsi="Arial"/>
          <w:b w:val="1"/>
          <w:bCs w:val="1"/>
          <w:outline w:val="0"/>
          <w:color w:val="000000"/>
          <w:spacing w:val="0"/>
          <w:kern w:val="0"/>
          <w:sz w:val="22"/>
          <w:szCs w:val="22"/>
          <w:u w:val="none" w:color="000000"/>
          <w:rtl w:val="0"/>
          <w:lang w:val="en-US"/>
        </w:rPr>
        <w:t>Supplementary Figure 6 |  Acetate data supporting network output.</w:t>
      </w:r>
      <w:r>
        <w:rPr>
          <w:rStyle w:val="None"/>
          <w:rFonts w:ascii="Arial" w:hAnsi="Arial"/>
          <w:outline w:val="0"/>
          <w:color w:val="000000"/>
          <w:spacing w:val="0"/>
          <w:kern w:val="0"/>
          <w:sz w:val="22"/>
          <w:szCs w:val="22"/>
          <w:u w:val="none" w:color="000000"/>
          <w:rtl w:val="0"/>
          <w:lang w:val="en-US"/>
        </w:rPr>
        <w:t xml:space="preserve">   Description.</w:t>
      </w:r>
    </w:p>
    <w:p>
      <w:pPr>
        <w:pStyle w:val="Default"/>
        <w:spacing w:line="480" w:lineRule="auto"/>
        <w:ind w:left="480" w:hanging="480"/>
        <w:jc w:val="both"/>
        <w:rPr>
          <w:rStyle w:val="None"/>
          <w:rFonts w:ascii="Arial" w:cs="Arial" w:hAnsi="Arial" w:eastAsia="Arial"/>
          <w:b w:val="1"/>
          <w:bCs w:val="1"/>
          <w:outline w:val="0"/>
          <w:color w:val="000000"/>
          <w:spacing w:val="0"/>
          <w:kern w:val="0"/>
          <w:sz w:val="22"/>
          <w:szCs w:val="22"/>
          <w:u w:val="none" w:color="000000"/>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Ho, T. D., &amp; Ellermeier, C. D. (2015). Ferric uptake regulator fur control of putative iron acquisition systems in Clostridium 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en-US"/>
        </w:rPr>
        <w:t>2940. http://doi.org/10.1128/JB.00098-15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Hundsberger, T., Braun, V., Weidmann, M., Leukel, P., Sauerborn, M., &amp; von Eichel-Streiber, C. (1997). Transcription analysis 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742. http://doi.org/10.1111/j.1432-1033.1997.t01-1-00735.x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Janoir, C., Den</w:t>
      </w:r>
      <w:r>
        <w:rPr>
          <w:rStyle w:val="None"/>
          <w:rFonts w:ascii="Arial" w:hAnsi="Arial" w:hint="default"/>
          <w:sz w:val="18"/>
          <w:szCs w:val="18"/>
          <w:rtl w:val="0"/>
          <w:lang w:val="en-US"/>
        </w:rPr>
        <w:t>è</w:t>
      </w:r>
      <w:r>
        <w:rPr>
          <w:rStyle w:val="None"/>
          <w:rFonts w:ascii="Arial" w:hAnsi="Arial"/>
          <w:sz w:val="18"/>
          <w:szCs w:val="18"/>
          <w:rtl w:val="0"/>
          <w:lang w:val="en-US"/>
        </w:rPr>
        <w:t xml:space="preserve">ve, C., Bouttier, S., Barbut, F., Hoys, S., Caleechum, L., &amp; Dupuy, B. (2013). Adaptive strategies and 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 http://doi.org/10.1128/IAI.00515-13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2"/>
          <w:rFonts w:ascii="Arial" w:cs="Arial" w:hAnsi="Arial" w:eastAsia="Arial"/>
          <w:color w:val="000080"/>
          <w:sz w:val="18"/>
          <w:szCs w:val="18"/>
          <w:u w:val="single" w:color="000080"/>
        </w:rPr>
        <w:fldChar w:fldCharType="begin" w:fldLock="0"/>
      </w:r>
      <w:r>
        <w:rPr>
          <w:rStyle w:val="Hyperlink.2"/>
          <w:rFonts w:ascii="Arial" w:cs="Arial" w:hAnsi="Arial" w:eastAsia="Arial"/>
          <w:color w:val="000080"/>
          <w:sz w:val="18"/>
          <w:szCs w:val="18"/>
          <w:u w:val="single" w:color="000080"/>
        </w:rPr>
        <w:instrText xml:space="preserve"> HYPERLINK "http://doi.org/10.1056/NEJMoa1408913"</w:instrText>
      </w:r>
      <w:r>
        <w:rPr>
          <w:rStyle w:val="Hyperlink.2"/>
          <w:rFonts w:ascii="Arial" w:cs="Arial" w:hAnsi="Arial" w:eastAsia="Arial"/>
          <w:color w:val="000080"/>
          <w:sz w:val="18"/>
          <w:szCs w:val="18"/>
          <w:u w:val="single" w:color="000080"/>
        </w:rPr>
        <w:fldChar w:fldCharType="separate" w:fldLock="0"/>
      </w:r>
      <w:r>
        <w:rPr>
          <w:rStyle w:val="Hyperlink.2"/>
          <w:rFonts w:ascii="Arial" w:hAnsi="Arial"/>
          <w:color w:val="000080"/>
          <w:sz w:val="18"/>
          <w:szCs w:val="18"/>
          <w:u w:val="single" w:color="000080"/>
          <w:rtl w:val="0"/>
        </w:rPr>
        <w:t>http://doi.org/10.1056/NEJMoa1408913</w:t>
      </w:r>
      <w:r>
        <w:rPr/>
        <w:fldChar w:fldCharType="end" w:fldLock="0"/>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ind w:left="480" w:hanging="480"/>
        <w:rPr>
          <w:rStyle w:val="None"/>
          <w:rFonts w:ascii="Arial" w:cs="Arial" w:hAnsi="Arial" w:eastAsia="Arial"/>
          <w:outline w:val="0"/>
          <w:color w:val="000000"/>
          <w:spacing w:val="0"/>
          <w:kern w:val="0"/>
          <w:sz w:val="18"/>
          <w:szCs w:val="18"/>
          <w:u w:val="none" w:color="000000"/>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pacing w:line="100" w:lineRule="atLeast"/>
        <w:ind w:left="480" w:hanging="480"/>
        <w:jc w:val="both"/>
        <w:rPr>
          <w:rStyle w:val="None"/>
          <w:rFonts w:ascii="Arial" w:cs="Arial" w:hAnsi="Arial" w:eastAsia="Arial"/>
          <w:outline w:val="0"/>
          <w:color w:val="000000"/>
          <w:spacing w:val="0"/>
          <w:kern w:val="0"/>
          <w:sz w:val="18"/>
          <w:szCs w:val="18"/>
          <w:u w:val="none" w:color="000000"/>
        </w:rPr>
      </w:pPr>
      <w:r>
        <w:rPr>
          <w:rStyle w:val="None"/>
          <w:rFonts w:ascii="Arial" w:hAnsi="Arial"/>
          <w:outline w:val="0"/>
          <w:color w:val="000000"/>
          <w:spacing w:val="0"/>
          <w:kern w:val="0"/>
          <w:sz w:val="18"/>
          <w:szCs w:val="18"/>
          <w:u w:val="none" w:color="000000"/>
          <w:rtl w:val="0"/>
          <w:lang w:val="en-US"/>
        </w:rPr>
        <w:t xml:space="preserve">Yuille, S., Mackay, W. G., Morrison, D. J., &amp; Tedford, M. C. (2015). Optimising gut colonisation resistance against Clostridium difficile infection. </w:t>
      </w:r>
      <w:r>
        <w:rPr>
          <w:rStyle w:val="None"/>
          <w:rFonts w:ascii="Arial" w:hAnsi="Arial"/>
          <w:i w:val="1"/>
          <w:iCs w:val="1"/>
          <w:outline w:val="0"/>
          <w:color w:val="000000"/>
          <w:spacing w:val="0"/>
          <w:kern w:val="0"/>
          <w:sz w:val="18"/>
          <w:szCs w:val="18"/>
          <w:u w:val="none" w:color="000000"/>
          <w:rtl w:val="0"/>
          <w:lang w:val="en-US"/>
        </w:rPr>
        <w:t>European Journal of Clinical Microbiology and Infectious Diseases</w:t>
      </w:r>
      <w:r>
        <w:rPr>
          <w:rStyle w:val="None"/>
          <w:rFonts w:ascii="Arial" w:hAnsi="Arial"/>
          <w:outline w:val="0"/>
          <w:color w:val="000000"/>
          <w:spacing w:val="0"/>
          <w:kern w:val="0"/>
          <w:sz w:val="18"/>
          <w:szCs w:val="18"/>
          <w:u w:val="none" w:color="000000"/>
          <w:rtl w:val="0"/>
          <w:lang w:val="en-US"/>
        </w:rPr>
        <w:t xml:space="preserve">. </w:t>
      </w:r>
      <w:r>
        <w:rPr>
          <w:rStyle w:val="Hyperlink.3"/>
          <w:rFonts w:ascii="Arial" w:cs="Arial" w:hAnsi="Arial" w:eastAsia="Arial"/>
          <w:outline w:val="0"/>
          <w:color w:val="000000"/>
          <w:spacing w:val="0"/>
          <w:kern w:val="0"/>
          <w:sz w:val="18"/>
          <w:szCs w:val="18"/>
          <w:u w:val="none" w:color="000000"/>
        </w:rPr>
        <w:fldChar w:fldCharType="begin" w:fldLock="0"/>
      </w:r>
      <w:r>
        <w:rPr>
          <w:rStyle w:val="Hyperlink.3"/>
          <w:rFonts w:ascii="Arial" w:cs="Arial" w:hAnsi="Arial" w:eastAsia="Arial"/>
          <w:outline w:val="0"/>
          <w:color w:val="000000"/>
          <w:spacing w:val="0"/>
          <w:kern w:val="0"/>
          <w:sz w:val="18"/>
          <w:szCs w:val="18"/>
          <w:u w:val="none" w:color="000000"/>
        </w:rPr>
        <w:instrText xml:space="preserve"> HYPERLINK "http://doi.org/10.1007/s10096-015-2479-6"</w:instrText>
      </w:r>
      <w:r>
        <w:rPr>
          <w:rStyle w:val="Hyperlink.3"/>
          <w:rFonts w:ascii="Arial" w:cs="Arial" w:hAnsi="Arial" w:eastAsia="Arial"/>
          <w:outline w:val="0"/>
          <w:color w:val="000000"/>
          <w:spacing w:val="0"/>
          <w:kern w:val="0"/>
          <w:sz w:val="18"/>
          <w:szCs w:val="18"/>
          <w:u w:val="none" w:color="000000"/>
        </w:rPr>
        <w:fldChar w:fldCharType="separate" w:fldLock="0"/>
      </w:r>
      <w:r>
        <w:rPr>
          <w:rStyle w:val="Hyperlink.3"/>
          <w:rFonts w:ascii="Arial" w:hAnsi="Arial"/>
          <w:outline w:val="0"/>
          <w:color w:val="000000"/>
          <w:spacing w:val="0"/>
          <w:kern w:val="0"/>
          <w:sz w:val="18"/>
          <w:szCs w:val="18"/>
          <w:u w:val="none" w:color="000000"/>
          <w:rtl w:val="0"/>
        </w:rPr>
        <w:t>http://doi.org/10.1007/s10096-015-2479-6</w:t>
      </w:r>
      <w:r>
        <w:rPr/>
        <w:fldChar w:fldCharType="end" w:fldLock="0"/>
      </w:r>
    </w:p>
    <w:p>
      <w:pPr>
        <w:pStyle w:val="Text body"/>
        <w:spacing w:line="480" w:lineRule="auto"/>
        <w:ind w:left="480" w:hanging="480"/>
        <w:jc w:val="both"/>
      </w:pPr>
      <w:r>
        <w:rPr>
          <w:rStyle w:val="None"/>
          <w:rFonts w:ascii="Arial" w:cs="Arial" w:hAnsi="Arial" w:eastAsia="Arial"/>
          <w:outline w:val="0"/>
          <w:color w:val="000000"/>
          <w:spacing w:val="0"/>
          <w:kern w:val="0"/>
          <w:sz w:val="18"/>
          <w:szCs w:val="18"/>
          <w:u w:val="none" w:color="000000"/>
        </w:rPr>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80"/>
      <w:sz w:val="18"/>
      <w:szCs w:val="18"/>
      <w:u w:val="single" w:color="000080"/>
    </w:rPr>
  </w:style>
  <w:style w:type="character" w:styleId="Hyperlink.3">
    <w:name w:val="Hyperlink.3"/>
    <w:basedOn w:val="None"/>
    <w:next w:val="Hyperlink.3"/>
    <w:rPr>
      <w:rFonts w:ascii="Arial" w:cs="Arial" w:hAnsi="Arial" w:eastAsia="Arial"/>
      <w:outline w:val="0"/>
      <w:color w:val="000000"/>
      <w:spacing w:val="0"/>
      <w:kern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