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Fonts w:ascii="Arial" w:cs="Arial" w:hAnsi="Arial" w:eastAsia="Arial"/>
          <w:i w:val="1"/>
          <w:iCs w:val="1"/>
          <w:color w:val="2c2d30"/>
          <w:sz w:val="22"/>
          <w:szCs w:val="22"/>
          <w:u w:val="none" w:color="2c2d30"/>
        </w:rPr>
      </w:pPr>
      <w:r>
        <w:rPr>
          <w:rFonts w:ascii="Arial" w:hAnsi="Arial"/>
          <w:b w:val="1"/>
          <w:bCs w:val="1"/>
          <w:sz w:val="22"/>
          <w:szCs w:val="22"/>
          <w:rtl w:val="0"/>
          <w:lang w:val="en-US"/>
        </w:rPr>
        <w:t>Title</w:t>
      </w:r>
    </w:p>
    <w:p>
      <w:pPr>
        <w:pStyle w:val="Default"/>
        <w:shd w:val="clear" w:color="auto" w:fill="ffffff"/>
        <w:spacing w:line="480" w:lineRule="auto"/>
        <w:jc w:val="both"/>
        <w:rPr>
          <w:rFonts w:ascii="Arial" w:cs="Arial" w:hAnsi="Arial" w:eastAsia="Arial"/>
          <w:b w:val="1"/>
          <w:bCs w:val="1"/>
          <w:sz w:val="22"/>
          <w:szCs w:val="22"/>
        </w:rPr>
      </w:pPr>
      <w:r>
        <w:rPr>
          <w:rFonts w:ascii="Arial" w:hAnsi="Arial"/>
          <w:i w:val="1"/>
          <w:iCs w:val="1"/>
          <w:color w:val="2c2d30"/>
          <w:sz w:val="22"/>
          <w:szCs w:val="22"/>
          <w:u w:val="none" w:color="2c2d30"/>
          <w:rtl w:val="0"/>
          <w:lang w:val="en-US"/>
        </w:rPr>
        <w:t>Clostridium difficile</w:t>
      </w:r>
      <w:r>
        <w:rPr>
          <w:rFonts w:ascii="Arial" w:hAnsi="Arial"/>
          <w:color w:val="2c2d30"/>
          <w:sz w:val="22"/>
          <w:szCs w:val="22"/>
          <w:u w:val="none" w:color="2c2d30"/>
          <w:rtl w:val="0"/>
          <w:lang w:val="en-US"/>
        </w:rPr>
        <w:t xml:space="preserve"> colonizes alternative nutrient niches during infection across susceptible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hd w:val="clear" w:color="auto" w:fill="ffffff"/>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Young VB</w:t>
      </w:r>
      <w:r>
        <w:rPr>
          <w:rFonts w:ascii="Arial" w:hAnsi="Arial"/>
          <w:sz w:val="22"/>
          <w:szCs w:val="22"/>
          <w:vertAlign w:val="superscript"/>
          <w:rtl w:val="0"/>
          <w:lang w:val="en-US"/>
        </w:rPr>
        <w:t>1,2</w:t>
      </w:r>
      <w:r>
        <w:rPr>
          <w:rFonts w:ascii="Arial" w:hAnsi="Arial"/>
          <w:sz w:val="22"/>
          <w:szCs w:val="22"/>
          <w:rtl w:val="0"/>
          <w:lang w:val="en-US"/>
        </w:rPr>
        <w:t>, and Schloss PD</w:t>
      </w:r>
      <w:r>
        <w:rPr>
          <w:rFonts w:ascii="Arial" w:hAnsi="Arial"/>
          <w:sz w:val="22"/>
          <w:szCs w:val="22"/>
          <w:vertAlign w:val="superscript"/>
          <w:rtl w:val="0"/>
          <w:lang w:val="en-US"/>
        </w:rPr>
        <w:t>1</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2</w:t>
      </w:r>
      <w:bookmarkStart w:name="_DdeLink__1571_979451698" w:id="0"/>
      <w:r>
        <w:rPr>
          <w:rFonts w:ascii="Arial" w:hAnsi="Arial"/>
          <w:sz w:val="22"/>
          <w:szCs w:val="22"/>
          <w:rtl w:val="0"/>
          <w:lang w:val="en-US"/>
        </w:rPr>
        <w:t>. Department of Internal Medicine</w:t>
      </w:r>
      <w:bookmarkEnd w:id="0"/>
      <w:r>
        <w:rPr>
          <w:rFonts w:ascii="Arial" w:hAnsi="Arial"/>
          <w:sz w:val="22"/>
          <w:szCs w:val="22"/>
          <w:rtl w:val="0"/>
          <w:lang w:val="en-US"/>
        </w:rPr>
        <w:t>; University of Michigan Health System;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Abstract</w:t>
      </w:r>
    </w:p>
    <w:p>
      <w:pPr>
        <w:pStyle w:val="Default"/>
        <w:shd w:val="clear" w:color="auto" w:fill="ffffff"/>
        <w:spacing w:line="480" w:lineRule="auto"/>
        <w:jc w:val="both"/>
        <w:sectPr>
          <w:headerReference w:type="default" r:id="rId4"/>
          <w:footerReference w:type="default" r:id="rId5"/>
          <w:pgSz w:w="12240" w:h="15840" w:orient="portrait"/>
          <w:pgMar w:top="1134" w:right="1134" w:bottom="1134" w:left="1134" w:header="720" w:footer="720"/>
          <w:bidi w:val="1"/>
        </w:sectPr>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Fonts w:ascii="Arial" w:hAnsi="Arial"/>
          <w:i w:val="1"/>
          <w:iCs w:val="1"/>
          <w:sz w:val="22"/>
          <w:szCs w:val="22"/>
          <w:rtl w:val="0"/>
          <w:lang w:val="en-US"/>
        </w:rPr>
        <w:t>C. difficile</w:t>
      </w:r>
      <w:r>
        <w:rPr>
          <w:rFonts w:ascii="Arial" w:hAnsi="Arial"/>
          <w:sz w:val="22"/>
          <w:szCs w:val="22"/>
          <w:rtl w:val="0"/>
          <w:lang w:val="en-US"/>
        </w:rPr>
        <w:t xml:space="preserve">. In this study, we orally challenged C57BL/6 mice with </w:t>
      </w:r>
      <w:r>
        <w:rPr>
          <w:rFonts w:ascii="Arial" w:hAnsi="Arial"/>
          <w:i w:val="1"/>
          <w:iCs w:val="1"/>
          <w:sz w:val="22"/>
          <w:szCs w:val="22"/>
          <w:rtl w:val="0"/>
          <w:lang w:val="en-US"/>
        </w:rPr>
        <w:t>C. difficile</w:t>
      </w:r>
      <w:r>
        <w:rPr>
          <w:rFonts w:ascii="Arial" w:hAnsi="Arial"/>
          <w:sz w:val="22"/>
          <w:szCs w:val="22"/>
          <w:rtl w:val="0"/>
          <w:lang w:val="en-US"/>
        </w:rPr>
        <w:t xml:space="preserve"> str. 630 and demonstrated that it was able to colonize the ceca in three separate models of antibiotic induced susceptibility to the same high degree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Fonts w:ascii="Arial" w:hAnsi="Arial"/>
          <w:i w:val="1"/>
          <w:iCs w:val="1"/>
          <w:sz w:val="22"/>
          <w:szCs w:val="22"/>
          <w:rtl w:val="0"/>
          <w:lang w:val="en-US"/>
        </w:rPr>
        <w:t>C. difficile</w:t>
      </w:r>
      <w:r>
        <w:rPr>
          <w:rFonts w:ascii="Arial" w:hAnsi="Arial"/>
          <w:sz w:val="22"/>
          <w:szCs w:val="22"/>
          <w:rtl w:val="0"/>
          <w:lang w:val="en-US"/>
        </w:rPr>
        <w:t xml:space="preserve"> inhabits between susceptible gut conditions.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GI tract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Fonts w:ascii="Arial" w:hAnsi="Arial"/>
          <w:i w:val="1"/>
          <w:iCs w:val="1"/>
          <w:sz w:val="22"/>
          <w:szCs w:val="22"/>
          <w:rtl w:val="0"/>
          <w:lang w:val="en-US"/>
        </w:rPr>
        <w:t>C. difficile</w:t>
      </w:r>
      <w:r>
        <w:rPr>
          <w:rFonts w:ascii="Arial" w:hAnsi="Arial"/>
          <w:sz w:val="22"/>
          <w:szCs w:val="22"/>
          <w:rtl w:val="0"/>
          <w:lang w:val="en-US"/>
        </w:rPr>
        <w:t xml:space="preserve"> core metabolism.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cefoperazone 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transcription of virulence factors, </w:t>
      </w:r>
      <w:r>
        <w:rPr>
          <w:rFonts w:ascii="Arial" w:hAnsi="Arial"/>
          <w:i w:val="1"/>
          <w:iCs w:val="1"/>
          <w:sz w:val="22"/>
          <w:szCs w:val="22"/>
          <w:rtl w:val="0"/>
          <w:lang w:val="en-US"/>
        </w:rPr>
        <w:t xml:space="preserve">in vitro </w:t>
      </w:r>
      <w:r>
        <w:rPr>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Fonts w:ascii="Arial" w:hAnsi="Arial"/>
          <w:i w:val="1"/>
          <w:iCs w:val="1"/>
          <w:sz w:val="22"/>
          <w:szCs w:val="22"/>
          <w:rtl w:val="0"/>
          <w:lang w:val="en-US"/>
        </w:rPr>
        <w:t>C. difficile</w:t>
      </w:r>
      <w:r>
        <w:rPr>
          <w:rFonts w:ascii="Arial" w:hAnsi="Arial"/>
          <w:sz w:val="22"/>
          <w:szCs w:val="22"/>
          <w:rtl w:val="0"/>
          <w:lang w:val="en-US"/>
        </w:rPr>
        <w:t xml:space="preserve"> up-regulated several phosphotransferase systems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In contrast to these methods,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Fonts w:ascii="Arial" w:hAnsi="Arial" w:hint="default"/>
          <w:sz w:val="22"/>
          <w:szCs w:val="22"/>
          <w:rtl w:val="0"/>
          <w:lang w:val="en-US"/>
        </w:rPr>
        <w:t>’</w:t>
      </w:r>
      <w:r>
        <w:rPr>
          <w:rFonts w:ascii="Arial" w:hAnsi="Arial"/>
          <w:sz w:val="22"/>
          <w:szCs w:val="22"/>
          <w:rtl w:val="0"/>
          <w:lang w:val="en-US"/>
        </w:rPr>
        <w:t xml:space="preserve">s metabolism and which substrates are preferred by the organism (Patil, 2005; Borenstein, 2008; Suthers, 2009). Apply these methods to study </w:t>
      </w:r>
      <w:r>
        <w:rPr>
          <w:rFonts w:ascii="Arial" w:hAnsi="Arial"/>
          <w:i w:val="1"/>
          <w:iCs w:val="1"/>
          <w:sz w:val="22"/>
          <w:szCs w:val="22"/>
          <w:rtl w:val="0"/>
          <w:lang w:val="en-US"/>
        </w:rPr>
        <w:t>C. difficile</w:t>
      </w:r>
      <w:r>
        <w:rPr>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sectPr>
          <w:pgSz w:w="12240" w:h="15840" w:orient="portrait"/>
          <w:pgMar w:top="1134" w:right="1134" w:bottom="1134" w:left="1134" w:header="720" w:footer="720"/>
          <w:bidi w:val="1"/>
        </w:sectPr>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C. difficile</w:t>
      </w:r>
      <w:r>
        <w:rPr>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altered its metabolic gene expression to colonize to high levels and produce varied amounts of toxin.</w:t>
      </w: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Fonts w:ascii="Arial" w:hAnsi="Arial"/>
          <w:i w:val="1"/>
          <w:iCs w:val="1"/>
          <w:sz w:val="22"/>
          <w:szCs w:val="22"/>
          <w:rtl w:val="0"/>
          <w:lang w:val="en-US"/>
        </w:rPr>
        <w:t>p</w:t>
      </w:r>
      <w:r>
        <w:rPr>
          <w:rFonts w:ascii="Arial" w:hAnsi="Arial"/>
          <w:sz w:val="22"/>
          <w:szCs w:val="22"/>
          <w:rtl w:val="0"/>
          <w:lang w:val="en-US"/>
        </w:rPr>
        <w:t>-values &lt; 0.05; Fig. 2A). All antibiotic treated and gnotobiotic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while untreated conventionally-raised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(all </w:t>
      </w:r>
      <w:r>
        <w:rPr>
          <w:rFonts w:ascii="Arial" w:hAnsi="Arial"/>
          <w:i w:val="1"/>
          <w:iCs w:val="1"/>
          <w:sz w:val="22"/>
          <w:szCs w:val="22"/>
          <w:rtl w:val="0"/>
          <w:lang w:val="en-US"/>
        </w:rPr>
        <w:t>p</w:t>
      </w:r>
      <w:r>
        <w:rPr>
          <w:rFonts w:ascii="Arial" w:hAnsi="Arial"/>
          <w:sz w:val="22"/>
          <w:szCs w:val="22"/>
          <w:rtl w:val="0"/>
          <w:lang w:val="en-US"/>
        </w:rPr>
        <w:t xml:space="preserve">-values &lt; 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(all </w:t>
      </w:r>
      <w:r>
        <w:rPr>
          <w:rFonts w:ascii="Arial" w:hAnsi="Arial"/>
          <w:i w:val="1"/>
          <w:iCs w:val="1"/>
          <w:sz w:val="22"/>
          <w:szCs w:val="22"/>
          <w:rtl w:val="0"/>
          <w:lang w:val="en-US"/>
        </w:rPr>
        <w:t>p</w:t>
      </w:r>
      <w:r>
        <w:rPr>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 High levels of both spores and toxin titer in gnotobiotic mice is most likely due to temporal changes in infection dynamics when no other bacteria are present. Because of this, we chose to focus our analysis on the antibiotic-treated conventionally-raised mice.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adapts expression of genes for key sigma factors controlling metabolism</w:t>
      </w:r>
      <w:r>
        <w:rPr>
          <w:rFonts w:ascii="Arial" w:hAnsi="Arial"/>
          <w:b w:val="1"/>
          <w:bCs w:val="1"/>
          <w:sz w:val="22"/>
          <w:szCs w:val="22"/>
          <w:rtl w:val="0"/>
          <w:lang w:val="en-US"/>
        </w:rPr>
        <w:t>,</w:t>
      </w:r>
      <w:r>
        <w:rPr>
          <w:rFonts w:ascii="Arial" w:hAnsi="Arial"/>
          <w:b w:val="1"/>
          <w:bCs w:val="1"/>
          <w:sz w:val="22"/>
          <w:szCs w:val="22"/>
          <w:rtl w:val="0"/>
          <w:lang w:val="en-US"/>
        </w:rPr>
        <w:t xml:space="preserve"> pathogenesis</w:t>
      </w:r>
      <w:r>
        <w:rPr>
          <w:rFonts w:ascii="Arial" w:hAnsi="Arial"/>
          <w:b w:val="1"/>
          <w:bCs w:val="1"/>
          <w:sz w:val="22"/>
          <w:szCs w:val="22"/>
          <w:rtl w:val="0"/>
          <w:lang w:val="en-US"/>
        </w:rPr>
        <w:t>, quorum sensing, and sporulation</w:t>
      </w:r>
      <w:r>
        <w:rPr>
          <w:rFonts w:ascii="Arial" w:hAnsi="Arial"/>
          <w:b w:val="1"/>
          <w:bCs w:val="1"/>
          <w:sz w:val="22"/>
          <w:szCs w:val="22"/>
          <w:rtl w:val="0"/>
          <w:lang w:val="en-US"/>
        </w:rPr>
        <w:t xml:space="preserve"> across antibiotic pretreatments.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pretreatment models. To narrow our analysis of the transcriptomic data, we chose to focus on genes that code for sigma factors, sporulation, pathogenesis, and quorum sensing.</w:t>
      </w:r>
    </w:p>
    <w:p>
      <w:pPr>
        <w:pStyle w:val="Default"/>
        <w:shd w:val="clear" w:color="auto" w:fill="ffffff"/>
        <w:spacing w:line="480" w:lineRule="auto"/>
        <w:ind w:firstLine="709"/>
        <w:jc w:val="both"/>
        <w:rPr>
          <w:rFonts w:ascii="Arial" w:cs="Arial" w:hAnsi="Arial" w:eastAsia="Arial"/>
          <w:sz w:val="22"/>
          <w:szCs w:val="22"/>
        </w:rPr>
      </w:pPr>
      <w:r>
        <w:rPr>
          <w:rFonts w:ascii="Arial" w:hAnsi="Arial"/>
          <w:i w:val="1"/>
          <w:iCs w:val="1"/>
          <w:sz w:val="22"/>
          <w:szCs w:val="22"/>
          <w:rtl w:val="0"/>
          <w:lang w:val="en-US"/>
        </w:rPr>
        <w:t>C. difficile</w:t>
      </w:r>
      <w:r>
        <w:rPr>
          <w:rFonts w:ascii="Arial" w:hAnsi="Arial"/>
          <w:sz w:val="22"/>
          <w:szCs w:val="22"/>
          <w:rtl w:val="0"/>
          <w:lang w:val="en-US"/>
        </w:rPr>
        <w:t xml:space="preserve"> sigma factors are the master regulators of transcription and a subset have been shown to respond to environmental nutrient concentrations (Antunes, 2012; Fimlaid, 2013; Bouillaut, 2015; Donnelly, 2016). The global nutritional regulator </w:t>
      </w:r>
      <w:r>
        <w:rPr>
          <w:rFonts w:ascii="Arial" w:hAnsi="Arial"/>
          <w:i w:val="1"/>
          <w:iCs w:val="1"/>
          <w:sz w:val="22"/>
          <w:szCs w:val="22"/>
          <w:rtl w:val="0"/>
          <w:lang w:val="en-US"/>
        </w:rPr>
        <w:t>codY</w:t>
      </w:r>
      <w:r>
        <w:rPr>
          <w:rFonts w:ascii="Arial" w:hAnsi="Arial"/>
          <w:sz w:val="22"/>
          <w:szCs w:val="22"/>
          <w:rtl w:val="0"/>
          <w:lang w:val="en-US"/>
        </w:rPr>
        <w:t xml:space="preserve"> transcript was highly expressed in each condition, despite apparent differences in toxin and spore production (Fig. 3A). Canonically, </w:t>
      </w:r>
      <w:r>
        <w:rPr>
          <w:rFonts w:ascii="Arial" w:hAnsi="Arial"/>
          <w:i w:val="1"/>
          <w:iCs w:val="1"/>
          <w:sz w:val="22"/>
          <w:szCs w:val="22"/>
          <w:rtl w:val="0"/>
          <w:lang w:val="en-US"/>
        </w:rPr>
        <w:t>codY</w:t>
      </w:r>
      <w:r>
        <w:rPr>
          <w:rFonts w:ascii="Arial" w:hAnsi="Arial"/>
          <w:sz w:val="22"/>
          <w:szCs w:val="22"/>
          <w:rtl w:val="0"/>
          <w:lang w:val="en-US"/>
        </w:rPr>
        <w:t xml:space="preserve"> is a strong negative regulator of toxin production and sporulation and could demonstrate a more complex regulatory network as </w:t>
      </w:r>
      <w:r>
        <w:rPr>
          <w:rFonts w:ascii="Arial" w:hAnsi="Arial"/>
          <w:i w:val="1"/>
          <w:iCs w:val="1"/>
          <w:sz w:val="22"/>
          <w:szCs w:val="22"/>
          <w:rtl w:val="0"/>
          <w:lang w:val="en-US"/>
        </w:rPr>
        <w:t>C. difficile</w:t>
      </w:r>
      <w:r>
        <w:rPr>
          <w:rFonts w:ascii="Arial" w:hAnsi="Arial"/>
          <w:sz w:val="22"/>
          <w:szCs w:val="22"/>
          <w:rtl w:val="0"/>
          <w:lang w:val="en-US"/>
        </w:rPr>
        <w:t xml:space="preserve"> integrates multiple environment nutrient signals. Save for a few instances, it appeared that expression the sigma factors of interest were generally higher in cefoperazone-treated animals. The largest contrasts were seen in expression of </w:t>
      </w:r>
      <w:r>
        <w:rPr>
          <w:rFonts w:ascii="Arial" w:hAnsi="Arial"/>
          <w:i w:val="1"/>
          <w:iCs w:val="1"/>
          <w:sz w:val="22"/>
          <w:szCs w:val="22"/>
          <w:rtl w:val="0"/>
          <w:lang w:val="en-US"/>
        </w:rPr>
        <w:t>sigE</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and </w:t>
      </w:r>
      <w:r>
        <w:rPr>
          <w:rFonts w:ascii="Arial" w:hAnsi="Arial"/>
          <w:i w:val="1"/>
          <w:iCs w:val="1"/>
          <w:sz w:val="22"/>
          <w:szCs w:val="22"/>
          <w:rtl w:val="0"/>
          <w:lang w:val="en-US"/>
        </w:rPr>
        <w:t xml:space="preserve">sigK, which are involved in sporulation and </w:t>
      </w:r>
      <w:r>
        <w:rPr>
          <w:rFonts w:ascii="Arial" w:hAnsi="Arial"/>
          <w:sz w:val="22"/>
          <w:szCs w:val="22"/>
          <w:rtl w:val="0"/>
          <w:lang w:val="en-US"/>
        </w:rPr>
        <w:t>were approximately 10-fold less expressed in cefoperazone than the others. This agrees with the measured differences in CFU due to spores (Fig. 2B) where cefoperazone pretreatment resulted in delayed sporulation.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further investigate the discrepancies in sporulation, we chose to quantify specific changes in expression within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(Fig. 3B). The gene list was derived from Saujet et. al., 2014 where the authors reviewed the complex cascade of regulation that occurs as </w:t>
      </w:r>
      <w:r>
        <w:rPr>
          <w:rFonts w:ascii="Arial" w:hAnsi="Arial"/>
          <w:i w:val="1"/>
          <w:iCs w:val="1"/>
          <w:sz w:val="22"/>
          <w:szCs w:val="22"/>
          <w:rtl w:val="0"/>
          <w:lang w:val="en-US"/>
        </w:rPr>
        <w:t>C. difficile</w:t>
      </w:r>
      <w:r>
        <w:rPr>
          <w:rFonts w:ascii="Arial" w:hAnsi="Arial"/>
          <w:sz w:val="22"/>
          <w:szCs w:val="22"/>
          <w:rtl w:val="0"/>
          <w:lang w:val="en-US"/>
        </w:rPr>
        <w:t xml:space="preserve"> completes the steps of sporulation. The resulting profiles further support regulation differences across environments in which the pathogen has colonized. A striking difference was that in Cefoperzone treated animals, </w:t>
      </w:r>
      <w:r>
        <w:rPr>
          <w:rFonts w:ascii="Arial" w:hAnsi="Arial"/>
          <w:i w:val="1"/>
          <w:iCs w:val="1"/>
          <w:sz w:val="22"/>
          <w:szCs w:val="22"/>
          <w:rtl w:val="0"/>
          <w:lang w:val="en-US"/>
        </w:rPr>
        <w:t>C. difficile</w:t>
      </w:r>
      <w:r>
        <w:rPr>
          <w:rFonts w:ascii="Arial" w:hAnsi="Arial"/>
          <w:sz w:val="22"/>
          <w:szCs w:val="22"/>
          <w:rtl w:val="0"/>
          <w:lang w:val="en-US"/>
        </w:rPr>
        <w:t xml:space="preserve"> highly expresses a number of putative anti-sigma factors including </w:t>
      </w:r>
      <w:r>
        <w:rPr>
          <w:rFonts w:ascii="Arial" w:hAnsi="Arial"/>
          <w:i w:val="1"/>
          <w:iCs w:val="1"/>
          <w:sz w:val="22"/>
          <w:szCs w:val="22"/>
          <w:rtl w:val="0"/>
          <w:lang w:val="en-US"/>
        </w:rPr>
        <w:t>spoIIAA,</w:t>
      </w:r>
      <w:r>
        <w:rPr>
          <w:rFonts w:ascii="Arial" w:hAnsi="Arial"/>
          <w:sz w:val="22"/>
          <w:szCs w:val="22"/>
          <w:rtl w:val="0"/>
          <w:lang w:val="en-US"/>
        </w:rPr>
        <w:t xml:space="preserve"> </w:t>
      </w:r>
      <w:r>
        <w:rPr>
          <w:rFonts w:ascii="Arial" w:hAnsi="Arial"/>
          <w:i w:val="1"/>
          <w:iCs w:val="1"/>
          <w:sz w:val="22"/>
          <w:szCs w:val="22"/>
          <w:rtl w:val="0"/>
          <w:lang w:val="en-US"/>
        </w:rPr>
        <w:t>spoIIAB,</w:t>
      </w:r>
      <w:r>
        <w:rPr>
          <w:rFonts w:ascii="Arial" w:hAnsi="Arial"/>
          <w:sz w:val="22"/>
          <w:szCs w:val="22"/>
          <w:rtl w:val="0"/>
          <w:lang w:val="en-US"/>
        </w:rPr>
        <w:t xml:space="preserve"> and </w:t>
      </w:r>
      <w:r>
        <w:rPr>
          <w:rFonts w:ascii="Arial" w:hAnsi="Arial"/>
          <w:i w:val="1"/>
          <w:iCs w:val="1"/>
          <w:sz w:val="22"/>
          <w:szCs w:val="22"/>
          <w:rtl w:val="0"/>
          <w:lang w:val="en-US"/>
        </w:rPr>
        <w:t>spoVG</w:t>
      </w:r>
      <w:r>
        <w:rPr>
          <w:rFonts w:ascii="Arial" w:hAnsi="Arial"/>
          <w:sz w:val="22"/>
          <w:szCs w:val="22"/>
          <w:rtl w:val="0"/>
          <w:lang w:val="en-US"/>
        </w:rPr>
        <w:t xml:space="preserve"> involved in suppressing other sporulation-related gene expression (Matsuno, 1999). This pattern was not seen in either Streptomycin or Clindamycin pretreatments, possibly explaining the observed differences in spore CFU. Instead, these conditions induced expression of genes for spore coat components, coat assembly, and spore morphogenesis (including </w:t>
      </w:r>
      <w:r>
        <w:rPr>
          <w:rFonts w:ascii="Arial" w:hAnsi="Arial"/>
          <w:i w:val="1"/>
          <w:iCs w:val="1"/>
          <w:sz w:val="22"/>
          <w:szCs w:val="22"/>
          <w:rtl w:val="0"/>
          <w:lang w:val="en-US"/>
        </w:rPr>
        <w:t>cotD</w:t>
      </w:r>
      <w:r>
        <w:rPr>
          <w:rFonts w:ascii="Arial" w:hAnsi="Arial"/>
          <w:sz w:val="22"/>
          <w:szCs w:val="22"/>
          <w:rtl w:val="0"/>
          <w:lang w:val="en-US"/>
        </w:rPr>
        <w:t xml:space="preserve">, </w:t>
      </w:r>
      <w:r>
        <w:rPr>
          <w:rFonts w:ascii="Arial" w:hAnsi="Arial"/>
          <w:i w:val="1"/>
          <w:iCs w:val="1"/>
          <w:sz w:val="22"/>
          <w:szCs w:val="22"/>
          <w:rtl w:val="0"/>
          <w:lang w:val="en-US"/>
        </w:rPr>
        <w:t>cotJB2</w:t>
      </w:r>
      <w:r>
        <w:rPr>
          <w:rFonts w:ascii="Arial" w:hAnsi="Arial"/>
          <w:sz w:val="22"/>
          <w:szCs w:val="22"/>
          <w:rtl w:val="0"/>
          <w:lang w:val="en-US"/>
        </w:rPr>
        <w:t xml:space="preserve">, </w:t>
      </w:r>
      <w:r>
        <w:rPr>
          <w:rFonts w:ascii="Arial" w:hAnsi="Arial"/>
          <w:i w:val="1"/>
          <w:iCs w:val="1"/>
          <w:sz w:val="22"/>
          <w:szCs w:val="22"/>
          <w:rtl w:val="0"/>
          <w:lang w:val="en-US"/>
        </w:rPr>
        <w:t>dpaA</w:t>
      </w:r>
      <w:r>
        <w:rPr>
          <w:rFonts w:ascii="Arial" w:hAnsi="Arial"/>
          <w:sz w:val="22"/>
          <w:szCs w:val="22"/>
          <w:rtl w:val="0"/>
          <w:lang w:val="en-US"/>
        </w:rPr>
        <w:t xml:space="preserve">, </w:t>
      </w:r>
      <w:r>
        <w:rPr>
          <w:rFonts w:ascii="Arial" w:hAnsi="Arial"/>
          <w:i w:val="1"/>
          <w:iCs w:val="1"/>
          <w:sz w:val="22"/>
          <w:szCs w:val="22"/>
          <w:rtl w:val="0"/>
          <w:lang w:val="en-US"/>
        </w:rPr>
        <w:t>gpr</w:t>
      </w:r>
      <w:r>
        <w:rPr>
          <w:rFonts w:ascii="Arial" w:hAnsi="Arial"/>
          <w:sz w:val="22"/>
          <w:szCs w:val="22"/>
          <w:rtl w:val="0"/>
          <w:lang w:val="en-US"/>
        </w:rPr>
        <w:t xml:space="preserve">, </w:t>
      </w:r>
      <w:r>
        <w:rPr>
          <w:rFonts w:ascii="Arial" w:hAnsi="Arial"/>
          <w:i w:val="1"/>
          <w:iCs w:val="1"/>
          <w:sz w:val="22"/>
          <w:szCs w:val="22"/>
          <w:rtl w:val="0"/>
          <w:lang w:val="en-US"/>
        </w:rPr>
        <w:t>sodA</w:t>
      </w:r>
      <w:r>
        <w:rPr>
          <w:rFonts w:ascii="Arial" w:hAnsi="Arial"/>
          <w:sz w:val="22"/>
          <w:szCs w:val="22"/>
          <w:rtl w:val="0"/>
          <w:lang w:val="en-US"/>
        </w:rPr>
        <w:t xml:space="preserve">,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sspB</w:t>
      </w:r>
      <w:r>
        <w:rPr>
          <w:rFonts w:ascii="Arial" w:hAnsi="Arial"/>
          <w:sz w:val="22"/>
          <w:szCs w:val="22"/>
          <w:rtl w:val="0"/>
          <w:lang w:val="en-US"/>
        </w:rPr>
        <w:t xml:space="preserve">), all associated with later sporulation stages (Permpoonpattan, 2013). These results further reinforce the connections previously made to the differences seen in spore-specific CFU quantification. Along with sporulation, expression of PaLoc genes has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(Fig. 3C). We found approximately 3-fold higher expression of the toxin A gene, </w:t>
      </w:r>
      <w:r>
        <w:rPr>
          <w:rFonts w:ascii="Arial" w:hAnsi="Arial"/>
          <w:i w:val="1"/>
          <w:iCs w:val="1"/>
          <w:sz w:val="22"/>
          <w:szCs w:val="22"/>
          <w:rtl w:val="0"/>
          <w:lang w:val="en-US"/>
        </w:rPr>
        <w:t>tcdA</w:t>
      </w:r>
      <w:r>
        <w:rPr>
          <w:rFonts w:ascii="Arial" w:hAnsi="Arial"/>
          <w:sz w:val="22"/>
          <w:szCs w:val="22"/>
          <w:rtl w:val="0"/>
          <w:lang w:val="en-US"/>
        </w:rPr>
        <w:t xml:space="preserve">, than the toxin B gene, </w:t>
      </w:r>
      <w:r>
        <w:rPr>
          <w:rFonts w:ascii="Arial" w:hAnsi="Arial"/>
          <w:i w:val="1"/>
          <w:iCs w:val="1"/>
          <w:sz w:val="22"/>
          <w:szCs w:val="22"/>
          <w:rtl w:val="0"/>
          <w:lang w:val="en-US"/>
        </w:rPr>
        <w:t>tcdB</w:t>
      </w:r>
      <w:r>
        <w:rPr>
          <w:rFonts w:ascii="Arial" w:hAnsi="Arial"/>
          <w:sz w:val="22"/>
          <w:szCs w:val="22"/>
          <w:rtl w:val="0"/>
          <w:lang w:val="en-US"/>
        </w:rPr>
        <w:t xml:space="preserve">, across all pretreatments. This relationship has long been known to exist at least </w:t>
      </w:r>
      <w:r>
        <w:rPr>
          <w:rFonts w:ascii="Arial" w:hAnsi="Arial"/>
          <w:i w:val="1"/>
          <w:iCs w:val="1"/>
          <w:sz w:val="22"/>
          <w:szCs w:val="22"/>
          <w:rtl w:val="0"/>
          <w:lang w:val="en-US"/>
        </w:rPr>
        <w:t>in vitro</w:t>
      </w:r>
      <w:r>
        <w:rPr>
          <w:rFonts w:ascii="Arial" w:hAnsi="Arial"/>
          <w:sz w:val="22"/>
          <w:szCs w:val="22"/>
          <w:rtl w:val="0"/>
          <w:lang w:val="en-US"/>
        </w:rPr>
        <w:t xml:space="preserve"> with another strain of </w:t>
      </w:r>
      <w:r>
        <w:rPr>
          <w:rFonts w:ascii="Arial" w:hAnsi="Arial"/>
          <w:i w:val="1"/>
          <w:iCs w:val="1"/>
          <w:sz w:val="22"/>
          <w:szCs w:val="22"/>
          <w:rtl w:val="0"/>
          <w:lang w:val="en-US"/>
        </w:rPr>
        <w:t>C. difficile</w:t>
      </w:r>
      <w:r>
        <w:rPr>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r>
        <w:rPr>
          <w:rFonts w:ascii="Arial" w:hAnsi="Arial"/>
          <w:i w:val="1"/>
          <w:iCs w:val="1"/>
          <w:sz w:val="22"/>
          <w:szCs w:val="22"/>
          <w:rtl w:val="0"/>
          <w:lang w:val="en-US"/>
        </w:rPr>
        <w:t>tcdC</w:t>
      </w:r>
      <w:r>
        <w:rPr>
          <w:rFonts w:ascii="Arial" w:hAnsi="Arial"/>
          <w:sz w:val="22"/>
          <w:szCs w:val="22"/>
          <w:rtl w:val="0"/>
          <w:lang w:val="en-US"/>
        </w:rPr>
        <w:t xml:space="preserve"> (negatively regulating anti-sigma factor) and </w:t>
      </w:r>
      <w:r>
        <w:rPr>
          <w:rFonts w:ascii="Arial" w:hAnsi="Arial"/>
          <w:i w:val="1"/>
          <w:iCs w:val="1"/>
          <w:sz w:val="22"/>
          <w:szCs w:val="22"/>
          <w:rtl w:val="0"/>
          <w:lang w:val="en-US"/>
        </w:rPr>
        <w:t>tcdR</w:t>
      </w:r>
      <w:r>
        <w:rPr>
          <w:rFonts w:ascii="Arial" w:hAnsi="Arial"/>
          <w:sz w:val="22"/>
          <w:szCs w:val="22"/>
          <w:rtl w:val="0"/>
          <w:lang w:val="en-US"/>
        </w:rPr>
        <w:t xml:space="preserve"> (positive regulating sigma factor) (Carter, 2012). Between both genes, only </w:t>
      </w:r>
      <w:r>
        <w:rPr>
          <w:rFonts w:ascii="Arial" w:hAnsi="Arial"/>
          <w:i w:val="1"/>
          <w:iCs w:val="1"/>
          <w:sz w:val="22"/>
          <w:szCs w:val="22"/>
          <w:rtl w:val="0"/>
          <w:lang w:val="en-US"/>
        </w:rPr>
        <w:t>tcdC</w:t>
      </w:r>
      <w:r>
        <w:rPr>
          <w:rFonts w:ascii="Arial" w:hAnsi="Arial"/>
          <w:sz w:val="22"/>
          <w:szCs w:val="22"/>
          <w:rtl w:val="0"/>
          <w:lang w:val="en-US"/>
        </w:rPr>
        <w:t xml:space="preserve"> transcript was detectable at 10-fold greater abundance than that of </w:t>
      </w:r>
      <w:r>
        <w:rPr>
          <w:rFonts w:ascii="Arial" w:hAnsi="Arial"/>
          <w:i w:val="1"/>
          <w:iCs w:val="1"/>
          <w:sz w:val="22"/>
          <w:szCs w:val="22"/>
          <w:rtl w:val="0"/>
          <w:lang w:val="en-US"/>
        </w:rPr>
        <w:t>tcdR</w:t>
      </w:r>
      <w:r>
        <w:rPr>
          <w:rFonts w:ascii="Arial" w:hAnsi="Arial"/>
          <w:sz w:val="22"/>
          <w:szCs w:val="22"/>
          <w:rtl w:val="0"/>
          <w:lang w:val="en-US"/>
        </w:rPr>
        <w:t xml:space="preserve"> across all groups. This was interesting as toxin activity was detectable in each condition, but only the negative regulator of toxin expression was seen implying a more complex regulation of toxin production than this mechanism alone. Finally </w:t>
      </w:r>
      <w:r>
        <w:rPr>
          <w:rFonts w:ascii="Arial" w:hAnsi="Arial"/>
          <w:i w:val="1"/>
          <w:iCs w:val="1"/>
          <w:sz w:val="22"/>
          <w:szCs w:val="22"/>
          <w:rtl w:val="0"/>
          <w:lang w:val="en-US"/>
        </w:rPr>
        <w:t>tcdE</w:t>
      </w:r>
      <w:r>
        <w:rPr>
          <w:rFonts w:ascii="Arial" w:hAnsi="Arial"/>
          <w:sz w:val="22"/>
          <w:szCs w:val="22"/>
          <w:rtl w:val="0"/>
          <w:lang w:val="en-US"/>
        </w:rPr>
        <w:t xml:space="preserve">, the gene for a holin-like protein associated with </w:t>
      </w:r>
      <w:r>
        <w:rPr>
          <w:rFonts w:ascii="Arial" w:hAnsi="Arial"/>
          <w:i w:val="1"/>
          <w:iCs w:val="1"/>
          <w:sz w:val="22"/>
          <w:szCs w:val="22"/>
          <w:rtl w:val="0"/>
          <w:lang w:val="en-US"/>
        </w:rPr>
        <w:t>C. difficile</w:t>
      </w:r>
      <w:r>
        <w:rPr>
          <w:rFonts w:ascii="Arial" w:hAnsi="Arial"/>
          <w:sz w:val="22"/>
          <w:szCs w:val="22"/>
          <w:rtl w:val="0"/>
          <w:lang w:val="en-US"/>
        </w:rPr>
        <w:t xml:space="preserve"> toxin secretion, was only detectable in cefoperazone pretreatment.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Fonts w:ascii="Arial" w:cs="Arial" w:hAnsi="Arial" w:eastAsia="Arial"/>
          <w:sz w:val="22"/>
          <w:szCs w:val="22"/>
          <w:rtl w:val="0"/>
        </w:rPr>
        <w:tab/>
        <w:t xml:space="preserve">In the context of similar colonization, spore, and toxin levels, differential expression of genes for sigma factors and sporulation suggest that </w:t>
      </w:r>
      <w:r>
        <w:rPr>
          <w:rFonts w:ascii="Arial" w:hAnsi="Arial"/>
          <w:i w:val="1"/>
          <w:iCs w:val="1"/>
          <w:sz w:val="22"/>
          <w:szCs w:val="22"/>
          <w:rtl w:val="0"/>
          <w:lang w:val="en-US"/>
        </w:rPr>
        <w:t>C. difficile</w:t>
      </w:r>
      <w:r>
        <w:rPr>
          <w:rFonts w:ascii="Arial" w:hAnsi="Arial"/>
          <w:sz w:val="22"/>
          <w:szCs w:val="22"/>
          <w:rtl w:val="0"/>
          <w:lang w:val="en-US"/>
        </w:rPr>
        <w:t xml:space="preserve"> is adapting to environmental nutrient concentrations. To test this further, we identified gene sets based on established </w:t>
      </w:r>
      <w:r>
        <w:rPr>
          <w:rFonts w:ascii="Arial" w:hAnsi="Arial"/>
          <w:i w:val="1"/>
          <w:iCs w:val="1"/>
          <w:sz w:val="22"/>
          <w:szCs w:val="22"/>
          <w:rtl w:val="0"/>
          <w:lang w:val="en-US"/>
        </w:rPr>
        <w:t>C. difficile</w:t>
      </w:r>
      <w:r>
        <w:rPr>
          <w:rFonts w:ascii="Arial" w:hAnsi="Arial"/>
          <w:sz w:val="22"/>
          <w:szCs w:val="22"/>
          <w:rtl w:val="0"/>
          <w:lang w:val="en-US"/>
        </w:rPr>
        <w:t xml:space="preserve"> metabolism and quantified the differential expression of genes in each gene set (Fig. 2). Although we observed overlap in the levels of expression of metabolic gene-sets, the largest differences were observed in carbohydrate metabolism. Among the genes classified as sugar transporters, those that are PTS transporters (Fig. 4A) were overrepresented in the clindamycin and streptomycin-treated mice and ABC sugar transporters (Fig. 4B) were overrepresented in the cefoparazone-treated mice. Sugar alcohol catabolism genes were absent from clindamycin-treated mice and expression of genes for mannitol utilization (</w:t>
      </w:r>
      <w:r>
        <w:rPr>
          <w:rFonts w:ascii="Arial" w:hAnsi="Arial"/>
          <w:i w:val="1"/>
          <w:iCs w:val="1"/>
          <w:sz w:val="22"/>
          <w:szCs w:val="22"/>
          <w:rtl w:val="0"/>
          <w:lang w:val="en-US"/>
        </w:rPr>
        <w:t>mtl</w:t>
      </w:r>
      <w:r>
        <w:rPr>
          <w:rFonts w:ascii="Arial" w:hAnsi="Arial"/>
          <w:sz w:val="22"/>
          <w:szCs w:val="22"/>
          <w:rtl w:val="0"/>
          <w:lang w:val="en-US"/>
        </w:rPr>
        <w:t xml:space="preserve"> operon) were overrepresented in cefoparazone-treated mice and expression of genes for sorbitol utilization (</w:t>
      </w:r>
      <w:r>
        <w:rPr>
          <w:rFonts w:ascii="Arial" w:hAnsi="Arial"/>
          <w:i w:val="1"/>
          <w:iCs w:val="1"/>
          <w:sz w:val="22"/>
          <w:szCs w:val="22"/>
          <w:rtl w:val="0"/>
          <w:lang w:val="en-US"/>
        </w:rPr>
        <w:t>srl</w:t>
      </w:r>
      <w:r>
        <w:rPr>
          <w:rFonts w:ascii="Arial" w:hAnsi="Arial"/>
          <w:sz w:val="22"/>
          <w:szCs w:val="22"/>
          <w:rtl w:val="0"/>
          <w:lang w:val="en-US"/>
        </w:rPr>
        <w:t xml:space="preserve"> operon) were overrepresented in streptomycin-treated mice</w:t>
      </w:r>
      <w:r>
        <w:rPr>
          <w:rtl w:val="0"/>
          <w:lang w:val="en-US"/>
        </w:rPr>
        <w:t xml:space="preserve"> </w:t>
      </w:r>
      <w:r>
        <w:rPr>
          <w:rFonts w:ascii="Arial" w:hAnsi="Arial"/>
          <w:sz w:val="22"/>
          <w:szCs w:val="22"/>
          <w:rtl w:val="0"/>
          <w:lang w:val="en-US"/>
        </w:rPr>
        <w:t>(Fig. 4C). Monosaccharide catabolism includes genes for the steps involved in glycolysis as well as several genes that mediate entry points of a number of monosaccharides to this pathway</w:t>
      </w:r>
      <w:r>
        <w:rPr>
          <w:rtl w:val="0"/>
          <w:lang w:val="en-US"/>
        </w:rPr>
        <w:t xml:space="preserve"> </w:t>
      </w:r>
      <w:r>
        <w:rPr>
          <w:rFonts w:ascii="Arial" w:hAnsi="Arial"/>
          <w:sz w:val="22"/>
          <w:szCs w:val="22"/>
          <w:rtl w:val="0"/>
          <w:lang w:val="en-US"/>
        </w:rPr>
        <w:t>(Fig. 4D). Transcripts for several genes in glycolysis (</w:t>
      </w:r>
      <w:r>
        <w:rPr>
          <w:rFonts w:ascii="Arial" w:hAnsi="Arial"/>
          <w:i w:val="1"/>
          <w:iCs w:val="1"/>
          <w:sz w:val="22"/>
          <w:szCs w:val="22"/>
          <w:rtl w:val="0"/>
          <w:lang w:val="en-US"/>
        </w:rPr>
        <w:t>eno</w:t>
      </w:r>
      <w:r>
        <w:rPr>
          <w:rFonts w:ascii="Arial" w:hAnsi="Arial"/>
          <w:sz w:val="22"/>
          <w:szCs w:val="22"/>
          <w:rtl w:val="0"/>
          <w:lang w:val="en-US"/>
        </w:rPr>
        <w:t xml:space="preserve">, </w:t>
      </w:r>
      <w:r>
        <w:rPr>
          <w:rFonts w:ascii="Arial" w:hAnsi="Arial"/>
          <w:i w:val="1"/>
          <w:iCs w:val="1"/>
          <w:sz w:val="22"/>
          <w:szCs w:val="22"/>
          <w:rtl w:val="0"/>
          <w:lang w:val="en-US"/>
        </w:rPr>
        <w:t>gapA</w:t>
      </w:r>
      <w:r>
        <w:rPr>
          <w:rFonts w:ascii="Arial" w:hAnsi="Arial"/>
          <w:sz w:val="22"/>
          <w:szCs w:val="22"/>
          <w:rtl w:val="0"/>
          <w:lang w:val="en-US"/>
        </w:rPr>
        <w:t xml:space="preserve">, </w:t>
      </w:r>
      <w:r>
        <w:rPr>
          <w:rFonts w:ascii="Arial" w:hAnsi="Arial"/>
          <w:i w:val="1"/>
          <w:iCs w:val="1"/>
          <w:sz w:val="22"/>
          <w:szCs w:val="22"/>
          <w:rtl w:val="0"/>
          <w:lang w:val="en-US"/>
        </w:rPr>
        <w:t>gpmI</w:t>
      </w:r>
      <w:r>
        <w:rPr>
          <w:rFonts w:ascii="Arial" w:hAnsi="Arial"/>
          <w:sz w:val="22"/>
          <w:szCs w:val="22"/>
          <w:rtl w:val="0"/>
          <w:lang w:val="en-US"/>
        </w:rPr>
        <w:t xml:space="preserve">, </w:t>
      </w:r>
      <w:r>
        <w:rPr>
          <w:rFonts w:ascii="Arial" w:hAnsi="Arial"/>
          <w:i w:val="1"/>
          <w:iCs w:val="1"/>
          <w:sz w:val="22"/>
          <w:szCs w:val="22"/>
          <w:rtl w:val="0"/>
          <w:lang w:val="en-US"/>
        </w:rPr>
        <w:t>tpi</w:t>
      </w:r>
      <w:r>
        <w:rPr>
          <w:rFonts w:ascii="Arial" w:hAnsi="Arial"/>
          <w:sz w:val="22"/>
          <w:szCs w:val="22"/>
          <w:rtl w:val="0"/>
          <w:lang w:val="en-US"/>
        </w:rPr>
        <w:t xml:space="preserve">, and </w:t>
      </w:r>
      <w:r>
        <w:rPr>
          <w:rFonts w:ascii="Arial" w:hAnsi="Arial"/>
          <w:i w:val="1"/>
          <w:iCs w:val="1"/>
          <w:sz w:val="22"/>
          <w:szCs w:val="22"/>
          <w:rtl w:val="0"/>
          <w:lang w:val="en-US"/>
        </w:rPr>
        <w:t>pyk</w:t>
      </w:r>
      <w:r>
        <w:rPr>
          <w:rFonts w:ascii="Arial" w:hAnsi="Arial"/>
          <w:sz w:val="22"/>
          <w:szCs w:val="22"/>
          <w:rtl w:val="0"/>
          <w:lang w:val="en-US"/>
        </w:rPr>
        <w:t xml:space="preserve">) were overrepresented in cefoparazone-treated mice, however </w:t>
      </w:r>
      <w:r>
        <w:rPr>
          <w:rFonts w:ascii="Arial" w:hAnsi="Arial"/>
          <w:i w:val="1"/>
          <w:iCs w:val="1"/>
          <w:sz w:val="22"/>
          <w:szCs w:val="22"/>
          <w:rtl w:val="0"/>
          <w:lang w:val="en-US"/>
        </w:rPr>
        <w:t>fruK</w:t>
      </w:r>
      <w:r>
        <w:rPr>
          <w:rFonts w:ascii="Arial" w:hAnsi="Arial"/>
          <w:sz w:val="22"/>
          <w:szCs w:val="22"/>
          <w:rtl w:val="0"/>
          <w:lang w:val="en-US"/>
        </w:rPr>
        <w:t xml:space="preserve"> is overrepresented in streptomycin-treated mice and catalyzes the committed step of glycolysis. Short chain fatty acids (SCFAs) and alcohols are the end products of both carbohydrate and amino acid fermentation in </w:t>
      </w:r>
      <w:r>
        <w:rPr>
          <w:rFonts w:ascii="Arial" w:hAnsi="Arial"/>
          <w:i w:val="1"/>
          <w:iCs w:val="1"/>
          <w:sz w:val="22"/>
          <w:szCs w:val="22"/>
          <w:rtl w:val="0"/>
          <w:lang w:val="en-US"/>
        </w:rPr>
        <w:t>C. difficile</w:t>
      </w:r>
      <w:r>
        <w:rPr>
          <w:rFonts w:ascii="Arial" w:hAnsi="Arial"/>
          <w:sz w:val="22"/>
          <w:szCs w:val="22"/>
          <w:rtl w:val="0"/>
          <w:lang w:val="en-US"/>
        </w:rPr>
        <w:t xml:space="preserve"> under different conditions</w:t>
      </w:r>
      <w:r>
        <w:rPr>
          <w:rtl w:val="0"/>
          <w:lang w:val="en-US"/>
        </w:rPr>
        <w:t xml:space="preserve"> </w:t>
      </w:r>
      <w:r>
        <w:rPr>
          <w:rFonts w:ascii="Arial" w:hAnsi="Arial"/>
          <w:sz w:val="22"/>
          <w:szCs w:val="22"/>
          <w:rtl w:val="0"/>
          <w:lang w:val="en-US"/>
        </w:rPr>
        <w:t xml:space="preserve">(Fig. 4E). Transcripts for genes involved in </w:t>
      </w:r>
      <w:r>
        <w:rPr>
          <w:rFonts w:ascii="Arial" w:hAnsi="Arial"/>
          <w:i w:val="1"/>
          <w:iCs w:val="1"/>
          <w:sz w:val="22"/>
          <w:szCs w:val="22"/>
          <w:rtl w:val="0"/>
          <w:lang w:val="en-US"/>
        </w:rPr>
        <w:t>C. difficile</w:t>
      </w:r>
      <w:r>
        <w:rPr>
          <w:rFonts w:ascii="Arial" w:hAnsi="Arial"/>
          <w:sz w:val="22"/>
          <w:szCs w:val="22"/>
          <w:rtl w:val="0"/>
          <w:lang w:val="en-US"/>
        </w:rPr>
        <w:t xml:space="preserve"> butyrate/butanol metabolism (</w:t>
      </w:r>
      <w:r>
        <w:rPr>
          <w:rFonts w:ascii="Arial" w:hAnsi="Arial"/>
          <w:i w:val="1"/>
          <w:iCs w:val="1"/>
          <w:sz w:val="22"/>
          <w:szCs w:val="22"/>
          <w:rtl w:val="0"/>
          <w:lang w:val="en-US"/>
        </w:rPr>
        <w:t>ptb</w:t>
      </w:r>
      <w:r>
        <w:rPr>
          <w:rFonts w:ascii="Arial" w:hAnsi="Arial"/>
          <w:sz w:val="22"/>
          <w:szCs w:val="22"/>
          <w:rtl w:val="0"/>
          <w:lang w:val="en-US"/>
        </w:rPr>
        <w:t xml:space="preserve">, </w:t>
      </w:r>
      <w:r>
        <w:rPr>
          <w:rFonts w:ascii="Arial" w:hAnsi="Arial"/>
          <w:i w:val="1"/>
          <w:iCs w:val="1"/>
          <w:sz w:val="22"/>
          <w:szCs w:val="22"/>
          <w:rtl w:val="0"/>
          <w:lang w:val="en-US"/>
        </w:rPr>
        <w:t>buk1</w:t>
      </w:r>
      <w:r>
        <w:rPr>
          <w:rFonts w:ascii="Arial" w:hAnsi="Arial"/>
          <w:sz w:val="22"/>
          <w:szCs w:val="22"/>
          <w:rtl w:val="0"/>
          <w:lang w:val="en-US"/>
        </w:rPr>
        <w:t xml:space="preserve">, </w:t>
      </w:r>
      <w:r>
        <w:rPr>
          <w:rFonts w:ascii="Arial" w:hAnsi="Arial"/>
          <w:i w:val="1"/>
          <w:iCs w:val="1"/>
          <w:sz w:val="22"/>
          <w:szCs w:val="22"/>
          <w:rtl w:val="0"/>
          <w:lang w:val="en-US"/>
        </w:rPr>
        <w:t>cat2</w:t>
      </w:r>
      <w:r>
        <w:rPr>
          <w:rFonts w:ascii="Arial" w:hAnsi="Arial"/>
          <w:sz w:val="22"/>
          <w:szCs w:val="22"/>
          <w:rtl w:val="0"/>
          <w:lang w:val="en-US"/>
        </w:rPr>
        <w:t xml:space="preserve">, and </w:t>
      </w:r>
      <w:bookmarkStart w:name="_DdeLink__1230_954670323" w:id="1"/>
      <w:r>
        <w:rPr>
          <w:rFonts w:ascii="Arial" w:hAnsi="Arial"/>
          <w:i w:val="1"/>
          <w:iCs w:val="1"/>
          <w:sz w:val="22"/>
          <w:szCs w:val="22"/>
          <w:rtl w:val="0"/>
          <w:lang w:val="en-US"/>
        </w:rPr>
        <w:t>adhE</w:t>
      </w:r>
      <w:bookmarkEnd w:id="1"/>
      <w:r>
        <w:rPr>
          <w:rFonts w:ascii="Arial" w:hAnsi="Arial"/>
          <w:sz w:val="22"/>
          <w:szCs w:val="22"/>
          <w:rtl w:val="0"/>
          <w:lang w:val="en-US"/>
        </w:rPr>
        <w:t>) in addition to those for common plant polysaccharide degradation genes (</w:t>
      </w:r>
      <w:r>
        <w:rPr>
          <w:rFonts w:ascii="Arial" w:hAnsi="Arial"/>
          <w:i w:val="1"/>
          <w:iCs w:val="1"/>
          <w:sz w:val="22"/>
          <w:szCs w:val="22"/>
          <w:rtl w:val="0"/>
          <w:lang w:val="en-US"/>
        </w:rPr>
        <w:t>aglB</w:t>
      </w:r>
      <w:r>
        <w:rPr>
          <w:rFonts w:ascii="Arial" w:hAnsi="Arial"/>
          <w:sz w:val="22"/>
          <w:szCs w:val="22"/>
          <w:rtl w:val="0"/>
          <w:lang w:val="en-US"/>
        </w:rPr>
        <w:t xml:space="preserve"> and </w:t>
      </w:r>
      <w:r>
        <w:rPr>
          <w:rFonts w:ascii="Arial" w:hAnsi="Arial"/>
          <w:i w:val="1"/>
          <w:iCs w:val="1"/>
          <w:sz w:val="22"/>
          <w:szCs w:val="22"/>
          <w:rtl w:val="0"/>
          <w:lang w:val="en-US"/>
        </w:rPr>
        <w:t>bglA</w:t>
      </w:r>
      <w:r>
        <w:rPr>
          <w:rFonts w:ascii="Arial" w:hAnsi="Arial"/>
          <w:sz w:val="22"/>
          <w:szCs w:val="22"/>
          <w:rtl w:val="0"/>
          <w:lang w:val="en-US"/>
        </w:rPr>
        <w:t xml:space="preserve">) were overrepresented in clindamycin-treated mice (Fig. 4F). Overall, these results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rPr>
          <w:rFonts w:ascii="Arial" w:cs="Arial" w:hAnsi="Arial" w:eastAsia="Arial"/>
          <w:sz w:val="22"/>
          <w:szCs w:val="22"/>
        </w:rPr>
      </w:pPr>
      <w:r>
        <w:tab/>
      </w:r>
      <w:r>
        <w:rPr>
          <w:rFonts w:ascii="Arial" w:hAnsi="Arial"/>
          <w:sz w:val="22"/>
          <w:szCs w:val="22"/>
          <w:rtl w:val="0"/>
          <w:lang w:val="en-US"/>
        </w:rPr>
        <w:t>Conversely, the expression of genes associated with amino acid catabolism were consistently expressed at relatively equal levels across the conditions (Fig. 4G).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 xml:space="preserve">prd </w:t>
      </w:r>
      <w:r>
        <w:rPr>
          <w:rFonts w:ascii="Arial" w:hAnsi="Arial"/>
          <w:sz w:val="22"/>
          <w:szCs w:val="22"/>
          <w:rtl w:val="0"/>
          <w:lang w:val="en-US"/>
        </w:rPr>
        <w:t>loci)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Fonts w:ascii="Arial" w:hAnsi="Arial"/>
          <w:i w:val="1"/>
          <w:iCs w:val="1"/>
          <w:sz w:val="22"/>
          <w:szCs w:val="22"/>
          <w:rtl w:val="0"/>
          <w:lang w:val="en-US"/>
        </w:rPr>
        <w:t>glm</w:t>
      </w:r>
      <w:r>
        <w:rPr>
          <w:rFonts w:ascii="Arial" w:hAnsi="Arial"/>
          <w:sz w:val="22"/>
          <w:szCs w:val="22"/>
          <w:rtl w:val="0"/>
          <w:lang w:val="en-US"/>
        </w:rPr>
        <w:t xml:space="preserve">, </w:t>
      </w:r>
      <w:r>
        <w:rPr>
          <w:rFonts w:ascii="Arial" w:hAnsi="Arial"/>
          <w:i w:val="1"/>
          <w:iCs w:val="1"/>
          <w:sz w:val="22"/>
          <w:szCs w:val="22"/>
          <w:rtl w:val="0"/>
          <w:lang w:val="en-US"/>
        </w:rPr>
        <w:t>nan</w:t>
      </w:r>
      <w:r>
        <w:rPr>
          <w:rFonts w:ascii="Arial" w:hAnsi="Arial"/>
          <w:sz w:val="22"/>
          <w:szCs w:val="22"/>
          <w:rtl w:val="0"/>
          <w:lang w:val="en-US"/>
        </w:rPr>
        <w:t xml:space="preserve">, </w:t>
      </w:r>
      <w:r>
        <w:rPr>
          <w:rFonts w:ascii="Arial" w:hAnsi="Arial"/>
          <w:i w:val="1"/>
          <w:iCs w:val="1"/>
          <w:sz w:val="22"/>
          <w:szCs w:val="22"/>
          <w:rtl w:val="0"/>
          <w:lang w:val="en-US"/>
        </w:rPr>
        <w:t>mur</w:t>
      </w:r>
      <w:r>
        <w:rPr>
          <w:rFonts w:ascii="Arial" w:hAnsi="Arial"/>
          <w:sz w:val="22"/>
          <w:szCs w:val="22"/>
          <w:rtl w:val="0"/>
          <w:lang w:val="en-US"/>
        </w:rPr>
        <w:t>, and</w:t>
      </w:r>
      <w:r>
        <w:rPr>
          <w:rFonts w:ascii="Arial" w:hAnsi="Arial"/>
          <w:i w:val="1"/>
          <w:iCs w:val="1"/>
          <w:sz w:val="22"/>
          <w:szCs w:val="22"/>
          <w:rtl w:val="0"/>
          <w:lang w:val="en-US"/>
        </w:rPr>
        <w:t xml:space="preserve"> acd</w:t>
      </w:r>
      <w:r>
        <w:rPr>
          <w:rFonts w:ascii="Arial" w:hAnsi="Arial"/>
          <w:sz w:val="22"/>
          <w:szCs w:val="22"/>
          <w:rtl w:val="0"/>
          <w:lang w:val="en-US"/>
        </w:rPr>
        <w:t xml:space="preserve"> loci) (Fig. 4H).  Along similar lines with closely related molecules, a number of genes for other monosaccharide catabolism were expressed relatively evenly between each condition.  This includes glycolysis-associated genes (</w:t>
      </w:r>
      <w:r>
        <w:rPr>
          <w:rFonts w:ascii="Arial" w:hAnsi="Arial"/>
          <w:i w:val="1"/>
          <w:iCs w:val="1"/>
          <w:sz w:val="22"/>
          <w:szCs w:val="22"/>
          <w:rtl w:val="0"/>
          <w:lang w:val="en-US"/>
        </w:rPr>
        <w:t>fba</w:t>
      </w:r>
      <w:r>
        <w:rPr>
          <w:rFonts w:ascii="Arial" w:hAnsi="Arial"/>
          <w:sz w:val="22"/>
          <w:szCs w:val="22"/>
          <w:rtl w:val="0"/>
          <w:lang w:val="en-US"/>
        </w:rPr>
        <w:t xml:space="preserve">, </w:t>
      </w:r>
      <w:r>
        <w:rPr>
          <w:rFonts w:ascii="Arial" w:hAnsi="Arial"/>
          <w:i w:val="1"/>
          <w:iCs w:val="1"/>
          <w:sz w:val="22"/>
          <w:szCs w:val="22"/>
          <w:rtl w:val="0"/>
          <w:lang w:val="en-US"/>
        </w:rPr>
        <w:t>fbp</w:t>
      </w:r>
      <w:r>
        <w:rPr>
          <w:rFonts w:ascii="Arial" w:hAnsi="Arial"/>
          <w:sz w:val="22"/>
          <w:szCs w:val="22"/>
          <w:rtl w:val="0"/>
          <w:lang w:val="en-US"/>
        </w:rPr>
        <w:t xml:space="preserve">, </w:t>
      </w:r>
      <w:r>
        <w:rPr>
          <w:rFonts w:ascii="Arial" w:hAnsi="Arial"/>
          <w:i w:val="1"/>
          <w:iCs w:val="1"/>
          <w:sz w:val="22"/>
          <w:szCs w:val="22"/>
          <w:rtl w:val="0"/>
          <w:lang w:val="en-US"/>
        </w:rPr>
        <w:t>gap</w:t>
      </w:r>
      <w:r>
        <w:rPr>
          <w:rFonts w:ascii="Arial" w:hAnsi="Arial"/>
          <w:sz w:val="22"/>
          <w:szCs w:val="22"/>
          <w:rtl w:val="0"/>
          <w:lang w:val="en-US"/>
        </w:rPr>
        <w:t xml:space="preserve">, and </w:t>
      </w:r>
      <w:r>
        <w:rPr>
          <w:rFonts w:ascii="Arial" w:hAnsi="Arial"/>
          <w:i w:val="1"/>
          <w:iCs w:val="1"/>
          <w:sz w:val="22"/>
          <w:szCs w:val="22"/>
          <w:rtl w:val="0"/>
          <w:lang w:val="en-US"/>
        </w:rPr>
        <w:t>pfk)</w:t>
      </w:r>
      <w:r>
        <w:rPr>
          <w:rFonts w:ascii="Arial" w:hAnsi="Arial"/>
          <w:sz w:val="22"/>
          <w:szCs w:val="22"/>
          <w:rtl w:val="0"/>
          <w:lang w:val="en-US"/>
        </w:rPr>
        <w:t xml:space="preserve"> as well as several genes (</w:t>
      </w:r>
      <w:r>
        <w:rPr>
          <w:rFonts w:ascii="Arial" w:hAnsi="Arial"/>
          <w:i w:val="1"/>
          <w:iCs w:val="1"/>
          <w:sz w:val="22"/>
          <w:szCs w:val="22"/>
          <w:rtl w:val="0"/>
          <w:lang w:val="en-US"/>
        </w:rPr>
        <w:t>gal</w:t>
      </w:r>
      <w:r>
        <w:rPr>
          <w:rFonts w:ascii="Arial" w:hAnsi="Arial"/>
          <w:sz w:val="22"/>
          <w:szCs w:val="22"/>
          <w:rtl w:val="0"/>
          <w:lang w:val="en-US"/>
        </w:rPr>
        <w:t xml:space="preserve">, </w:t>
      </w:r>
      <w:r>
        <w:rPr>
          <w:rFonts w:ascii="Arial" w:hAnsi="Arial"/>
          <w:i w:val="1"/>
          <w:iCs w:val="1"/>
          <w:sz w:val="22"/>
          <w:szCs w:val="22"/>
          <w:rtl w:val="0"/>
          <w:lang w:val="en-US"/>
        </w:rPr>
        <w:t>man</w:t>
      </w:r>
      <w:r>
        <w:rPr>
          <w:rFonts w:ascii="Arial" w:hAnsi="Arial"/>
          <w:sz w:val="22"/>
          <w:szCs w:val="22"/>
          <w:rtl w:val="0"/>
          <w:lang w:val="en-US"/>
        </w:rPr>
        <w:t xml:space="preserve">, </w:t>
      </w:r>
      <w:r>
        <w:rPr>
          <w:rFonts w:ascii="Arial" w:hAnsi="Arial"/>
          <w:i w:val="1"/>
          <w:iCs w:val="1"/>
          <w:sz w:val="22"/>
          <w:szCs w:val="22"/>
          <w:rtl w:val="0"/>
          <w:lang w:val="en-US"/>
        </w:rPr>
        <w:t>pmi</w:t>
      </w:r>
      <w:r>
        <w:rPr>
          <w:rFonts w:ascii="Arial" w:hAnsi="Arial"/>
          <w:sz w:val="22"/>
          <w:szCs w:val="22"/>
          <w:rtl w:val="0"/>
          <w:lang w:val="en-US"/>
        </w:rPr>
        <w:t xml:space="preserve">, and </w:t>
      </w:r>
      <w:r>
        <w:rPr>
          <w:rFonts w:ascii="Arial" w:hAnsi="Arial"/>
          <w:i w:val="1"/>
          <w:iCs w:val="1"/>
          <w:sz w:val="22"/>
          <w:szCs w:val="22"/>
          <w:rtl w:val="0"/>
          <w:lang w:val="en-US"/>
        </w:rPr>
        <w:t>tag</w:t>
      </w:r>
      <w:r>
        <w:rPr>
          <w:rFonts w:ascii="Arial" w:hAnsi="Arial"/>
          <w:sz w:val="22"/>
          <w:szCs w:val="22"/>
          <w:rtl w:val="0"/>
          <w:lang w:val="en-US"/>
        </w:rPr>
        <w:t xml:space="preserve"> loci) for bringing different monosaccharides into glycolysis (including galactose, mannose, and tagatose). Combined, these findings suggest that catabolism of amino acids and simple sugars are core components of the </w:t>
      </w:r>
      <w:r>
        <w:rPr>
          <w:rFonts w:ascii="Arial" w:hAnsi="Arial"/>
          <w:i w:val="1"/>
          <w:iCs w:val="1"/>
          <w:sz w:val="22"/>
          <w:szCs w:val="22"/>
          <w:rtl w:val="0"/>
          <w:lang w:val="en-US"/>
        </w:rPr>
        <w:t>C. difficile</w:t>
      </w:r>
      <w:r>
        <w:rPr>
          <w:rFonts w:ascii="Arial" w:hAnsi="Arial"/>
          <w:sz w:val="22"/>
          <w:szCs w:val="22"/>
          <w:rtl w:val="0"/>
          <w:lang w:val="en-US"/>
        </w:rPr>
        <w:t xml:space="preserve"> nutritional strategy and may be expressed under any conditions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Bipartite metabolic models underscore known bacterial metabolism and reveal adaptive nutritional strategies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during infection.</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for all enzyme and metabolite nodes in the bipartite metabolic network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In biological terms, this metric reflects the metabolites and functionalities that are most critical to the overall metabolism of the organism. Enzymes scoring highly included pyruvate kinase, 1-deoxy-D-xylulose-5-phosphate synthase, and transketolase. The metabolites that scored highly included pyruvate, acetyl-CoA, and D-glyceraldehyde 3-phosphate. These highly scoring enzymes and metabolites are known to be involved in numerous central pathways including glycolysis, the citric acid cycle, and amino acid biosynthesis, which are all critical to life for most free-living bacteria. This indicated to us that the topology of the network reflects established bacterial physiology.</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shd w:val="clear" w:color="auto" w:fill="00ffff"/>
          <w:rtl w:val="0"/>
          <w:lang w:val="en-US"/>
        </w:rPr>
        <w:t xml:space="preserve">To move beyond a static representation of the </w:t>
      </w:r>
      <w:r>
        <w:rPr>
          <w:rFonts w:ascii="Arial" w:hAnsi="Arial"/>
          <w:i w:val="1"/>
          <w:iCs w:val="1"/>
          <w:sz w:val="22"/>
          <w:szCs w:val="22"/>
          <w:shd w:val="clear" w:color="auto" w:fill="00ffff"/>
          <w:rtl w:val="0"/>
          <w:lang w:val="en-US"/>
        </w:rPr>
        <w:t>C. difficile</w:t>
      </w:r>
      <w:r>
        <w:rPr>
          <w:rFonts w:ascii="Arial" w:hAnsi="Arial"/>
          <w:sz w:val="22"/>
          <w:szCs w:val="22"/>
          <w:shd w:val="clear" w:color="auto" w:fill="00ffff"/>
          <w:rtl w:val="0"/>
          <w:lang w:val="en-US"/>
        </w:rPr>
        <w:t xml:space="preserve"> metabolic network we mapped transcript data to the enzyme nodes. This mapping allowed us to quantify the importance of each metabolite. The importance of a metabolite was measured as the log-transformed difference between the average enzyme transcript levels that used the metabolite as a substrate or generate it as a product. A substrate with a high importance score is mostly likely obtained from the environment because the expression of genes for enzymes that produce the substrate are low. We ranked the importance scores to identify the most important metabolites for each treatment group (Table S5). In both cefoperazone and streptomycin treatment group, several Stickland fermentation intermediates, including propanoate and phosphonoacetate, were scored as highly important relative to scores from randomly assigned transcript abundances. In the clindamycin and gnotobiotic conditions, the mucus derived amino sugars N-acetylglucosamine and N-acetylneurminic acid and glycolysis intermediates scored highly. Well-studied enzyme cofactors, such as Fe2+, were consistently important. Several amino acids were scored highly including proline, threonine, cysteine, leucine, isoleucine, and valine. Many of which are know or suspected auxotrophies of </w:t>
      </w:r>
      <w:r>
        <w:rPr>
          <w:rFonts w:ascii="Arial" w:hAnsi="Arial"/>
          <w:i w:val="1"/>
          <w:iCs w:val="1"/>
          <w:sz w:val="22"/>
          <w:szCs w:val="22"/>
          <w:shd w:val="clear" w:color="auto" w:fill="00ffff"/>
          <w:rtl w:val="0"/>
          <w:lang w:val="en-US"/>
        </w:rPr>
        <w:t xml:space="preserve">C. difficile </w:t>
      </w:r>
      <w:r>
        <w:rPr>
          <w:rFonts w:ascii="Arial" w:hAnsi="Arial"/>
          <w:sz w:val="22"/>
          <w:szCs w:val="22"/>
          <w:shd w:val="clear" w:color="auto" w:fill="00ffff"/>
          <w:rtl w:val="0"/>
          <w:lang w:val="en-US"/>
        </w:rPr>
        <w:t xml:space="preserve">(Ho, 2015; Neumann-Schaal, 2015). </w:t>
      </w:r>
      <w:r>
        <w:rPr>
          <w:rFonts w:ascii="Arial" w:hAnsi="Arial"/>
          <w:i w:val="1"/>
          <w:iCs w:val="1"/>
          <w:sz w:val="22"/>
          <w:szCs w:val="22"/>
          <w:shd w:val="clear" w:color="auto" w:fill="00ffff"/>
          <w:rtl w:val="0"/>
          <w:lang w:val="en-US"/>
        </w:rPr>
        <w:t>C. difficile</w:t>
      </w:r>
      <w:r>
        <w:rPr>
          <w:rFonts w:ascii="Arial" w:hAnsi="Arial"/>
          <w:sz w:val="22"/>
          <w:szCs w:val="22"/>
          <w:shd w:val="clear" w:color="auto" w:fill="00ffff"/>
          <w:rtl w:val="0"/>
          <w:lang w:val="en-US"/>
        </w:rPr>
        <w:t xml:space="preserve"> is known to acquire these substrates from its environment to support its growth. The confirmation of previous results demonstrates that our importance-defining algorithm was robust and detects biologically relevant patterns of expression.</w:t>
      </w:r>
    </w:p>
    <w:p>
      <w:pPr>
        <w:pStyle w:val="Default"/>
        <w:shd w:val="clear" w:color="auto" w:fill="ffffff"/>
        <w:spacing w:line="480" w:lineRule="auto"/>
        <w:jc w:val="both"/>
      </w:pPr>
      <w:r>
        <w:rPr>
          <w:rFonts w:ascii="Arial" w:cs="Arial" w:hAnsi="Arial" w:eastAsia="Arial"/>
          <w:sz w:val="22"/>
          <w:szCs w:val="22"/>
          <w:rtl w:val="0"/>
        </w:rPr>
        <w:tab/>
        <w:t xml:space="preserve">We sought to identify the core metabolites that are essential to </w:t>
      </w:r>
      <w:r>
        <w:rPr>
          <w:rFonts w:ascii="Arial" w:hAnsi="Arial"/>
          <w:i w:val="1"/>
          <w:iCs w:val="1"/>
          <w:sz w:val="22"/>
          <w:szCs w:val="22"/>
          <w:rtl w:val="0"/>
          <w:lang w:val="en-US"/>
        </w:rPr>
        <w:t>C. difficile</w:t>
      </w:r>
      <w:r>
        <w:rPr>
          <w:rFonts w:ascii="Arial" w:hAnsi="Arial"/>
          <w:sz w:val="22"/>
          <w:szCs w:val="22"/>
          <w:rtl w:val="0"/>
          <w:lang w:val="en-US"/>
        </w:rPr>
        <w:t xml:space="preserve"> str. 630 in any condition. To accomplish this goal, we compared the top 50 scoring metabolites from each treatment group to find those metabolites that were important across all conditions (Fig. 5B). The host derived amino sugar N-acetyl-D-glucosamine was found to be consistently important, indicating that it may be an integral component of the nutrient niche for </w:t>
      </w:r>
      <w:r>
        <w:rPr>
          <w:rFonts w:ascii="Arial" w:hAnsi="Arial"/>
          <w:i w:val="1"/>
          <w:iCs w:val="1"/>
          <w:sz w:val="22"/>
          <w:szCs w:val="22"/>
          <w:rtl w:val="0"/>
          <w:lang w:val="en-US"/>
        </w:rPr>
        <w:t>C. difficile</w:t>
      </w:r>
      <w:r>
        <w:rPr>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is a common byproduct of Stickland fermentation and has been shown to be further metabolized to butyrate by other closely-related species of Clostridia (Li, 2008). We directly tested the relative concentration of acetate in cefoperazone-treated </w:t>
      </w:r>
      <w:r>
        <w:rPr>
          <w:rFonts w:ascii="Arial" w:hAnsi="Arial"/>
          <w:i w:val="1"/>
          <w:iCs w:val="1"/>
          <w:sz w:val="22"/>
          <w:szCs w:val="22"/>
          <w:rtl w:val="0"/>
          <w:lang w:val="en-US"/>
        </w:rPr>
        <w:t>C. difficile</w:t>
      </w:r>
      <w:r>
        <w:rPr>
          <w:rFonts w:ascii="Arial" w:hAnsi="Arial"/>
          <w:sz w:val="22"/>
          <w:szCs w:val="22"/>
          <w:rtl w:val="0"/>
          <w:lang w:val="en-US"/>
        </w:rPr>
        <w:t xml:space="preserve">-infected mice versus mock-infected mice. We found that </w:t>
      </w:r>
      <w:r>
        <w:rPr>
          <w:rFonts w:ascii="Arial" w:hAnsi="Arial"/>
          <w:i w:val="1"/>
          <w:iCs w:val="1"/>
          <w:sz w:val="22"/>
          <w:szCs w:val="22"/>
          <w:rtl w:val="0"/>
          <w:lang w:val="en-US"/>
        </w:rPr>
        <w:t>C. difficile</w:t>
      </w:r>
      <w:r>
        <w:rPr>
          <w:rFonts w:ascii="Arial" w:hAnsi="Arial"/>
          <w:sz w:val="22"/>
          <w:szCs w:val="22"/>
          <w:rtl w:val="0"/>
          <w:lang w:val="en-US"/>
        </w:rPr>
        <w:t xml:space="preserve"> colonization led to a significant decrease in the levels of acetate (Fig. S7A) suggesting that </w:t>
      </w:r>
      <w:r>
        <w:rPr>
          <w:rFonts w:ascii="Arial" w:hAnsi="Arial"/>
          <w:i w:val="1"/>
          <w:iCs w:val="1"/>
          <w:sz w:val="22"/>
          <w:szCs w:val="22"/>
          <w:rtl w:val="0"/>
          <w:lang w:val="en-US"/>
        </w:rPr>
        <w:t>C. difficile</w:t>
      </w:r>
      <w:r>
        <w:rPr>
          <w:rFonts w:ascii="Arial" w:hAnsi="Arial"/>
          <w:sz w:val="22"/>
          <w:szCs w:val="22"/>
          <w:rtl w:val="0"/>
          <w:lang w:val="en-US"/>
        </w:rPr>
        <w:t xml:space="preserve"> is utilizing acetate. </w:t>
      </w:r>
    </w:p>
    <w:p>
      <w:pPr>
        <w:pStyle w:val="Default"/>
        <w:shd w:val="clear" w:color="auto" w:fill="ffffff"/>
        <w:spacing w:line="480" w:lineRule="auto"/>
        <w:jc w:val="both"/>
      </w:pPr>
      <w:r>
        <w:rPr>
          <w:rFonts w:ascii="Arial" w:cs="Arial" w:hAnsi="Arial" w:eastAsia="Arial"/>
          <w:sz w:val="22"/>
          <w:szCs w:val="22"/>
          <w:rtl w:val="0"/>
        </w:rPr>
        <w:tab/>
        <w:t xml:space="preserve">Returning to our hypothesis that </w:t>
      </w:r>
      <w:r>
        <w:rPr>
          <w:rFonts w:ascii="Arial" w:hAnsi="Arial"/>
          <w:i w:val="1"/>
          <w:iCs w:val="1"/>
          <w:sz w:val="22"/>
          <w:szCs w:val="22"/>
          <w:rtl w:val="0"/>
          <w:lang w:val="en-US"/>
        </w:rPr>
        <w:t>C. difficile</w:t>
      </w:r>
      <w:r>
        <w:rPr>
          <w:rFonts w:ascii="Arial" w:hAnsi="Arial"/>
          <w:sz w:val="22"/>
          <w:szCs w:val="22"/>
          <w:rtl w:val="0"/>
          <w:lang w:val="en-US"/>
        </w:rPr>
        <w:t xml:space="preserve"> adapts its metabolism to fit the surrounding community, we identified those metabolites that were uniquely important to each condition in which </w:t>
      </w:r>
      <w:r>
        <w:rPr>
          <w:rFonts w:ascii="Arial" w:hAnsi="Arial"/>
          <w:i w:val="1"/>
          <w:iCs w:val="1"/>
          <w:sz w:val="22"/>
          <w:szCs w:val="22"/>
          <w:rtl w:val="0"/>
          <w:lang w:val="en-US"/>
        </w:rPr>
        <w:t>C. difficile</w:t>
      </w:r>
      <w:r>
        <w:rPr>
          <w:rFonts w:ascii="Arial" w:hAnsi="Arial"/>
          <w:sz w:val="22"/>
          <w:szCs w:val="22"/>
          <w:rtl w:val="0"/>
          <w:lang w:val="en-US"/>
        </w:rPr>
        <w:t xml:space="preserve"> colonized. We cross-referenced the top 25 positively scoring substrates from each treatment group to uncover patterns of unique nutrient utilization by </w:t>
      </w:r>
      <w:r>
        <w:rPr>
          <w:rFonts w:ascii="Arial" w:hAnsi="Arial"/>
          <w:i w:val="1"/>
          <w:iCs w:val="1"/>
          <w:sz w:val="22"/>
          <w:szCs w:val="22"/>
          <w:rtl w:val="0"/>
          <w:lang w:val="en-US"/>
        </w:rPr>
        <w:t>C. difficile</w:t>
      </w:r>
      <w:r>
        <w:rPr>
          <w:rFonts w:ascii="Arial" w:hAnsi="Arial"/>
          <w:sz w:val="22"/>
          <w:szCs w:val="22"/>
          <w:rtl w:val="0"/>
          <w:lang w:val="en-US"/>
        </w:rPr>
        <w:t xml:space="preserve"> (Fig. 5B). All of these metabolites  were more important than scores for the metabolites where transcript abundances were randomly assigned (black vertical lines). Each group of metabolites contained at least one known carbohydrate growth substrate of </w:t>
      </w:r>
      <w:r>
        <w:rPr>
          <w:rFonts w:ascii="Arial" w:hAnsi="Arial"/>
          <w:i w:val="1"/>
          <w:iCs w:val="1"/>
          <w:sz w:val="22"/>
          <w:szCs w:val="22"/>
          <w:rtl w:val="0"/>
          <w:lang w:val="en-US"/>
        </w:rPr>
        <w:t>C. difficile</w:t>
      </w:r>
      <w:r>
        <w:rPr>
          <w:rFonts w:ascii="Arial" w:hAnsi="Arial"/>
          <w:sz w:val="22"/>
          <w:szCs w:val="22"/>
          <w:rtl w:val="0"/>
          <w:lang w:val="en-US"/>
        </w:rPr>
        <w:t xml:space="preserve">. This included D-fructose, mannitol, N-acetylneuraminic acid, salicin, and D-sorbitol (Ng, 2013; Theriot, 2014). These data support the hypothesis that </w:t>
      </w:r>
      <w:r>
        <w:rPr>
          <w:rFonts w:ascii="Arial" w:hAnsi="Arial"/>
          <w:i w:val="1"/>
          <w:iCs w:val="1"/>
          <w:sz w:val="22"/>
          <w:szCs w:val="22"/>
          <w:rtl w:val="0"/>
          <w:lang w:val="en-US"/>
        </w:rPr>
        <w:t>C. difficile</w:t>
      </w:r>
      <w:r>
        <w:rPr>
          <w:rFonts w:ascii="Arial" w:hAnsi="Arial"/>
          <w:sz w:val="22"/>
          <w:szCs w:val="22"/>
          <w:rtl w:val="0"/>
          <w:lang w:val="en-US"/>
        </w:rPr>
        <w:t xml:space="preserve"> may exploit alternative carbon sources between the susceptible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Important carbon sources according to metabolic networks support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 xml:space="preserve">growth </w:t>
      </w:r>
      <w:r>
        <w:rPr>
          <w:rFonts w:ascii="Arial" w:hAnsi="Arial"/>
          <w:b w:val="1"/>
          <w:bCs w:val="1"/>
          <w:i w:val="1"/>
          <w:iCs w:val="1"/>
          <w:sz w:val="22"/>
          <w:szCs w:val="22"/>
          <w:rtl w:val="0"/>
          <w:lang w:val="en-US"/>
        </w:rPr>
        <w:t>in vitro</w:t>
      </w:r>
      <w:r>
        <w:rPr>
          <w:rFonts w:ascii="Arial" w:hAnsi="Arial"/>
          <w:b w:val="1"/>
          <w:bCs w:val="1"/>
          <w:sz w:val="22"/>
          <w:szCs w:val="22"/>
          <w:rtl w:val="0"/>
          <w:lang w:val="en-US"/>
        </w:rPr>
        <w:t>.</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To validate the biological relevance of substrates identified as uniquely important to C. difficile metabolism through our network-based analysis, we tested whether </w:t>
      </w:r>
      <w:r>
        <w:rPr>
          <w:rFonts w:ascii="Arial" w:hAnsi="Arial"/>
          <w:i w:val="1"/>
          <w:iCs w:val="1"/>
          <w:sz w:val="22"/>
          <w:szCs w:val="22"/>
          <w:rtl w:val="0"/>
          <w:lang w:val="en-US"/>
        </w:rPr>
        <w:t>C. difficile</w:t>
      </w:r>
      <w:r>
        <w:rPr>
          <w:rFonts w:ascii="Arial" w:hAnsi="Arial"/>
          <w:sz w:val="22"/>
          <w:szCs w:val="22"/>
          <w:rtl w:val="0"/>
          <w:lang w:val="en-US"/>
        </w:rPr>
        <w:t xml:space="preserve"> was able to utilize each substrate for </w:t>
      </w:r>
      <w:r>
        <w:rPr>
          <w:rFonts w:ascii="Arial" w:hAnsi="Arial"/>
          <w:i w:val="1"/>
          <w:iCs w:val="1"/>
          <w:sz w:val="22"/>
          <w:szCs w:val="22"/>
          <w:rtl w:val="0"/>
          <w:lang w:val="en-US"/>
        </w:rPr>
        <w:t>in vitro</w:t>
      </w:r>
      <w:r>
        <w:rPr>
          <w:rFonts w:ascii="Arial" w:hAnsi="Arial"/>
          <w:sz w:val="22"/>
          <w:szCs w:val="22"/>
          <w:rtl w:val="0"/>
          <w:lang w:val="en-US"/>
        </w:rPr>
        <w:t xml:space="preserve"> growth. This was performed using the modified defined </w:t>
      </w:r>
      <w:r>
        <w:rPr>
          <w:rFonts w:ascii="Arial" w:hAnsi="Arial"/>
          <w:i w:val="1"/>
          <w:iCs w:val="1"/>
          <w:sz w:val="22"/>
          <w:szCs w:val="22"/>
          <w:rtl w:val="0"/>
          <w:lang w:val="en-US"/>
        </w:rPr>
        <w:t>C. difficile</w:t>
      </w:r>
      <w:r>
        <w:rPr>
          <w:rFonts w:ascii="Arial" w:hAnsi="Arial"/>
          <w:sz w:val="22"/>
          <w:szCs w:val="22"/>
          <w:rtl w:val="0"/>
          <w:lang w:val="en-US"/>
        </w:rPr>
        <w:t xml:space="preserve"> minimal media, supplemented individually with the selected carbohydrates (Theriot, 2013) implicated by high importance scores. Because </w:t>
      </w:r>
      <w:r>
        <w:rPr>
          <w:rFonts w:ascii="Arial" w:hAnsi="Arial"/>
          <w:i w:val="1"/>
          <w:iCs w:val="1"/>
          <w:sz w:val="22"/>
          <w:szCs w:val="22"/>
          <w:rtl w:val="0"/>
          <w:lang w:val="en-US"/>
        </w:rPr>
        <w:t>C. difficile</w:t>
      </w:r>
      <w:r>
        <w:rPr>
          <w:rFonts w:ascii="Arial" w:hAnsi="Arial"/>
          <w:sz w:val="22"/>
          <w:szCs w:val="22"/>
          <w:rtl w:val="0"/>
          <w:lang w:val="en-US"/>
        </w:rPr>
        <w:t xml:space="preserve"> can use amino acids for growth through Stickland fermentation, but is auxotrophic for several amino acids, the negative control is growth on media lacking glucose but containing amino acids. At least one carbohydrate highlighted as important in each of the antibiotic treatment groups provided high levels of </w:t>
      </w:r>
      <w:r>
        <w:rPr>
          <w:rFonts w:ascii="Arial" w:hAnsi="Arial"/>
          <w:i w:val="1"/>
          <w:iCs w:val="1"/>
          <w:sz w:val="22"/>
          <w:szCs w:val="22"/>
          <w:rtl w:val="0"/>
          <w:lang w:val="en-US"/>
        </w:rPr>
        <w:t>C. difficile</w:t>
      </w:r>
      <w:r>
        <w:rPr>
          <w:rFonts w:ascii="Arial" w:hAnsi="Arial"/>
          <w:sz w:val="22"/>
          <w:szCs w:val="22"/>
          <w:rtl w:val="0"/>
          <w:lang w:val="en-US"/>
        </w:rPr>
        <w:t xml:space="preserve"> growth relative to the negative control (corrected </w:t>
      </w:r>
      <w:r>
        <w:rPr>
          <w:rFonts w:ascii="Arial" w:hAnsi="Arial"/>
          <w:i w:val="1"/>
          <w:iCs w:val="1"/>
          <w:sz w:val="22"/>
          <w:szCs w:val="22"/>
          <w:rtl w:val="0"/>
          <w:lang w:val="en-US"/>
        </w:rPr>
        <w:t>p</w:t>
      </w:r>
      <w:r>
        <w:rPr>
          <w:rFonts w:ascii="Arial" w:hAnsi="Arial"/>
          <w:sz w:val="22"/>
          <w:szCs w:val="22"/>
          <w:rtl w:val="0"/>
          <w:lang w:val="en-US"/>
        </w:rPr>
        <w:t>-values &lt;&lt; 0.001) (Fig. 5C). This included D-fructose (Streptomycin; OD</w:t>
      </w:r>
      <w:r>
        <w:rPr>
          <w:rFonts w:ascii="Arial" w:hAnsi="Arial"/>
          <w:sz w:val="22"/>
          <w:szCs w:val="22"/>
          <w:vertAlign w:val="subscript"/>
          <w:rtl w:val="0"/>
          <w:lang w:val="en-US"/>
        </w:rPr>
        <w:t xml:space="preserve">600 </w:t>
      </w:r>
      <w:r>
        <w:rPr>
          <w:rFonts w:ascii="Arial" w:hAnsi="Arial"/>
          <w:sz w:val="22"/>
          <w:szCs w:val="22"/>
          <w:rtl w:val="0"/>
          <w:lang w:val="en-US"/>
        </w:rPr>
        <w:t>= 0.671), mannitol (Cefoperazone; OD</w:t>
      </w:r>
      <w:r>
        <w:rPr>
          <w:rFonts w:ascii="Arial" w:hAnsi="Arial"/>
          <w:sz w:val="22"/>
          <w:szCs w:val="22"/>
          <w:vertAlign w:val="subscript"/>
          <w:rtl w:val="0"/>
          <w:lang w:val="en-US"/>
        </w:rPr>
        <w:t xml:space="preserve">600 </w:t>
      </w:r>
      <w:r>
        <w:rPr>
          <w:rFonts w:ascii="Arial" w:hAnsi="Arial"/>
          <w:sz w:val="22"/>
          <w:szCs w:val="22"/>
          <w:rtl w:val="0"/>
          <w:lang w:val="en-US"/>
        </w:rPr>
        <w:t>= 0.464), salicin (Clindamycin; OD</w:t>
      </w:r>
      <w:r>
        <w:rPr>
          <w:rFonts w:ascii="Arial" w:hAnsi="Arial"/>
          <w:sz w:val="22"/>
          <w:szCs w:val="22"/>
          <w:vertAlign w:val="subscript"/>
          <w:rtl w:val="0"/>
          <w:lang w:val="en-US"/>
        </w:rPr>
        <w:t xml:space="preserve">600 </w:t>
      </w:r>
      <w:r>
        <w:rPr>
          <w:rFonts w:ascii="Arial" w:hAnsi="Arial"/>
          <w:sz w:val="22"/>
          <w:szCs w:val="22"/>
          <w:rtl w:val="0"/>
          <w:lang w:val="en-US"/>
        </w:rPr>
        <w:t>= 0.888), N-acetylneuraminate (Germ-free; OD</w:t>
      </w:r>
      <w:r>
        <w:rPr>
          <w:rFonts w:ascii="Arial" w:hAnsi="Arial"/>
          <w:sz w:val="22"/>
          <w:szCs w:val="22"/>
          <w:vertAlign w:val="subscript"/>
          <w:rtl w:val="0"/>
          <w:lang w:val="en-US"/>
        </w:rPr>
        <w:t xml:space="preserve">600 </w:t>
      </w:r>
      <w:r>
        <w:rPr>
          <w:rFonts w:ascii="Arial" w:hAnsi="Arial"/>
          <w:sz w:val="22"/>
          <w:szCs w:val="22"/>
          <w:rtl w:val="0"/>
          <w:lang w:val="en-US"/>
        </w:rPr>
        <w:t xml:space="preserve">= 0.556). Interestingly, the growth curve for D-sorbitol (Streptomycin) showed no difference over the negative controls. These results further support the importance scores and the hypothesis that </w:t>
      </w:r>
      <w:r>
        <w:rPr>
          <w:rFonts w:ascii="Arial" w:hAnsi="Arial"/>
          <w:i w:val="1"/>
          <w:iCs w:val="1"/>
          <w:sz w:val="22"/>
          <w:szCs w:val="22"/>
          <w:rtl w:val="0"/>
          <w:lang w:val="en-US"/>
        </w:rPr>
        <w:t>C. difficile</w:t>
      </w:r>
      <w:r>
        <w:rPr>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Fonts w:ascii="Arial" w:hAnsi="Arial"/>
          <w:b w:val="1"/>
          <w:bCs w:val="1"/>
          <w:sz w:val="22"/>
          <w:szCs w:val="22"/>
          <w:rtl w:val="0"/>
          <w:lang w:val="en-US"/>
        </w:rPr>
        <w:t>Discussion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Our results indicate that </w:t>
      </w:r>
      <w:r>
        <w:rPr>
          <w:rFonts w:ascii="Arial" w:hAnsi="Arial"/>
          <w:i w:val="1"/>
          <w:iCs w:val="1"/>
          <w:sz w:val="22"/>
          <w:szCs w:val="22"/>
          <w:rtl w:val="0"/>
          <w:lang w:val="en-US"/>
        </w:rPr>
        <w:t>C. difficile</w:t>
      </w:r>
      <w:r>
        <w:rPr>
          <w:rFonts w:ascii="Arial" w:hAnsi="Arial"/>
          <w:sz w:val="22"/>
          <w:szCs w:val="22"/>
          <w:rtl w:val="0"/>
          <w:lang w:val="en-US"/>
        </w:rPr>
        <w:t xml:space="preserve"> occupies separate nutrient niches across susceptible gut environments based on which substrates are available. Both </w:t>
      </w:r>
      <w:r>
        <w:rPr>
          <w:rFonts w:ascii="Arial" w:hAnsi="Arial"/>
          <w:i w:val="1"/>
          <w:iCs w:val="1"/>
          <w:sz w:val="22"/>
          <w:szCs w:val="22"/>
          <w:rtl w:val="0"/>
          <w:lang w:val="en-US"/>
        </w:rPr>
        <w:t>in vivo</w:t>
      </w:r>
      <w:r>
        <w:rPr>
          <w:rFonts w:ascii="Arial" w:hAnsi="Arial"/>
          <w:sz w:val="22"/>
          <w:szCs w:val="22"/>
          <w:rtl w:val="0"/>
          <w:lang w:val="en-US"/>
        </w:rPr>
        <w:t xml:space="preserve"> and </w:t>
      </w:r>
      <w:r>
        <w:rPr>
          <w:rFonts w:ascii="Arial" w:hAnsi="Arial"/>
          <w:i w:val="1"/>
          <w:iCs w:val="1"/>
          <w:sz w:val="22"/>
          <w:szCs w:val="22"/>
          <w:rtl w:val="0"/>
          <w:lang w:val="en-US"/>
        </w:rPr>
        <w:t xml:space="preserve">in vitro </w:t>
      </w:r>
      <w:r>
        <w:rPr>
          <w:rFonts w:ascii="Arial" w:hAnsi="Arial"/>
          <w:sz w:val="22"/>
          <w:szCs w:val="22"/>
          <w:rtl w:val="0"/>
          <w:lang w:val="en-US"/>
        </w:rPr>
        <w:t xml:space="preserve">data support that </w:t>
      </w:r>
      <w:r>
        <w:rPr>
          <w:rFonts w:ascii="Arial" w:hAnsi="Arial"/>
          <w:i w:val="1"/>
          <w:iCs w:val="1"/>
          <w:sz w:val="22"/>
          <w:szCs w:val="22"/>
          <w:rtl w:val="0"/>
          <w:lang w:val="en-US"/>
        </w:rPr>
        <w:t>C. difficile</w:t>
      </w:r>
      <w:r>
        <w:rPr>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Fonts w:ascii="Arial" w:hAnsi="Arial"/>
          <w:i w:val="1"/>
          <w:iCs w:val="1"/>
          <w:sz w:val="22"/>
          <w:szCs w:val="22"/>
          <w:rtl w:val="0"/>
          <w:lang w:val="en-US"/>
        </w:rPr>
        <w:t>C. difficile</w:t>
      </w:r>
      <w:r>
        <w:rPr>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Fonts w:ascii="Arial" w:hAnsi="Arial"/>
          <w:i w:val="1"/>
          <w:iCs w:val="1"/>
          <w:sz w:val="22"/>
          <w:szCs w:val="22"/>
          <w:rtl w:val="0"/>
          <w:lang w:val="en-US"/>
        </w:rPr>
        <w:t>C. difficile</w:t>
      </w:r>
      <w:r>
        <w:rPr>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Fonts w:ascii="Arial" w:hAnsi="Arial"/>
          <w:i w:val="1"/>
          <w:iCs w:val="1"/>
          <w:sz w:val="22"/>
          <w:szCs w:val="22"/>
          <w:rtl w:val="0"/>
          <w:lang w:val="en-US"/>
        </w:rPr>
        <w:t>C. difficile</w:t>
      </w:r>
      <w:r>
        <w:rPr>
          <w:rFonts w:ascii="Arial" w:hAnsi="Arial"/>
          <w:sz w:val="22"/>
          <w:szCs w:val="22"/>
          <w:rtl w:val="0"/>
          <w:lang w:val="en-US"/>
        </w:rPr>
        <w:t xml:space="preserve"> possesses for nutrient utilization.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Fonts w:ascii="Arial" w:hAnsi="Arial"/>
          <w:i w:val="1"/>
          <w:iCs w:val="1"/>
          <w:sz w:val="22"/>
          <w:szCs w:val="22"/>
          <w:rtl w:val="0"/>
          <w:lang w:val="en-US"/>
        </w:rPr>
        <w:t>spo0A</w:t>
      </w:r>
      <w:r>
        <w:rPr>
          <w:rFonts w:ascii="Arial" w:hAnsi="Arial"/>
          <w:sz w:val="22"/>
          <w:szCs w:val="22"/>
          <w:rtl w:val="0"/>
          <w:lang w:val="en-US"/>
        </w:rPr>
        <w:t xml:space="preserve">, which was consistently highly expressed, </w:t>
      </w:r>
      <w:r>
        <w:rPr>
          <w:rFonts w:ascii="Arial" w:hAnsi="Arial"/>
          <w:i w:val="1"/>
          <w:iCs w:val="1"/>
          <w:sz w:val="22"/>
          <w:szCs w:val="22"/>
          <w:rtl w:val="0"/>
          <w:lang w:val="en-US"/>
        </w:rPr>
        <w:t>spo</w:t>
      </w:r>
      <w:r>
        <w:rPr>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Fonts w:ascii="Arial" w:hAnsi="Arial"/>
          <w:i w:val="1"/>
          <w:iCs w:val="1"/>
          <w:sz w:val="22"/>
          <w:szCs w:val="22"/>
          <w:rtl w:val="0"/>
          <w:lang w:val="en-US"/>
        </w:rPr>
        <w:t>C. difficile</w:t>
      </w:r>
      <w:r>
        <w:rPr>
          <w:rFonts w:ascii="Arial" w:hAnsi="Arial"/>
          <w:sz w:val="22"/>
          <w:szCs w:val="22"/>
          <w:rtl w:val="0"/>
          <w:lang w:val="en-US"/>
        </w:rPr>
        <w:t xml:space="preserve"> has begun its final phase before transmission either other antibiotic group. In addition to lifestyle associated genes, </w:t>
      </w:r>
      <w:r>
        <w:rPr>
          <w:rFonts w:ascii="Arial" w:hAnsi="Arial"/>
          <w:i w:val="1"/>
          <w:iCs w:val="1"/>
          <w:sz w:val="22"/>
          <w:szCs w:val="22"/>
          <w:rtl w:val="0"/>
          <w:lang w:val="en-US"/>
        </w:rPr>
        <w:t>C. difficile</w:t>
      </w:r>
      <w:r>
        <w:rPr>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Fonts w:ascii="Arial" w:hAnsi="Arial"/>
          <w:i w:val="1"/>
          <w:iCs w:val="1"/>
          <w:sz w:val="22"/>
          <w:szCs w:val="22"/>
          <w:rtl w:val="0"/>
          <w:lang w:val="en-US"/>
        </w:rPr>
        <w:t>C. difficile</w:t>
      </w:r>
      <w:r>
        <w:rPr>
          <w:rFonts w:ascii="Arial" w:hAnsi="Arial"/>
          <w:sz w:val="22"/>
          <w:szCs w:val="22"/>
          <w:rtl w:val="0"/>
          <w:lang w:val="en-US"/>
        </w:rPr>
        <w:t xml:space="preserve"> displayed increased relative abundance in gene expression associated with catabolizing monosaccharides and simple sugar alcohols. </w:t>
      </w:r>
      <w:r>
        <w:rPr>
          <w:rFonts w:ascii="Arial" w:hAnsi="Arial"/>
          <w:i w:val="1"/>
          <w:iCs w:val="1"/>
          <w:sz w:val="22"/>
          <w:szCs w:val="22"/>
          <w:rtl w:val="0"/>
          <w:lang w:val="en-US"/>
        </w:rPr>
        <w:t>C. difficile</w:t>
      </w:r>
      <w:r>
        <w:rPr>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Fonts w:ascii="Arial" w:hAnsi="Arial"/>
          <w:i w:val="1"/>
          <w:iCs w:val="1"/>
          <w:sz w:val="22"/>
          <w:szCs w:val="22"/>
          <w:rtl w:val="0"/>
          <w:lang w:val="en-US"/>
        </w:rPr>
        <w:t>C. difficile</w:t>
      </w:r>
      <w:r>
        <w:rPr>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Fonts w:ascii="Arial" w:hAnsi="Arial"/>
          <w:i w:val="1"/>
          <w:iCs w:val="1"/>
          <w:sz w:val="22"/>
          <w:szCs w:val="22"/>
          <w:rtl w:val="0"/>
          <w:lang w:val="en-US"/>
        </w:rPr>
        <w:t>C. difficile</w:t>
      </w:r>
      <w:r>
        <w:rPr>
          <w:rFonts w:ascii="Arial" w:hAnsi="Arial"/>
          <w:sz w:val="22"/>
          <w:szCs w:val="22"/>
          <w:rtl w:val="0"/>
          <w:lang w:val="en-US"/>
        </w:rPr>
        <w:t xml:space="preserve"> lacks (Sebaihia, 2006).</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Metabolic modeling results from both cefoperazone and streptomycin-treated mice indicated carbohydrates, known to be </w:t>
      </w:r>
      <w:r>
        <w:rPr>
          <w:rFonts w:ascii="Arial" w:hAnsi="Arial"/>
          <w:i w:val="1"/>
          <w:iCs w:val="1"/>
          <w:sz w:val="22"/>
          <w:szCs w:val="22"/>
          <w:rtl w:val="0"/>
          <w:lang w:val="en-US"/>
        </w:rPr>
        <w:t>C. difficile</w:t>
      </w:r>
      <w:r>
        <w:rPr>
          <w:rFonts w:ascii="Arial" w:hAnsi="Arial"/>
          <w:sz w:val="22"/>
          <w:szCs w:val="22"/>
          <w:rtl w:val="0"/>
          <w:lang w:val="en-US"/>
        </w:rPr>
        <w:t xml:space="preserve"> growth nutrients,</w:t>
      </w:r>
      <w:r>
        <w:rPr>
          <w:rtl w:val="0"/>
          <w:lang w:val="en-US"/>
        </w:rPr>
        <w:t xml:space="preserve"> </w:t>
      </w:r>
      <w:r>
        <w:rPr>
          <w:rFonts w:ascii="Arial" w:hAnsi="Arial"/>
          <w:sz w:val="22"/>
          <w:szCs w:val="22"/>
          <w:rtl w:val="0"/>
          <w:lang w:val="en-US"/>
        </w:rPr>
        <w:t xml:space="preserve">are preferred in these conditions and are also enriched </w:t>
      </w:r>
      <w:r>
        <w:rPr>
          <w:rFonts w:ascii="Arial" w:hAnsi="Arial"/>
          <w:i w:val="1"/>
          <w:iCs w:val="1"/>
          <w:sz w:val="22"/>
          <w:szCs w:val="22"/>
          <w:rtl w:val="0"/>
          <w:lang w:val="en-US"/>
        </w:rPr>
        <w:t>in vivo</w:t>
      </w:r>
      <w:r>
        <w:rPr>
          <w:rFonts w:ascii="Arial" w:hAnsi="Arial"/>
          <w:sz w:val="22"/>
          <w:szCs w:val="22"/>
          <w:rtl w:val="0"/>
          <w:lang w:val="en-US"/>
        </w:rPr>
        <w:t>. These carbon sources are both commonly provided by the host</w:t>
      </w:r>
      <w:r>
        <w:rPr>
          <w:rFonts w:ascii="Arial" w:hAnsi="Arial" w:hint="default"/>
          <w:sz w:val="22"/>
          <w:szCs w:val="22"/>
          <w:rtl w:val="0"/>
          <w:lang w:val="en-US"/>
        </w:rPr>
        <w:t>’</w:t>
      </w:r>
      <w:r>
        <w:rPr>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Fonts w:ascii="Arial" w:hAnsi="Arial"/>
          <w:i w:val="1"/>
          <w:iCs w:val="1"/>
          <w:sz w:val="22"/>
          <w:szCs w:val="22"/>
          <w:rtl w:val="0"/>
          <w:lang w:val="en-US"/>
        </w:rPr>
        <w:t>C. difficile</w:t>
      </w:r>
      <w:r>
        <w:rPr>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Fonts w:ascii="Arial" w:hAnsi="Arial"/>
          <w:i w:val="1"/>
          <w:iCs w:val="1"/>
          <w:sz w:val="22"/>
          <w:szCs w:val="22"/>
          <w:rtl w:val="0"/>
          <w:lang w:val="en-US"/>
        </w:rPr>
        <w:t>C. difficile</w:t>
      </w:r>
      <w:r>
        <w:rPr>
          <w:rFonts w:ascii="Arial" w:hAnsi="Arial"/>
          <w:sz w:val="22"/>
          <w:szCs w:val="22"/>
          <w:rtl w:val="0"/>
          <w:lang w:val="en-US"/>
        </w:rPr>
        <w:t xml:space="preserve">. Prior research has shown that salicin is readily fermented by </w:t>
      </w:r>
      <w:r>
        <w:rPr>
          <w:rFonts w:ascii="Arial" w:hAnsi="Arial"/>
          <w:i w:val="1"/>
          <w:iCs w:val="1"/>
          <w:sz w:val="22"/>
          <w:szCs w:val="22"/>
          <w:rtl w:val="0"/>
          <w:lang w:val="en-US"/>
        </w:rPr>
        <w:t>C. difficile</w:t>
      </w:r>
      <w:r>
        <w:rPr>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Fonts w:ascii="Arial" w:hAnsi="Arial" w:hint="default"/>
          <w:sz w:val="22"/>
          <w:szCs w:val="22"/>
          <w:rtl w:val="0"/>
          <w:lang w:val="en-US"/>
        </w:rPr>
        <w:t>’</w:t>
      </w:r>
      <w:r>
        <w:rPr>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Fonts w:ascii="Arial" w:hAnsi="Arial"/>
          <w:i w:val="1"/>
          <w:iCs w:val="1"/>
          <w:sz w:val="22"/>
          <w:szCs w:val="22"/>
          <w:rtl w:val="0"/>
          <w:lang w:val="en-US"/>
        </w:rPr>
        <w:t>increase</w:t>
      </w:r>
      <w:r>
        <w:rPr>
          <w:rFonts w:ascii="Arial" w:hAnsi="Arial"/>
          <w:sz w:val="22"/>
          <w:szCs w:val="22"/>
          <w:rtl w:val="0"/>
          <w:lang w:val="en-US"/>
        </w:rPr>
        <w:t xml:space="preserve"> severity of CDI symptoms in mice (Trindade, 2016). Network analysis also supports that</w:t>
      </w:r>
      <w:r>
        <w:rPr>
          <w:rtl w:val="0"/>
          <w:lang w:val="en-US"/>
        </w:rPr>
        <w:t xml:space="preserve"> </w:t>
      </w:r>
      <w:r>
        <w:rPr>
          <w:rFonts w:ascii="Arial" w:hAnsi="Arial"/>
          <w:sz w:val="22"/>
          <w:szCs w:val="22"/>
          <w:rtl w:val="0"/>
          <w:lang w:val="en-US"/>
        </w:rPr>
        <w:t xml:space="preserve">in germ free mice, </w:t>
      </w:r>
      <w:r>
        <w:rPr>
          <w:rFonts w:ascii="Arial" w:hAnsi="Arial"/>
          <w:i w:val="1"/>
          <w:iCs w:val="1"/>
          <w:sz w:val="22"/>
          <w:szCs w:val="22"/>
          <w:rtl w:val="0"/>
          <w:lang w:val="en-US"/>
        </w:rPr>
        <w:t>C. difficile</w:t>
      </w:r>
      <w:r>
        <w:rPr>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Fonts w:ascii="Arial" w:hAnsi="Arial"/>
          <w:i w:val="1"/>
          <w:iCs w:val="1"/>
          <w:sz w:val="22"/>
          <w:szCs w:val="22"/>
          <w:rtl w:val="0"/>
          <w:lang w:val="en-US"/>
        </w:rPr>
        <w:t>C. difficile</w:t>
      </w:r>
      <w:r>
        <w:rPr>
          <w:rFonts w:ascii="Arial" w:hAnsi="Arial"/>
          <w:sz w:val="22"/>
          <w:szCs w:val="22"/>
          <w:rtl w:val="0"/>
          <w:lang w:val="en-US"/>
        </w:rPr>
        <w:t xml:space="preserve"> for N-acetylneuraminic acid as a growth substrate above most others. From these data it seems that </w:t>
      </w:r>
      <w:r>
        <w:rPr>
          <w:rFonts w:ascii="Arial" w:hAnsi="Arial"/>
          <w:i w:val="1"/>
          <w:iCs w:val="1"/>
          <w:sz w:val="22"/>
          <w:szCs w:val="22"/>
          <w:rtl w:val="0"/>
          <w:lang w:val="en-US"/>
        </w:rPr>
        <w:t>C. difficile</w:t>
      </w:r>
      <w:r>
        <w:rPr>
          <w:rFonts w:ascii="Arial" w:hAnsi="Arial"/>
          <w:sz w:val="22"/>
          <w:szCs w:val="22"/>
          <w:rtl w:val="0"/>
          <w:lang w:val="en-US"/>
        </w:rPr>
        <w:t xml:space="preserve"> alters it</w:t>
      </w:r>
      <w:r>
        <w:rPr>
          <w:rFonts w:ascii="Arial" w:hAnsi="Arial" w:hint="default"/>
          <w:sz w:val="22"/>
          <w:szCs w:val="22"/>
          <w:rtl w:val="0"/>
          <w:lang w:val="en-US"/>
        </w:rPr>
        <w:t>’</w:t>
      </w:r>
      <w:r>
        <w:rPr>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Fonts w:ascii="Arial" w:hAnsi="Arial"/>
          <w:i w:val="1"/>
          <w:iCs w:val="1"/>
          <w:sz w:val="22"/>
          <w:szCs w:val="22"/>
          <w:rtl w:val="0"/>
          <w:lang w:val="en-US"/>
        </w:rPr>
        <w:t>C. difficile</w:t>
      </w:r>
      <w:r>
        <w:rPr>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Many of the top scoring compounds appear to be associated with both fermentation and glycolysis, suggesting that these forms of </w:t>
      </w:r>
      <w:r>
        <w:rPr>
          <w:rFonts w:ascii="Arial" w:hAnsi="Arial"/>
          <w:i w:val="1"/>
          <w:iCs w:val="1"/>
          <w:sz w:val="22"/>
          <w:szCs w:val="22"/>
          <w:rtl w:val="0"/>
          <w:lang w:val="en-US"/>
        </w:rPr>
        <w:t>C. difficile</w:t>
      </w:r>
      <w:r>
        <w:rPr>
          <w:rFonts w:ascii="Arial" w:hAnsi="Arial"/>
          <w:sz w:val="22"/>
          <w:szCs w:val="22"/>
          <w:rtl w:val="0"/>
          <w:lang w:val="en-US"/>
        </w:rPr>
        <w:t xml:space="preserve"> metabolism are always active to some degree across conditions and are central to the organism</w:t>
      </w:r>
      <w:r>
        <w:rPr>
          <w:rFonts w:ascii="Arial" w:hAnsi="Arial" w:hint="default"/>
          <w:sz w:val="22"/>
          <w:szCs w:val="22"/>
          <w:rtl w:val="0"/>
          <w:lang w:val="en-US"/>
        </w:rPr>
        <w:t>’</w:t>
      </w:r>
      <w:r>
        <w:rPr>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Fonts w:ascii="Arial" w:hAnsi="Arial"/>
          <w:i w:val="1"/>
          <w:iCs w:val="1"/>
          <w:sz w:val="22"/>
          <w:szCs w:val="22"/>
          <w:rtl w:val="0"/>
          <w:lang w:val="en-US"/>
        </w:rPr>
        <w:t>C. difficile</w:t>
      </w:r>
      <w:r>
        <w:rPr>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Fonts w:ascii="Arial" w:hAnsi="Arial"/>
          <w:i w:val="1"/>
          <w:iCs w:val="1"/>
          <w:sz w:val="22"/>
          <w:szCs w:val="22"/>
          <w:rtl w:val="0"/>
          <w:lang w:val="en-US"/>
        </w:rPr>
        <w:t>C. difficile</w:t>
      </w:r>
      <w:r>
        <w:rPr>
          <w:rFonts w:ascii="Arial" w:hAnsi="Arial"/>
          <w:sz w:val="22"/>
          <w:szCs w:val="22"/>
          <w:rtl w:val="0"/>
          <w:lang w:val="en-US"/>
        </w:rPr>
        <w:t xml:space="preserve"> colonization (Theriot, 2013). It was also shown that fructose is significantly increased in streptomycin-treated mice and would be available to </w:t>
      </w:r>
      <w:r>
        <w:rPr>
          <w:rFonts w:ascii="Arial" w:hAnsi="Arial"/>
          <w:i w:val="1"/>
          <w:iCs w:val="1"/>
          <w:sz w:val="22"/>
          <w:szCs w:val="22"/>
          <w:rtl w:val="0"/>
          <w:lang w:val="en-US"/>
        </w:rPr>
        <w:t>C. difficile</w:t>
      </w:r>
      <w:r>
        <w:rPr>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Fonts w:ascii="Arial" w:hAnsi="Arial"/>
          <w:sz w:val="22"/>
          <w:szCs w:val="22"/>
          <w:rtl w:val="0"/>
          <w:lang w:val="en-US"/>
        </w:rPr>
        <w:t xml:space="preserve">metabolism) 24 hours following </w:t>
      </w:r>
      <w:r>
        <w:rPr>
          <w:rFonts w:ascii="Arial" w:hAnsi="Arial"/>
          <w:i w:val="1"/>
          <w:iCs w:val="1"/>
          <w:sz w:val="22"/>
          <w:szCs w:val="22"/>
          <w:rtl w:val="0"/>
          <w:lang w:val="en-US"/>
        </w:rPr>
        <w:t>C. difficile</w:t>
      </w:r>
      <w:r>
        <w:rPr>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Fonts w:ascii="Arial" w:hAnsi="Arial"/>
          <w:i w:val="1"/>
          <w:iCs w:val="1"/>
          <w:sz w:val="22"/>
          <w:szCs w:val="22"/>
          <w:rtl w:val="0"/>
          <w:lang w:val="en-US"/>
        </w:rPr>
        <w:t>C. difficile</w:t>
      </w:r>
      <w:r>
        <w:rPr>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light of the results presented here, our method strongly supports that </w:t>
      </w:r>
      <w:r>
        <w:rPr>
          <w:rFonts w:ascii="Arial" w:hAnsi="Arial"/>
          <w:i w:val="1"/>
          <w:iCs w:val="1"/>
          <w:sz w:val="22"/>
          <w:szCs w:val="22"/>
          <w:rtl w:val="0"/>
          <w:lang w:val="en-US"/>
        </w:rPr>
        <w:t>C. difficile</w:t>
      </w:r>
      <w:r>
        <w:rPr>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Fonts w:ascii="Arial" w:hAnsi="Arial"/>
          <w:i w:val="1"/>
          <w:iCs w:val="1"/>
          <w:sz w:val="22"/>
          <w:szCs w:val="22"/>
          <w:rtl w:val="0"/>
          <w:lang w:val="en-US"/>
        </w:rPr>
        <w:t>C. difficile</w:t>
      </w:r>
      <w:r>
        <w:rPr>
          <w:rFonts w:ascii="Arial" w:hAnsi="Arial"/>
          <w:sz w:val="22"/>
          <w:szCs w:val="22"/>
          <w:rtl w:val="0"/>
          <w:lang w:val="en-US"/>
        </w:rPr>
        <w:t xml:space="preserve"> from the human gut. Different classes of antibiotics may each result in a unique gut environment which </w:t>
      </w:r>
      <w:r>
        <w:rPr>
          <w:rFonts w:ascii="Arial" w:hAnsi="Arial"/>
          <w:i w:val="1"/>
          <w:iCs w:val="1"/>
          <w:sz w:val="22"/>
          <w:szCs w:val="22"/>
          <w:rtl w:val="0"/>
          <w:lang w:val="en-US"/>
        </w:rPr>
        <w:t>C. difficile</w:t>
      </w:r>
      <w:r>
        <w:rPr>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Fonts w:ascii="Arial" w:hAnsi="Arial"/>
          <w:i w:val="1"/>
          <w:iCs w:val="1"/>
          <w:sz w:val="22"/>
          <w:szCs w:val="22"/>
          <w:rtl w:val="0"/>
          <w:lang w:val="en-US"/>
        </w:rPr>
        <w:t>C. difficile</w:t>
      </w:r>
      <w:r>
        <w:rPr>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Fonts w:ascii="Arial" w:hAnsi="Arial"/>
          <w:i w:val="1"/>
          <w:iCs w:val="1"/>
          <w:sz w:val="22"/>
          <w:szCs w:val="22"/>
          <w:rtl w:val="0"/>
          <w:lang w:val="en-US"/>
        </w:rPr>
        <w:t>C. difficile</w:t>
      </w:r>
      <w:r>
        <w:rPr>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 conclusion, our findings indicate that </w:t>
      </w:r>
      <w:r>
        <w:rPr>
          <w:rFonts w:ascii="Arial" w:hAnsi="Arial"/>
          <w:i w:val="1"/>
          <w:iCs w:val="1"/>
          <w:sz w:val="22"/>
          <w:szCs w:val="22"/>
          <w:rtl w:val="0"/>
          <w:lang w:val="en-US"/>
        </w:rPr>
        <w:t>C. difficile</w:t>
      </w:r>
      <w:r>
        <w:rPr>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Fonts w:ascii="Arial" w:hAnsi="Arial"/>
          <w:i w:val="1"/>
          <w:iCs w:val="1"/>
          <w:sz w:val="22"/>
          <w:szCs w:val="22"/>
          <w:rtl w:val="0"/>
          <w:lang w:val="en-US"/>
        </w:rPr>
        <w:t>C. difficile</w:t>
      </w:r>
      <w:r>
        <w:rPr>
          <w:rFonts w:ascii="Arial" w:hAnsi="Arial"/>
          <w:sz w:val="22"/>
          <w:szCs w:val="22"/>
          <w:rtl w:val="0"/>
          <w:lang w:val="en-US"/>
        </w:rPr>
        <w:t xml:space="preserve">. Context-dependent limitation of certain </w:t>
      </w:r>
      <w:r>
        <w:rPr>
          <w:rFonts w:ascii="Arial" w:hAnsi="Arial"/>
          <w:i w:val="1"/>
          <w:iCs w:val="1"/>
          <w:sz w:val="22"/>
          <w:szCs w:val="22"/>
          <w:rtl w:val="0"/>
          <w:lang w:val="en-US"/>
        </w:rPr>
        <w:t>C. difficile</w:t>
      </w:r>
      <w:r>
        <w:rPr>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Fonts w:ascii="Arial" w:hAnsi="Arial"/>
          <w:i w:val="1"/>
          <w:iCs w:val="1"/>
          <w:sz w:val="22"/>
          <w:szCs w:val="22"/>
          <w:rtl w:val="0"/>
          <w:lang w:val="en-US"/>
        </w:rPr>
        <w:t>C. difficile</w:t>
      </w:r>
      <w:r>
        <w:rPr>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 xml:space="preserve">The known Stickland fermentation pathway in </w:t>
      </w:r>
      <w:r>
        <w:rPr>
          <w:rFonts w:ascii="Arial" w:hAnsi="Arial"/>
          <w:i w:val="1"/>
          <w:iCs w:val="1"/>
          <w:sz w:val="22"/>
          <w:szCs w:val="22"/>
          <w:rtl w:val="0"/>
          <w:lang w:val="en-US"/>
        </w:rPr>
        <w:t>C. difficile</w:t>
      </w:r>
      <w:r>
        <w:rPr>
          <w:rFonts w:ascii="Arial" w:hAnsi="Arial"/>
          <w:sz w:val="22"/>
          <w:szCs w:val="22"/>
          <w:rtl w:val="0"/>
          <w:lang w:val="en-US"/>
        </w:rPr>
        <w:t xml:space="preserve"> couples the oxidation and reduction of proline an glycine to generate ATP (Neumann-Schaal, 2015). Transcription of specifically the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prd</w:t>
      </w:r>
      <w:r>
        <w:rPr>
          <w:rFonts w:ascii="Arial" w:hAnsi="Arial"/>
          <w:sz w:val="22"/>
          <w:szCs w:val="22"/>
          <w:rtl w:val="0"/>
          <w:lang w:val="en-US"/>
        </w:rPr>
        <w:t xml:space="preserve"> operons indicates that both proline and glycine are present and the associated metabolic pathways have most likely been activated (Bouillaut, 2013).</w:t>
      </w:r>
    </w:p>
    <w:p>
      <w:pPr>
        <w:pStyle w:val="Default"/>
        <w:shd w:val="clear" w:color="auto" w:fill="ffffff"/>
        <w:spacing w:line="480" w:lineRule="auto"/>
        <w:jc w:val="both"/>
        <w:rPr>
          <w:rFonts w:ascii="Arial" w:cs="Arial" w:hAnsi="Arial" w:eastAsia="Arial"/>
          <w:sz w:val="22"/>
          <w:szCs w:val="22"/>
        </w:rPr>
      </w:pPr>
      <w:r>
        <w:rPr>
          <w:rFonts w:ascii="Arial Unicode MS" w:cs="Arial Unicode MS" w:hAnsi="Arial Unicode MS" w:eastAsia="Arial Unicode MS"/>
          <w:sz w:val="22"/>
          <w:szCs w:val="22"/>
        </w:rPr>
        <w:br w:type="textWrapping"/>
      </w:r>
      <w:r>
        <w:rPr>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(Fig. 3D). These systems have been linked to the lifestyle switch from growth/division to virulence/transmission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(Darkoh, 2015; Carter, 2005). Transcripts for </w:t>
      </w:r>
      <w:r>
        <w:rPr>
          <w:rStyle w:val="None"/>
          <w:rFonts w:ascii="Arial" w:hAnsi="Arial"/>
          <w:i w:val="1"/>
          <w:iCs w:val="1"/>
          <w:sz w:val="22"/>
          <w:szCs w:val="22"/>
          <w:rtl w:val="0"/>
          <w:lang w:val="en-US"/>
        </w:rPr>
        <w:t>agrB</w:t>
      </w:r>
      <w:r>
        <w:rPr>
          <w:rStyle w:val="None"/>
          <w:rFonts w:ascii="Arial" w:hAnsi="Arial"/>
          <w:sz w:val="22"/>
          <w:szCs w:val="22"/>
          <w:rtl w:val="0"/>
          <w:lang w:val="en-US"/>
        </w:rPr>
        <w:t xml:space="preserve">, </w:t>
      </w:r>
      <w:r>
        <w:rPr>
          <w:rStyle w:val="None"/>
          <w:rFonts w:ascii="Arial" w:hAnsi="Arial"/>
          <w:i w:val="1"/>
          <w:iCs w:val="1"/>
          <w:sz w:val="22"/>
          <w:szCs w:val="22"/>
          <w:rtl w:val="0"/>
          <w:lang w:val="en-US"/>
        </w:rPr>
        <w:t>agrD</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luxS</w:t>
      </w:r>
      <w:r>
        <w:rPr>
          <w:rStyle w:val="None"/>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w:rFonts w:ascii="Arial" w:hAnsi="Arial"/>
          <w:b w:val="1"/>
          <w:bCs w:val="1"/>
          <w:sz w:val="22"/>
          <w:szCs w:val="22"/>
          <w:rtl w:val="0"/>
          <w:lang w:val="en-US"/>
        </w:rPr>
        <w:t xml:space="preserve">Animal care and antibiotic administration. </w:t>
      </w:r>
      <w:r>
        <w:rPr>
          <w:rStyle w:val="None"/>
          <w:rFonts w:ascii="Arial" w:hAnsi="Arial"/>
          <w:sz w:val="22"/>
          <w:szCs w:val="22"/>
          <w:rtl w:val="0"/>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infection and necropsy.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were administered to mice via oral gavage in </w:t>
      </w:r>
      <w:r>
        <w:rPr>
          <w:rStyle w:val="None"/>
          <w:rFonts w:ascii="Arial" w:hAnsi="Arial" w:hint="default"/>
          <w:sz w:val="22"/>
          <w:szCs w:val="22"/>
          <w:rtl w:val="0"/>
          <w:lang w:val="en-US"/>
        </w:rPr>
        <w:t>×</w:t>
      </w:r>
      <w:r>
        <w:rPr>
          <w:rStyle w:val="None"/>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w:rFonts w:ascii="Arial" w:hAnsi="Arial" w:hint="default"/>
          <w:sz w:val="22"/>
          <w:szCs w:val="22"/>
          <w:rtl w:val="0"/>
          <w:lang w:val="en-US"/>
        </w:rPr>
        <w:t>μ</w:t>
      </w:r>
      <w:r>
        <w:rPr>
          <w:rStyle w:val="None"/>
          <w:rFonts w:ascii="Arial" w:hAnsi="Arial"/>
          <w:sz w:val="22"/>
          <w:szCs w:val="22"/>
          <w:rtl w:val="0"/>
          <w:lang w:val="en-US"/>
        </w:rPr>
        <w:t xml:space="preserve">l </w:t>
      </w:r>
      <w:r>
        <w:rPr>
          <w:rStyle w:val="None"/>
          <w:rFonts w:ascii="Arial" w:hAnsi="Arial" w:hint="default"/>
          <w:sz w:val="22"/>
          <w:szCs w:val="22"/>
          <w:rtl w:val="0"/>
          <w:lang w:val="en-US"/>
        </w:rPr>
        <w:t>×</w:t>
      </w:r>
      <w:r>
        <w:rPr>
          <w:rStyle w:val="None"/>
          <w:rFonts w:ascii="Arial" w:hAnsi="Arial"/>
          <w:sz w:val="22"/>
          <w:szCs w:val="22"/>
          <w:rtl w:val="0"/>
          <w:lang w:val="en-US"/>
        </w:rPr>
        <w:t xml:space="preserve">1 PBS at the same time as those mice administered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w:rFonts w:ascii="Arial" w:hAnsi="Arial" w:hint="default"/>
          <w:sz w:val="22"/>
          <w:szCs w:val="22"/>
          <w:rtl w:val="0"/>
          <w:lang w:val="en-US"/>
        </w:rPr>
        <w:t>μ</w:t>
      </w:r>
      <w:r>
        <w:rPr>
          <w:rStyle w:val="None"/>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w:rFonts w:ascii="Arial" w:hAnsi="Arial" w:hint="default"/>
          <w:sz w:val="22"/>
          <w:szCs w:val="22"/>
          <w:rtl w:val="0"/>
          <w:lang w:val="en-US"/>
        </w:rPr>
        <w:t xml:space="preserve">° </w:t>
      </w:r>
      <w:r>
        <w:rPr>
          <w:rStyle w:val="None"/>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cultivation and quantification. </w:t>
      </w:r>
      <w:r>
        <w:rPr>
          <w:rStyle w:val="None"/>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w:rFonts w:ascii="Arial" w:hAnsi="Arial" w:hint="default"/>
          <w:sz w:val="22"/>
          <w:szCs w:val="22"/>
          <w:rtl w:val="0"/>
          <w:lang w:val="en-US"/>
        </w:rPr>
        <w:t xml:space="preserve">° </w:t>
      </w:r>
      <w:r>
        <w:rPr>
          <w:rStyle w:val="None"/>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w:rFonts w:ascii="Arial" w:hAnsi="Arial" w:hint="default"/>
          <w:sz w:val="22"/>
          <w:szCs w:val="22"/>
          <w:rtl w:val="0"/>
          <w:lang w:val="en-US"/>
        </w:rPr>
        <w:t xml:space="preserve">° </w:t>
      </w:r>
      <w:r>
        <w:rPr>
          <w:rStyle w:val="None"/>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w:rFonts w:ascii="Arial" w:hAnsi="Arial" w:hint="default"/>
          <w:sz w:val="22"/>
          <w:szCs w:val="22"/>
          <w:rtl w:val="0"/>
          <w:lang w:val="en-US"/>
        </w:rPr>
        <w:t xml:space="preserve">° </w:t>
      </w:r>
      <w:r>
        <w:rPr>
          <w:rStyle w:val="None"/>
          <w:rFonts w:ascii="Arial" w:hAnsi="Arial"/>
          <w:sz w:val="22"/>
          <w:szCs w:val="22"/>
          <w:rtl w:val="0"/>
          <w:lang w:val="en-US"/>
        </w:rPr>
        <w:t>C, CFUs from spores were quantified. Significant differences were determined by Holm-Bonferroni corrected Wilcoxon tests.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Measurement of residual antibiotics in cecal content.</w:t>
      </w:r>
      <w:r>
        <w:rPr>
          <w:rStyle w:val="None"/>
          <w:rFonts w:ascii="Arial" w:hAnsi="Arial"/>
          <w:sz w:val="22"/>
          <w:szCs w:val="22"/>
          <w:rtl w:val="0"/>
          <w:lang w:val="en-US"/>
        </w:rPr>
        <w:t xml:space="preserve">  Disk diffusion assays were performed using separate, newly plated lawns of </w:t>
      </w:r>
      <w:r>
        <w:rPr>
          <w:rStyle w:val="None"/>
          <w:rFonts w:ascii="Arial" w:hAnsi="Arial"/>
          <w:i w:val="1"/>
          <w:iCs w:val="1"/>
          <w:sz w:val="22"/>
          <w:szCs w:val="22"/>
          <w:rtl w:val="0"/>
          <w:lang w:val="en-US"/>
        </w:rPr>
        <w:t>Clostridium difficile</w:t>
      </w:r>
      <w:r>
        <w:rPr>
          <w:rStyle w:val="None"/>
          <w:rFonts w:ascii="Arial" w:hAnsi="Arial"/>
          <w:sz w:val="22"/>
          <w:szCs w:val="22"/>
          <w:rtl w:val="0"/>
          <w:lang w:val="en-US"/>
        </w:rPr>
        <w:t xml:space="preserve"> str. 630 and </w:t>
      </w:r>
      <w:r>
        <w:rPr>
          <w:rStyle w:val="None"/>
          <w:rFonts w:ascii="Arial" w:hAnsi="Arial"/>
          <w:i w:val="1"/>
          <w:iCs w:val="1"/>
          <w:sz w:val="22"/>
          <w:szCs w:val="22"/>
          <w:rtl w:val="0"/>
          <w:lang w:val="en-US"/>
        </w:rPr>
        <w:t>Bifidobacterium longum</w:t>
      </w:r>
      <w:r>
        <w:rPr>
          <w:rStyle w:val="None"/>
          <w:rFonts w:ascii="Arial" w:hAnsi="Arial"/>
          <w:sz w:val="22"/>
          <w:szCs w:val="22"/>
          <w:rtl w:val="0"/>
          <w:lang w:val="en-US"/>
        </w:rPr>
        <w:t xml:space="preserve"> subspec. </w:t>
      </w:r>
      <w:r>
        <w:rPr>
          <w:rStyle w:val="None"/>
          <w:rFonts w:ascii="Arial" w:hAnsi="Arial"/>
          <w:i w:val="1"/>
          <w:iCs w:val="1"/>
          <w:sz w:val="22"/>
          <w:szCs w:val="22"/>
          <w:rtl w:val="0"/>
          <w:lang w:val="en-US"/>
        </w:rPr>
        <w:t>longum</w:t>
      </w:r>
      <w:r>
        <w:rPr>
          <w:rStyle w:val="None"/>
          <w:rFonts w:ascii="Arial" w:hAnsi="Arial"/>
          <w:sz w:val="22"/>
          <w:szCs w:val="22"/>
          <w:rtl w:val="0"/>
          <w:lang w:val="en-US"/>
        </w:rPr>
        <w:t xml:space="preserve"> on BHIS agar. 500 </w:t>
      </w:r>
      <w:r>
        <w:rPr>
          <w:rStyle w:val="None"/>
          <w:rFonts w:ascii="Arial" w:hAnsi="Arial" w:hint="default"/>
          <w:sz w:val="22"/>
          <w:szCs w:val="22"/>
          <w:rtl w:val="0"/>
          <w:lang w:val="en-US"/>
        </w:rPr>
        <w:t>μ</w:t>
      </w:r>
      <w:r>
        <w:rPr>
          <w:rStyle w:val="None"/>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Style w:val="None"/>
          <w:rFonts w:ascii="Arial" w:hAnsi="Arial" w:hint="default"/>
          <w:sz w:val="22"/>
          <w:szCs w:val="22"/>
          <w:rtl w:val="0"/>
          <w:lang w:val="en-US"/>
        </w:rPr>
        <w:t>μ</w:t>
      </w:r>
      <w:r>
        <w:rPr>
          <w:rStyle w:val="None"/>
          <w:rFonts w:ascii="Arial" w:hAnsi="Arial"/>
          <w:sz w:val="22"/>
          <w:szCs w:val="22"/>
          <w:rtl w:val="0"/>
          <w:lang w:val="en-US"/>
        </w:rPr>
        <w:t>l supernatant from spun cecal content and added to plated bacteria in triplicate. Plates were anaerobically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toxin titer assay.</w:t>
      </w:r>
      <w:r>
        <w:rPr>
          <w:rStyle w:val="None"/>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5</w:t>
      </w:r>
      <w:r>
        <w:rPr>
          <w:rStyle w:val="None"/>
          <w:rFonts w:ascii="Arial" w:hAnsi="Arial"/>
          <w:sz w:val="22"/>
          <w:szCs w:val="22"/>
          <w:rtl w:val="0"/>
          <w:lang w:val="en-US"/>
        </w:rPr>
        <w:t xml:space="preserve"> cells were seeded in each well of a 96-well plate and incubated for 4 hours. Filtered cecal content was serially diluted 1:10 in </w:t>
      </w:r>
      <w:r>
        <w:rPr>
          <w:rStyle w:val="None"/>
          <w:rFonts w:ascii="Arial" w:hAnsi="Arial" w:hint="default"/>
          <w:sz w:val="22"/>
          <w:szCs w:val="22"/>
          <w:rtl w:val="0"/>
          <w:lang w:val="en-US"/>
        </w:rPr>
        <w:t>×</w:t>
      </w:r>
      <w:r>
        <w:rPr>
          <w:rStyle w:val="None"/>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Plates were viewed after 24 hours at </w:t>
      </w:r>
      <w:r>
        <w:rPr>
          <w:rStyle w:val="None"/>
          <w:rFonts w:ascii="Arial" w:hAnsi="Arial" w:hint="default"/>
          <w:sz w:val="22"/>
          <w:szCs w:val="22"/>
          <w:rtl w:val="0"/>
          <w:lang w:val="en-US"/>
        </w:rPr>
        <w:t>×</w:t>
      </w:r>
      <w:r>
        <w:rPr>
          <w:rStyle w:val="None"/>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RNA extraction and library preparation. </w:t>
      </w:r>
      <w:r>
        <w:rPr>
          <w:rStyle w:val="None"/>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w:rFonts w:ascii="Arial" w:hAnsi="Arial"/>
          <w:i w:val="1"/>
          <w:iCs w:val="1"/>
          <w:sz w:val="22"/>
          <w:szCs w:val="22"/>
          <w:rtl w:val="0"/>
          <w:lang w:val="en-US"/>
        </w:rPr>
        <w:t>C. difficile</w:t>
      </w:r>
      <w:r>
        <w:rPr>
          <w:rStyle w:val="None"/>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l of RNase-free water.</w:t>
      </w:r>
    </w:p>
    <w:p>
      <w:pPr>
        <w:pStyle w:val="Default"/>
        <w:shd w:val="clear" w:color="auto" w:fill="ffffff"/>
        <w:spacing w:line="480" w:lineRule="auto"/>
        <w:jc w:val="both"/>
      </w:pPr>
      <w:r>
        <w:rPr>
          <w:rStyle w:val="None"/>
          <w:rFonts w:ascii="Arial" w:cs="Arial" w:hAnsi="Arial" w:eastAsia="Arial"/>
          <w:sz w:val="22"/>
          <w:szCs w:val="22"/>
          <w:rtl w:val="0"/>
        </w:rPr>
        <w:tab/>
        <w:t xml:space="preserve">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Also, prior to library construction, quality and integrity as measured again using the Agilent RNA 6000 Pico Kit and stranded RNA-Seq libraries were made constructed with the TruSeq Total RNA Library Preparation Kit v2, both using the manufacturer's protocol. 2x50 bp sequencing was finally performed using an Illumina HiSeq 2500.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shd w:val="clear" w:color="auto" w:fill="ffff00"/>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w:rFonts w:ascii="Arial" w:hAnsi="Arial"/>
          <w:sz w:val="22"/>
          <w:szCs w:val="22"/>
          <w:rtl w:val="0"/>
          <w:lang w:val="en-US"/>
        </w:rPr>
        <w:t>), leaving ~150,000 reads per sample for final analysis. The remaining mappings were converted to idxstats format using Samtools (Li, 2009) and the read counts per gene were tabulated. Discordant pair mappings were discarded and counts were then normalized to read length and gene length. Each collection of reads was then 1000-fold iteratively subsampled to 97,930 reads to generate bootstrapped medians for each gene.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Bipartite Metabolic Modeling.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package in R.</w:t>
      </w:r>
    </w:p>
    <w:p>
      <w:pPr>
        <w:pStyle w:val="Default"/>
        <w:shd w:val="clear" w:color="auto" w:fill="ffffff"/>
        <w:spacing w:line="480" w:lineRule="auto"/>
        <w:jc w:val="both"/>
      </w:pPr>
      <w:r>
        <w:rPr>
          <w:rStyle w:val="None"/>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4A). 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 xml:space="preserve">To calculate substrate importance, we used rarefied transcriptomic abundances mapped to their respective enzymes (represented by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and </w:t>
      </w:r>
      <w:r>
        <w:rPr>
          <w:rStyle w:val="None"/>
          <w:rFonts w:ascii="Arial" w:hAnsi="Arial"/>
          <w:b w:val="1"/>
          <w:bCs w:val="1"/>
          <w:sz w:val="22"/>
          <w:szCs w:val="22"/>
          <w:rtl w:val="0"/>
          <w:lang w:val="en-US"/>
        </w:rPr>
        <w:t>t</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representing the reactions they mediate that either create or utilize the substrate (</w:t>
      </w:r>
      <w:r>
        <w:rPr>
          <w:rStyle w:val="None"/>
          <w:rFonts w:ascii="Arial" w:hAnsi="Arial"/>
          <w:b w:val="1"/>
          <w:bCs w:val="1"/>
          <w:sz w:val="22"/>
          <w:szCs w:val="22"/>
          <w:rtl w:val="0"/>
          <w:lang w:val="en-US"/>
        </w:rPr>
        <w:t>s</w:t>
      </w:r>
      <w:r>
        <w:rPr>
          <w:rStyle w:val="None"/>
          <w:rFonts w:ascii="Arial" w:hAnsi="Arial"/>
          <w:sz w:val="22"/>
          <w:szCs w:val="22"/>
          <w:rtl w:val="0"/>
          <w:lang w:val="en-US"/>
        </w:rPr>
        <w:t>). The sum is then taken of transcript abundances for enzyme nodes that connect with a given substrate node with the same direction edge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o</w:t>
      </w:r>
      <w:r>
        <w:rPr>
          <w:rStyle w:val="None"/>
          <w:rFonts w:ascii="Arial" w:hAnsi="Arial"/>
          <w:sz w:val="22"/>
          <w:szCs w:val="22"/>
          <w:rtl w:val="0"/>
          <w:lang w:val="en-US"/>
        </w:rPr>
        <w:t xml:space="preserve"> or </w:t>
      </w:r>
      <w:r>
        <w:rPr>
          <w:rStyle w:val="None"/>
          <w:rFonts w:ascii="Arial" w:hAnsi="Arial"/>
          <w:b w:val="1"/>
          <w:bCs w:val="1"/>
          <w:sz w:val="22"/>
          <w:szCs w:val="22"/>
          <w:rtl w:val="0"/>
          <w:lang w:val="en-US"/>
        </w:rPr>
        <w:t>e</w:t>
      </w:r>
      <w:r>
        <w:rPr>
          <w:rStyle w:val="None"/>
          <w:rFonts w:ascii="Arial" w:hAnsi="Arial"/>
          <w:b w:val="1"/>
          <w:bCs w:val="1"/>
          <w:sz w:val="22"/>
          <w:szCs w:val="22"/>
          <w:vertAlign w:val="subscript"/>
          <w:rtl w:val="0"/>
          <w:lang w:val="en-US"/>
        </w:rPr>
        <w:t>i</w:t>
      </w:r>
      <w:r>
        <w:rPr>
          <w:rStyle w:val="None"/>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sz w:val="22"/>
          <w:szCs w:val="22"/>
          <w:rtl w:val="0"/>
          <w:lang w:val="en-US"/>
        </w:rPr>
        <w:t>By comparing the calculated scores to their simulated mean and standard deviation from iterative randomization, we were able to detect which substrate scores were most likely not from consistent high scoring due to a large degree of centrality.</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Mathematical validation of metabolite importance scores. </w:t>
      </w:r>
      <w:r>
        <w:rPr>
          <w:rStyle w:val="None"/>
          <w:rFonts w:ascii="Arial" w:hAnsi="Arial"/>
          <w:sz w:val="22"/>
          <w:szCs w:val="22"/>
          <w:rtl w:val="0"/>
          <w:lang w:val="en-US"/>
        </w:rPr>
        <w:t xml:space="preserve">As sequencing replicates of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None"/>
          <w:rFonts w:ascii="Arial" w:hAnsi="Arial"/>
          <w:sz w:val="22"/>
          <w:szCs w:val="22"/>
          <w:rtl w:val="0"/>
          <w:lang w:val="en-US"/>
        </w:rPr>
        <w:t xml:space="preserve">The carbon-free variation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w:rFonts w:ascii="Arial" w:hAnsi="Arial" w:hint="default"/>
          <w:sz w:val="22"/>
          <w:szCs w:val="22"/>
          <w:rtl w:val="0"/>
          <w:lang w:val="en-US"/>
        </w:rPr>
        <w:t>μ</w:t>
      </w:r>
      <w:r>
        <w:rPr>
          <w:rStyle w:val="None"/>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false changes to optical density due to dessication.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None"/>
          <w:rFonts w:ascii="Arial" w:hAnsi="Arial"/>
          <w:sz w:val="22"/>
          <w:szCs w:val="22"/>
          <w:rtl w:val="0"/>
          <w:lang w:val="en-US"/>
        </w:rPr>
        <w:t xml:space="preserve">, 92.0% N, 0.0% 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grown for 14 hours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w:rFonts w:ascii="Arial" w:hAnsi="Arial" w:hint="default"/>
          <w:sz w:val="22"/>
          <w:szCs w:val="22"/>
          <w:rtl w:val="0"/>
          <w:lang w:val="en-US"/>
        </w:rPr>
        <w:t>μ</w:t>
      </w:r>
      <w:r>
        <w:rPr>
          <w:rStyle w:val="None"/>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w:rFonts w:ascii="Arial" w:hAnsi="Arial" w:hint="default"/>
          <w:sz w:val="22"/>
          <w:szCs w:val="22"/>
          <w:rtl w:val="0"/>
          <w:lang w:val="en-US"/>
        </w:rPr>
        <w:t xml:space="preserve">° </w:t>
      </w:r>
      <w:r>
        <w:rPr>
          <w:rStyle w:val="None"/>
          <w:rFonts w:ascii="Arial" w:hAnsi="Arial"/>
          <w:sz w:val="22"/>
          <w:szCs w:val="2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over time in R to obtain the slope at each time point. Significant differences were determined by Holm-Bonferroni corrected 2-way ANOVA.</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Figure Legends</w:t>
      </w:r>
    </w:p>
    <w:p>
      <w:pPr>
        <w:pStyle w:val="Default"/>
        <w:shd w:val="clear" w:color="auto" w:fill="ffffff"/>
        <w:spacing w:line="480" w:lineRule="auto"/>
        <w:jc w:val="both"/>
      </w:pPr>
      <w:r>
        <w:rPr>
          <w:rStyle w:val="None"/>
          <w:rFonts w:ascii="Arial" w:hAnsi="Arial"/>
          <w:b w:val="1"/>
          <w:bCs w:val="1"/>
          <w:sz w:val="22"/>
          <w:szCs w:val="22"/>
          <w:rtl w:val="0"/>
          <w:lang w:val="en-US"/>
        </w:rPr>
        <w:t xml:space="preserve">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phenotype quantification 18 hours after infection. </w:t>
      </w:r>
      <w:r>
        <w:rPr>
          <w:rStyle w:val="None"/>
          <w:rFonts w:ascii="Arial" w:hAnsi="Arial"/>
          <w:sz w:val="22"/>
          <w:szCs w:val="22"/>
          <w:rtl w:val="0"/>
          <w:lang w:val="en-US"/>
        </w:rPr>
        <w:t xml:space="preserve"> (n = 9 per treatment group).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Toxin titer from cecal content measured by activity in Vero cell rounding assay.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monoassociated with germfree mice displayed significantly more toxin activity than any antibiotic treatment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Vegetative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CFU and </w:t>
      </w:r>
      <w:r>
        <w:rPr>
          <w:rStyle w:val="None"/>
          <w:rFonts w:ascii="Arial" w:hAnsi="Arial"/>
          <w:b w:val="1"/>
          <w:bCs w:val="1"/>
          <w:sz w:val="22"/>
          <w:szCs w:val="22"/>
          <w:rtl w:val="0"/>
          <w:lang w:val="en-US"/>
        </w:rPr>
        <w:t xml:space="preserve">C)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 CFU. No statistical differences were observed in vegetative cell quantification, however germfree mice had significantly more spores than antibiotic treatment groups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Grey asterisks indicate significant differences between all other groups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0.01). Undetectable points are shown just below the limit of detection, however differences were calculated for these points using the limit of detection.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3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None"/>
          <w:rFonts w:ascii="Arial" w:hAnsi="Arial"/>
          <w:sz w:val="22"/>
          <w:szCs w:val="22"/>
          <w:rtl w:val="0"/>
          <w:lang w:val="en-US"/>
        </w:rPr>
        <w:t xml:space="preserve">The median of subsampled gene abundances, shown with 95% confidence interval.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Select sigma factors which their expression has been linked to environment cues.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Majority of known genes from the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sporulation pathway. Many key genes for sporulation display differential expression between treatment groups.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Transcript recruitment to pathogenicity loci, including both the standard PaLoc genes as well as </w:t>
      </w:r>
      <w:r>
        <w:rPr>
          <w:rStyle w:val="None"/>
          <w:rFonts w:ascii="Arial" w:hAnsi="Arial"/>
          <w:i w:val="1"/>
          <w:iCs w:val="1"/>
          <w:sz w:val="22"/>
          <w:szCs w:val="22"/>
          <w:rtl w:val="0"/>
          <w:lang w:val="en-US"/>
        </w:rPr>
        <w:t>cdtR</w:t>
      </w:r>
      <w:r>
        <w:rPr>
          <w:rStyle w:val="None"/>
          <w:rFonts w:ascii="Arial" w:hAnsi="Arial"/>
          <w:sz w:val="22"/>
          <w:szCs w:val="22"/>
          <w:rtl w:val="0"/>
          <w:lang w:val="en-US"/>
        </w:rPr>
        <w:t xml:space="preserve"> but not the genes for binary toxin as they are absent in str. 630. </w:t>
      </w:r>
      <w:r>
        <w:rPr>
          <w:rStyle w:val="None"/>
          <w:rFonts w:ascii="Arial" w:hAnsi="Arial"/>
          <w:b w:val="1"/>
          <w:bCs w:val="1"/>
          <w:sz w:val="22"/>
          <w:szCs w:val="22"/>
          <w:rtl w:val="0"/>
          <w:lang w:val="en-US"/>
        </w:rPr>
        <w:t>D)</w:t>
      </w:r>
      <w:r>
        <w:rPr>
          <w:rStyle w:val="None"/>
          <w:rFonts w:ascii="Arial" w:hAnsi="Arial"/>
          <w:sz w:val="22"/>
          <w:szCs w:val="22"/>
          <w:rtl w:val="0"/>
          <w:lang w:val="en-US"/>
        </w:rPr>
        <w:t xml:space="preserve"> Genes associated with quorum sensing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are detected at approximately even levels in each antibiotic pretreatment.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 xml:space="preserve">Figure 4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A)</w:t>
      </w:r>
      <w:r>
        <w:rPr>
          <w:rStyle w:val="None"/>
          <w:rFonts w:ascii="Arial" w:hAnsi="Arial"/>
          <w:sz w:val="22"/>
          <w:szCs w:val="22"/>
          <w:rtl w:val="0"/>
          <w:lang w:val="en-US"/>
        </w:rPr>
        <w:t xml:space="preserve"> Ternary plot of all genes with with any transcripts mapping to them are included.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Groups from (A) are also plotted separately in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through </w:t>
      </w:r>
      <w:r>
        <w:rPr>
          <w:rStyle w:val="None"/>
          <w:rFonts w:ascii="Arial" w:hAnsi="Arial"/>
          <w:b w:val="1"/>
          <w:bCs w:val="1"/>
          <w:sz w:val="22"/>
          <w:szCs w:val="22"/>
          <w:rtl w:val="0"/>
          <w:lang w:val="en-US"/>
        </w:rPr>
        <w:t>I)</w:t>
      </w:r>
      <w:r>
        <w:rPr>
          <w:rStyle w:val="None"/>
          <w:rFonts w:ascii="Arial" w:hAnsi="Arial"/>
          <w:sz w:val="22"/>
          <w:szCs w:val="22"/>
          <w:rtl w:val="0"/>
          <w:lang w:val="en-US"/>
        </w:rPr>
        <w:t xml:space="preserve"> without size differences so all points are visible.</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w:rFonts w:ascii="Arial" w:hAnsi="Arial"/>
          <w:i w:val="1"/>
          <w:iCs w:val="1"/>
          <w:sz w:val="22"/>
          <w:szCs w:val="22"/>
          <w:shd w:val="clear" w:color="auto" w:fill="00ffff"/>
          <w:rtl w:val="0"/>
          <w:lang w:val="en-US"/>
        </w:rPr>
        <w:t>C. difficile</w:t>
      </w:r>
      <w:r>
        <w:rPr>
          <w:rStyle w:val="None"/>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pPr>
      <w:r>
        <w:rPr>
          <w:rStyle w:val="None"/>
          <w:rFonts w:ascii="Arial" w:hAnsi="Arial"/>
          <w:b w:val="1"/>
          <w:bCs w:val="1"/>
          <w:sz w:val="22"/>
          <w:szCs w:val="22"/>
          <w:rtl w:val="0"/>
          <w:lang w:val="en-US"/>
        </w:rPr>
        <w:t xml:space="preserve">Figure 5 | Genome-scale bipartite metabolic modeling results using the transcriptome of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in each colonized environment. A) </w:t>
      </w:r>
      <w:r>
        <w:rPr>
          <w:rStyle w:val="None"/>
          <w:rFonts w:ascii="Arial" w:hAnsi="Arial"/>
          <w:sz w:val="22"/>
          <w:szCs w:val="22"/>
          <w:rtl w:val="0"/>
          <w:lang w:val="en-US"/>
        </w:rPr>
        <w:t xml:space="preserve">Largest component from the bipartite genome-scale metabolic model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Transcript abundances are from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shared metabolites</w:t>
      </w:r>
    </w:p>
    <w:p>
      <w:pPr>
        <w:pStyle w:val="Default"/>
        <w:shd w:val="clear" w:color="auto" w:fill="ffffff"/>
        <w:spacing w:line="480" w:lineRule="auto"/>
        <w:jc w:val="both"/>
      </w:pPr>
      <w:r>
        <w:rPr>
          <w:rStyle w:val="None"/>
          <w:rFonts w:ascii="Arial" w:hAnsi="Arial"/>
          <w:b w:val="1"/>
          <w:bCs w:val="1"/>
          <w:sz w:val="22"/>
          <w:szCs w:val="22"/>
          <w:rtl w:val="0"/>
          <w:lang w:val="en-US"/>
        </w:rPr>
        <w:t xml:space="preserve">C) </w:t>
      </w:r>
      <w:r>
        <w:rPr>
          <w:rStyle w:val="None"/>
          <w:rFonts w:ascii="Arial" w:hAnsi="Arial"/>
          <w:sz w:val="22"/>
          <w:szCs w:val="22"/>
          <w:rtl w:val="0"/>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 D</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significantly more than </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Glucose + Amino Acids controls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&lt;&lt; 0.001). </w:t>
      </w:r>
      <w:r>
        <w:rPr>
          <w:rStyle w:val="None"/>
          <w:rFonts w:ascii="Arial" w:hAnsi="Arial"/>
          <w:b w:val="1"/>
          <w:bCs w:val="1"/>
          <w:sz w:val="22"/>
          <w:szCs w:val="22"/>
          <w:rtl w:val="0"/>
          <w:lang w:val="en-US"/>
        </w:rPr>
        <w:t>E)</w:t>
      </w:r>
      <w:r>
        <w:rPr>
          <w:rStyle w:val="None"/>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1 |  Spore % of total CFU and toxin to spore correlations. </w:t>
      </w:r>
      <w:r>
        <w:rPr>
          <w:rStyle w:val="None"/>
          <w:rFonts w:ascii="Arial" w:hAnsi="Arial"/>
          <w:sz w:val="22"/>
          <w:szCs w:val="22"/>
          <w:rtl w:val="0"/>
          <w:lang w:val="en-US"/>
        </w:rPr>
        <w:t xml:space="preserve">Continued analysis of wetlab phenotypic data.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Spore %.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Spore toxin correlation w/o germfree.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exome coverage for each condition. </w:t>
      </w:r>
      <w:r>
        <w:rPr>
          <w:rStyle w:val="None"/>
          <w:rFonts w:ascii="Arial" w:hAnsi="Arial"/>
          <w:sz w:val="22"/>
          <w:szCs w:val="2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3 |  Expression of specific KEGG gene families.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5 |  Additional growth curves. </w:t>
      </w:r>
      <w:r>
        <w:rPr>
          <w:rStyle w:val="None"/>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6 |  Acetate data supporting network output. </w:t>
      </w:r>
      <w:r>
        <w:rPr>
          <w:rStyle w:val="None"/>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Acknowledgments</w:t>
      </w:r>
    </w:p>
    <w:p>
      <w:pPr>
        <w:pStyle w:val="Default"/>
        <w:shd w:val="clear" w:color="auto" w:fill="ffffff"/>
        <w:spacing w:line="480" w:lineRule="auto"/>
        <w:jc w:val="both"/>
      </w:pPr>
      <w:r>
        <w:rPr>
          <w:rStyle w:val="None"/>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Conflict of Interest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w:rFonts w:ascii="Arial" w:hAnsi="Arial" w:hint="default"/>
          <w:sz w:val="18"/>
          <w:szCs w:val="18"/>
          <w:rtl w:val="0"/>
          <w:lang w:val="en-US"/>
        </w:rPr>
        <w:t>–</w:t>
      </w:r>
      <w:r>
        <w:rPr>
          <w:rStyle w:val="None"/>
          <w:rFonts w:ascii="Arial" w:hAnsi="Arial"/>
          <w:sz w:val="18"/>
          <w:szCs w:val="18"/>
          <w:rtl w:val="0"/>
          <w:lang w:val="en-US"/>
        </w:rPr>
        <w:t>14487. http://doi.org/10.1073/pnas.0806162105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Purdy, D., Williams, P., &amp; Minton, N. P. (2005). Quorum sensing in Clostridium difficile: Analysis of a luxS-type signalling system. In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(Vol. 54, pp. 119</w:t>
      </w:r>
      <w:r>
        <w:rPr>
          <w:rStyle w:val="None"/>
          <w:rFonts w:ascii="Arial" w:hAnsi="Arial" w:hint="default"/>
          <w:sz w:val="18"/>
          <w:szCs w:val="18"/>
          <w:rtl w:val="0"/>
          <w:lang w:val="en-US"/>
        </w:rPr>
        <w:t>–</w:t>
      </w:r>
      <w:r>
        <w:rPr>
          <w:rStyle w:val="None"/>
          <w:rFonts w:ascii="Arial" w:hAnsi="Arial"/>
          <w:sz w:val="18"/>
          <w:szCs w:val="18"/>
          <w:rtl w:val="0"/>
          <w:lang w:val="en-US"/>
        </w:rPr>
        <w:t>127). http://doi.org/10.1099/jmm.0.45817-0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i w:val="1"/>
          <w:iCs w:val="1"/>
          <w:sz w:val="18"/>
          <w:szCs w:val="18"/>
        </w:rPr>
      </w:pPr>
      <w:r>
        <w:rPr>
          <w:rStyle w:val="None"/>
          <w:rFonts w:ascii="Arial" w:hAnsi="Arial"/>
          <w:sz w:val="18"/>
          <w:szCs w:val="18"/>
          <w:rtl w:val="0"/>
          <w:lang w:val="en-US"/>
        </w:rPr>
        <w:t xml:space="preserve">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Ho, T. D., &amp; Ellermeier, C. D. (2015). Ferric uptake regulator fur control of putative iron acquisition systems in Clostridium </w:t>
        <w:tab/>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Hundsberger, T., Braun, V., Weidmann, M., Leukel, P., Sauerborn, M., &amp; von Eichel-Streiber, C. (1997). Transcription analysis </w:t>
      </w:r>
      <w:r>
        <w:rPr>
          <w:rStyle w:val="None"/>
          <w:rFonts w:ascii="Arial" w:cs="Arial" w:hAnsi="Arial" w:eastAsia="Arial"/>
          <w:sz w:val="18"/>
          <w:szCs w:val="18"/>
          <w:rtl w:val="0"/>
          <w:lang w:val="en-US"/>
        </w:rPr>
        <w:tab/>
        <w:t xml:space="preserve">of the genes tcdA-E of the pathogenicity locus of Clostridium difficile. </w:t>
      </w:r>
      <w:r>
        <w:rPr>
          <w:rStyle w:val="None"/>
          <w:rFonts w:ascii="Arial" w:hAnsi="Arial"/>
          <w:i w:val="1"/>
          <w:iCs w:val="1"/>
          <w:sz w:val="18"/>
          <w:szCs w:val="18"/>
          <w:rtl w:val="0"/>
          <w:lang w:val="en-US"/>
        </w:rPr>
        <w:t>European Journal of Biochemistry / FEBS</w:t>
      </w:r>
      <w:r>
        <w:rPr>
          <w:rStyle w:val="None"/>
          <w:rFonts w:ascii="Arial" w:hAnsi="Arial"/>
          <w:sz w:val="18"/>
          <w:szCs w:val="18"/>
          <w:rtl w:val="0"/>
          <w:lang w:val="en-US"/>
        </w:rPr>
        <w:t xml:space="preserve">, </w:t>
        <w:tab/>
        <w:tab/>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fr-FR"/>
        </w:rPr>
        <w:t>Janoir, C., Den</w:t>
      </w:r>
      <w:r>
        <w:rPr>
          <w:rStyle w:val="None"/>
          <w:rFonts w:ascii="Arial" w:hAnsi="Arial" w:hint="default"/>
          <w:sz w:val="18"/>
          <w:szCs w:val="18"/>
          <w:rtl w:val="0"/>
          <w:lang w:val="fr-FR"/>
        </w:rPr>
        <w:t>è</w:t>
      </w:r>
      <w:r>
        <w:rPr>
          <w:rStyle w:val="None"/>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val="none" w:color="323232"/>
        </w:rPr>
      </w:pPr>
      <w:r>
        <w:rPr>
          <w:rStyle w:val="None"/>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val="1"/>
          <w:iCs w:val="1"/>
          <w:color w:val="323232"/>
          <w:sz w:val="18"/>
          <w:szCs w:val="18"/>
          <w:u w:val="none" w:color="323232"/>
          <w:rtl w:val="0"/>
          <w:lang w:val="de-DE"/>
        </w:rPr>
        <w:t>PLoS ONE</w:t>
      </w:r>
      <w:r>
        <w:rPr>
          <w:rStyle w:val="None"/>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shd w:val="clear" w:color="auto" w:fill="ffffff"/>
        <w:ind w:left="480" w:hanging="480"/>
      </w:pPr>
      <w:r>
        <w:rPr>
          <w:rStyle w:val="None"/>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Selmer, T., &amp; Andrei, P. I. (2001). p-hydroxyphenylacetate decarboxylase from Clostridium difficile: A novel glycyl radical enzyme catalysing the formation of p-cresol. European Journal of Biochemistry, 268(5), 1363</w:t>
      </w:r>
      <w:r>
        <w:rPr>
          <w:rStyle w:val="None"/>
          <w:rFonts w:ascii="Arial" w:hAnsi="Arial" w:hint="default"/>
          <w:sz w:val="18"/>
          <w:szCs w:val="18"/>
          <w:rtl w:val="0"/>
          <w:lang w:val="en-US"/>
        </w:rPr>
        <w:t>–</w:t>
      </w:r>
      <w:r>
        <w:rPr>
          <w:rStyle w:val="None"/>
          <w:rFonts w:ascii="Arial" w:hAnsi="Arial"/>
          <w:sz w:val="18"/>
          <w:szCs w:val="18"/>
          <w:rtl w:val="0"/>
          <w:lang w:val="en-US"/>
        </w:rPr>
        <w:t xml:space="preserve">1372. http://doi.org/10.1046/j.1432-1327.2001.02001.xSonger, J. G., &amp; Anderson, M. A. (2006). Clostridium difficile: An important pathogen of food animals. </w:t>
      </w:r>
      <w:r>
        <w:rPr>
          <w:rStyle w:val="None"/>
          <w:rFonts w:ascii="Arial" w:hAnsi="Arial"/>
          <w:i w:val="1"/>
          <w:iCs w:val="1"/>
          <w:sz w:val="18"/>
          <w:szCs w:val="18"/>
          <w:rtl w:val="0"/>
          <w:lang w:val="en-US"/>
        </w:rPr>
        <w:t>Anaerobe</w:t>
      </w:r>
      <w:r>
        <w:rPr>
          <w:rStyle w:val="None"/>
          <w:rFonts w:ascii="Arial" w:hAnsi="Arial"/>
          <w:sz w:val="18"/>
          <w:szCs w:val="18"/>
          <w:rtl w:val="0"/>
          <w:lang w:val="en-US"/>
        </w:rPr>
        <w:t>. http://doi.org/10.1016/j.anaerobe.2005.09.001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hd w:val="clear" w:color="auto" w:fill="ffffff"/>
        <w:spacing w:line="100" w:lineRule="atLeast"/>
        <w:ind w:left="480" w:hanging="480"/>
        <w:jc w:val="both"/>
        <w:rPr>
          <w:rStyle w:val="None"/>
          <w:rFonts w:ascii="Arial" w:cs="Arial" w:hAnsi="Arial" w:eastAsia="Arial"/>
          <w:sz w:val="18"/>
          <w:szCs w:val="18"/>
        </w:rPr>
      </w:pPr>
      <w:r>
        <w:rPr>
          <w:rStyle w:val="None"/>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w:rFonts w:ascii="Arial" w:hAnsi="Arial"/>
          <w:sz w:val="18"/>
          <w:szCs w:val="18"/>
          <w:rtl w:val="0"/>
          <w:lang w:val="en-US"/>
        </w:rPr>
        <w:t xml:space="preserve">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character" w:styleId="Hyperlink.1">
    <w:name w:val="Hyperlink.1"/>
    <w:basedOn w:val="None"/>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w:next w:val="Hyperlink.3"/>
    <w:rPr>
      <w:rFonts w:ascii="Arial" w:cs="Arial" w:hAnsi="Arial" w:eastAsia="Arial"/>
      <w:color w:val="0000ff"/>
      <w:sz w:val="18"/>
      <w:szCs w:val="18"/>
      <w:u w:val="single" w:color="0000ff"/>
      <w:lang w:val="en-US"/>
    </w:rPr>
  </w:style>
  <w:style w:type="character" w:styleId="Hyperlink.4">
    <w:name w:val="Hyperlink.4"/>
    <w:basedOn w:val="None"/>
    <w:next w:val="Hyperlink.4"/>
    <w:rPr>
      <w:rFonts w:ascii="Arial" w:cs="Arial" w:hAnsi="Arial" w:eastAsia="Arial"/>
      <w:color w:val="0000ff"/>
      <w:sz w:val="18"/>
      <w:szCs w:val="18"/>
      <w:u w:val="single" w:color="0000ff"/>
    </w:rPr>
  </w:style>
  <w:style w:type="character" w:styleId="Hyperlink.5">
    <w:name w:val="Hyperlink.5"/>
    <w:basedOn w:val="None"/>
    <w:next w:val="Hyperlink.5"/>
    <w:rPr>
      <w:rFonts w:ascii="Arial" w:cs="Arial" w:hAnsi="Arial" w:eastAsia="Arial"/>
      <w:color w:val="000080"/>
      <w:sz w:val="18"/>
      <w:szCs w:val="18"/>
      <w:u w:val="single" w:color="000080"/>
    </w:rPr>
  </w:style>
  <w:style w:type="character" w:styleId="Hyperlink.6">
    <w:name w:val="Hyperlink.6"/>
    <w:basedOn w:val="None"/>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