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rPr>
          <w:rStyle w:val="None A"/>
          <w:rFonts w:ascii="Arial" w:cs="Arial" w:hAnsi="Arial" w:eastAsia="Arial"/>
          <w:i w:val="1"/>
          <w:iCs w:val="1"/>
          <w:caps w:val="0"/>
          <w:smallCaps w:val="0"/>
          <w:color w:val="2c2d30"/>
          <w:spacing w:val="0"/>
          <w:sz w:val="22"/>
          <w:szCs w:val="22"/>
          <w:u w:color="2c2d30"/>
        </w:rPr>
      </w:pPr>
      <w:r>
        <w:rPr>
          <w:rStyle w:val="None A"/>
          <w:rFonts w:ascii="Arial" w:hAnsi="Arial"/>
          <w:b w:val="1"/>
          <w:bCs w:val="1"/>
          <w:sz w:val="22"/>
          <w:szCs w:val="22"/>
          <w:rtl w:val="0"/>
          <w:lang w:val="en-US"/>
        </w:rPr>
        <w:t>Title</w:t>
      </w:r>
    </w:p>
    <w:p>
      <w:pPr>
        <w:pStyle w:val="Default"/>
        <w:spacing w:line="480" w:lineRule="auto"/>
        <w:jc w:val="both"/>
        <w:rPr>
          <w:rStyle w:val="None A"/>
          <w:rFonts w:ascii="Arial" w:cs="Arial" w:hAnsi="Arial" w:eastAsia="Arial"/>
          <w:b w:val="1"/>
          <w:bCs w:val="1"/>
          <w:sz w:val="22"/>
          <w:szCs w:val="22"/>
        </w:rPr>
      </w:pPr>
      <w:r>
        <w:rPr>
          <w:rStyle w:val="None A"/>
          <w:rFonts w:ascii="Arial" w:hAnsi="Arial"/>
          <w:i w:val="1"/>
          <w:iCs w:val="1"/>
          <w:caps w:val="0"/>
          <w:smallCaps w:val="0"/>
          <w:color w:val="2c2d30"/>
          <w:spacing w:val="0"/>
          <w:sz w:val="22"/>
          <w:szCs w:val="22"/>
          <w:u w:color="2c2d30"/>
          <w:rtl w:val="0"/>
          <w:lang w:val="en-US"/>
        </w:rPr>
        <w:t>Clostridium difficile</w:t>
      </w:r>
      <w:r>
        <w:rPr>
          <w:rStyle w:val="None A"/>
          <w:rFonts w:ascii="Arial" w:hAnsi="Arial"/>
          <w:caps w:val="0"/>
          <w:smallCaps w:val="0"/>
          <w:color w:val="2c2d30"/>
          <w:spacing w:val="0"/>
          <w:sz w:val="22"/>
          <w:szCs w:val="22"/>
          <w:u w:color="2c2d30"/>
          <w:rtl w:val="0"/>
          <w:lang w:val="en-US"/>
        </w:rPr>
        <w:t xml:space="preserve"> colonizes alternative nutrient niches during infection across susceptible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2.  </w:t>
      </w:r>
      <w:bookmarkStart w:name="_DdeLink__1571_979451698" w:id="0"/>
      <w:r>
        <w:rPr>
          <w:rStyle w:val="None A"/>
          <w:rFonts w:ascii="Arial" w:hAnsi="Arial"/>
          <w:sz w:val="22"/>
          <w:szCs w:val="22"/>
          <w:rtl w:val="0"/>
          <w:lang w:val="en-US"/>
        </w:rPr>
        <w:t>Department of Internal Medicine</w:t>
      </w:r>
      <w:bookmarkEnd w:id="0"/>
      <w:r>
        <w:rPr>
          <w:rStyle w:val="None A"/>
          <w:rFonts w:ascii="Arial" w:hAnsi="Arial"/>
          <w:sz w:val="22"/>
          <w:szCs w:val="22"/>
          <w:rtl w:val="0"/>
          <w:lang w:val="en-US"/>
        </w:rPr>
        <w:t>; University of Michigan Health System; Ann Arbor, MI</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caps w:val="0"/>
          <w:smallCaps w:val="0"/>
          <w:color w:val="000000"/>
          <w:spacing w:val="0"/>
          <w:sz w:val="22"/>
          <w:szCs w:val="22"/>
          <w:u w:color="000000"/>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has increased in both prevalence and severity across numerous countries over the last decade (Lessa 2012).  In the United States for the last year alone,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estimated to have caused &gt;500,000 infections and resulted in ~$4.8 billion worth of acute care costs (Lessa, 2015).  Aside from a small percentage of individuals who become asymptomatically colonized,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causes an array of toxin-mediated symptoms ranging from abdominal pain and diarrhea, to the more life-threatening conditions pseudomembraneous colitis and toxin megacolon.  The standard treatment regiment for cases of CDI primarily includes the administration of oral antibiotics.  Paradoxically, previous treatment with antibiotics is the most common risk-factor associated with susceptibility to CDI (Leffler, 2015).  This relationship has been strongly connected to the health and integrity of the community of microorganisms inhabiting the human gastrointestinal tract, known as the gut microbiota.  Through an attribute known as colonization resistance the gut microbiota inhibits the persistence or growth of a number of pathogenic bacteria (Lawley, 2013).  Several proposed mechanisms could account for this protection including competition for physical space or growth nutrients (Lawley, 2013).  Previous work from our laboratory in a mouse model of CDI, it was demonstrated the many classes of antibiotics cause distinct changes to structure in the bacterial component of the gut microbiota, but result in largely equal susceptibility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t>
      </w:r>
      <w:r>
        <w:rPr>
          <w:rStyle w:val="None A"/>
          <w:rFonts w:ascii="Arial" w:hAnsi="Arial" w:hint="default"/>
          <w:sz w:val="22"/>
          <w:szCs w:val="22"/>
          <w:rtl w:val="0"/>
          <w:lang w:val="en-US"/>
        </w:rPr>
        <w:t>∆</w:t>
      </w:r>
      <w:r>
        <w:rPr>
          <w:rStyle w:val="None A"/>
          <w:rFonts w:ascii="Arial" w:hAnsi="Arial"/>
          <w:sz w:val="22"/>
          <w:szCs w:val="22"/>
          <w:rtl w:val="0"/>
          <w:lang w:val="en-US"/>
        </w:rPr>
        <w:t xml:space="preserve">erm colonization (Schubert, 2015).  Furthermore, several groups have employed GC/LC-MS analysis to reveal that antibiotic treatment also alters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in the gastrointestinal tract of mice (Antunes 2011; Theriot, 2014; Ferreyra, 2014; Jump, 2014).  Taken together these results are a strong indication that the healthy gut microbiota, at least in part,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successfully.  This hypothesis was first proposed almost 30 years ago (Wilson, 1988), however until recently the tools to adequately measure this ability in the context of a complex community of microbes have on recently been developed.</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From the earlier research, it is evident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to the varied microbiomes that it encounters in unique susceptible gut environments.  In addition to several other traits including a relatively large and mosaic genome, it is amenable to a variety of growth substrates, and it possesses a wide host range;  all of which are hallmarks of bacterial generalists (Sebaihia, 2006; Tracy, 2012; Songer, 2006).  Moreover, it has been noted that high concentrations of easily metabolized carbon sources, such as glucose or amino acids, inhibit toxin gene expression (Neumann-Schaal, 2015).  Similarly, sporulation has been shown to be under similar nutrient-based regulation (Nawrocki, 2016).  Transcription of an enormous number of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effected as many DNA-binding sigma factors like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are under the control of environmental nutrient concentrations, especially carbohydrates (Bouillaut, 2015).  Downstream effects of this regulation most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this study, we employed a mouse model of infection to compare the response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str. 630 the gut environment caused by different classes of antibiotics (Fig. 1A).  At a macroscopic level, we observed that not only is toxin activity affected by class of antibiotic pretreatment, but and sporulation was also effected between treatment groups.  We then utilized high-throughput RNA sequencing to analyze differences in the transcriptional profile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colonization of multiple different susceptible cecal environments in mice.  These studies revealed a large amount of differential expression between conditions, particularly in genes associated with the response to environment nutrient supplies and life cycle progression.   For example, high levels of both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expression were highly expressed in every treatment.  Canonically CodY has been shown to be a negative sporulation regulator (Nawrocki, 2016) while Spo0A positively regulates sporulation (Deakin, 2012), and expression of both has been shown to be linked to metabolism.  It also demonstrates that a more complex mechanism determining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timing is active compared to our previous understanding.  These data further supported to the hypothesis that growth nutrient availability was effecting the behavior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across models of infection.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Although traditional transcriptomic analyses are informative, they can be subject to many spurious co-correlates within the data that may lead to biologically insignificant results.  Additionally, it does very little to understand the potential edges of competition between bacterial species in the microenvironment being studied.  To address this shortcoming, it is possible to reduce inherent noise and degrees of freedom by targeting the analysis toward specific aspects of cellular function by integrating multiple levels of data (Patil, 2009).  Here we combined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fully sequenced genome, known enzyme-substrate interactions, and transcript abundances in a single model of the pathogen</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As an extension of this approach, we also developed a novel genome-scale metabolic modeling algorithm to calculate the relative importance of all substrates in the metabolic network.  The resulting scores are indicative of the possibility that a given metabolite is acquired from the environment, opposed to being synthesized by the organism.  With this strategy it becomes possible to predict cellular responses to stimuli and other environmental changes during infection.  Upon implementation, we uncovered differential carbohydrate preferences across each of the antibiotic treatments.  Results pointed to carbon sources known to be usable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growth.  These findings were validated with both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assays and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liquid chromatography-mass spectrometry to establish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elects to utilize more available resources for growth in the gut.  This work demonstrates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adapt to highly variable resource pools when colonizing gut environments treated with different classes of antibiotics and potentially highlights the role of the intact microbiota in out-competing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growth nutrients to prevent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susceptible mice, pretreated with distinct classes of antibiotics.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antibiotic classes used in this study (Table 1) have alternative effects on the structure on the structure of the gut microbiota (Schubert, 2015).  Each has also been shown to alter the gut metabolome relative to untreated animals (Antunes, 2011; Theriot, 2014; Jump, 2014).  As such,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subet of nutrients and competitors in each susceptible environment which would necessitate distinct adaptive responses.  In order to first infer changes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between treatments, we  assayed for differences in the amount of sporulation and toxin activity phenotypes between antibiotic pretreatments.  Expression of both characteristics has been strongly linked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growth nutrient availability, primarily carbohydrates and amino acids, in the gastrointestinal tract (Bouillaut, 2015).</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measure the amount of sporulation occurring at 18 hours post-infection, differential anaerobic plating was performed to determine the load of both spores and vegetative cells by CFU count respectively in each treatment condition.  This was accomplished by first plating on  media lacking taurocholate, primary germinant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to enumerate vegetative cells exclusively.  Samples were then immediately incubated for 30 minute 65</w:t>
      </w:r>
      <w:r>
        <w:rPr>
          <w:rStyle w:val="None A"/>
          <w:rFonts w:ascii="Arial" w:hAnsi="Arial" w:hint="default"/>
          <w:sz w:val="22"/>
          <w:szCs w:val="22"/>
          <w:rtl w:val="0"/>
          <w:lang w:val="en-US"/>
        </w:rPr>
        <w:t xml:space="preserve">° </w:t>
      </w:r>
      <w:r>
        <w:rPr>
          <w:rStyle w:val="None A"/>
          <w:rFonts w:ascii="Arial" w:hAnsi="Arial"/>
          <w:sz w:val="22"/>
          <w:szCs w:val="22"/>
          <w:rtl w:val="0"/>
          <w:lang w:val="en-US"/>
        </w:rPr>
        <w:t>C to eliminate vegetative cells, then were subsequently plated on media containing germinant.  No quantifiable difference was found in vegetative cell load between any susceptible condition tested (Fig 1C).  All antibiotic treated as well as germfree animals were colonized to ~1</w:t>
      </w:r>
      <w:r>
        <w:rPr>
          <w:rStyle w:val="None A"/>
          <w:rFonts w:ascii="Arial" w:hAnsi="Arial" w:hint="default"/>
          <w:caps w:val="0"/>
          <w:smallCaps w:val="0"/>
          <w:color w:val="000000"/>
          <w:spacing w:val="0"/>
          <w:sz w:val="22"/>
          <w:szCs w:val="22"/>
          <w:u w:color="000000"/>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However, despite having the same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carriage, large differences were detected in the number of CFU per g content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any other the antibiotic treated mice (Fig. 1D).  Both Streptomycin and Clindamycin quantification were significantly different from that of Cefoperzone before correction, supporting that there may still be underlying biological differences between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these treatments.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We then compared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activity in cecal content at the same time point using the standard Vero cell-rounding assay (Leslie, 2014).  As mentioned previously, local concentrations of nutrients, particularly glucose, influence toxin gene transcription and expression (Antunes, 2011).  The assay revealed that not only is the significantly more toxin activity of gnotobiotic animals than any other colonized group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 0.01), but toxin activity also varied between antibiotic treatment groups (Fig. 1B).  While similar toxin titers were found in both Cefoperazone and Clindamycin treatment groups, while toxin activity was not detectable in Streptomycin treated animals.  There is no correlation with the levels of sporulation across antibiotic treatment groups (Fig. S1A) and indicates a differential regulation may control these processes independently in the context of antibiotic induced susceptibility.  The inclusion of results from monoassociated animals creates a significant correlation (Fig. S1B), but is likely due to temporal changes in the course of the infection when no other bacteria are present.  For this reason, it may be inappropriate to make comparisons with the gnotobiotic group in certain types of analyses.</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displays flexible expression of key metabolic regulation factors as well as genes for pathogenesis across antibiotic pretreatments.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stranded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pretreatment models.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needed to pool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Sequencing, read curation, and normalization steps are fully described in Materials &amp; Methods.  Fully curated reads were the mapped to C</w:t>
      </w:r>
      <w:r>
        <w:rPr>
          <w:rStyle w:val="None A"/>
          <w:rFonts w:ascii="Arial" w:hAnsi="Arial"/>
          <w:i w:val="1"/>
          <w:iCs w:val="1"/>
          <w:sz w:val="22"/>
          <w:szCs w:val="22"/>
          <w:rtl w:val="0"/>
          <w:lang w:val="en-US"/>
        </w:rPr>
        <w:t>lostridium difficile</w:t>
      </w:r>
      <w:r>
        <w:rPr>
          <w:rStyle w:val="None A"/>
          <w:rFonts w:ascii="Arial" w:hAnsi="Arial"/>
          <w:sz w:val="22"/>
          <w:szCs w:val="22"/>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as shown in Figure 2.</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first observe markers of global changes in metabolism, we looked for differences in expression in key sigma factors that were previously found to be influenced by the nutrient environment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2A).  The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transcript was highly detectable in each condition, despite apparent differences in toxin and spore production.  Canonically,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a strong negative regulator of both phenotypes (Bouillaut, 2015) and could demonstrate a more complex regulatory network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integrates multiple environment nutrient signals.   Save for a few instances, it appeared that expression the sigma factors of interest were generally higher in Cefoperazone treated animals.  The largest contrasts were seen in expression of </w:t>
      </w:r>
      <w:r>
        <w:rPr>
          <w:rStyle w:val="None A"/>
          <w:rFonts w:ascii="Arial" w:hAnsi="Arial"/>
          <w:i w:val="1"/>
          <w:iCs w:val="1"/>
          <w:sz w:val="22"/>
          <w:szCs w:val="22"/>
          <w:rtl w:val="0"/>
          <w:lang w:val="en-US"/>
        </w:rPr>
        <w:t>sigE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which were approximately 10-fold less expressed in Cefoperazone than the others.  These sigma factors are involved in expressing genes for proper spore coat assembly and asymmetric division (Donnelly, 2016; Fimlaid, 2013).  This agrees with the measured differences in CFU due to spores from Fig. 1D where Cefoperazone pretreatment resulted in delayed sporulation.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2B).  The gene list was derived from Saujet et. al., 2014 where the authors reviewed the complex cascade of regulation that occurs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dpaA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sodA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2C).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regulating anti-sigma factor)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regulating sigma factor)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 pretreatment.  Mutants for this gene have been associated with impaired toxin secretion and low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expression of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may partially explain the historically lowered virulence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(Theriot, 2011).</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2D).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sz w:val="22"/>
          <w:szCs w:val="22"/>
          <w:rtl w:val="0"/>
          <w:lang w:val="en-US"/>
        </w:rPr>
        <w:t>quorum sensing occurring.</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energy metabolism pathways are differentially expressed between colonized environments.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energy metabolism pathways.   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  </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 number of notable within-group differences stood out including one in relative expression abundance for genes associated with sugar alcohol catabolism (Fig. 3E).  Transcripts from this gene set are almost undetectable in the Clindamycin pretreated group, however a large difference was found between those genes more associated with Cefoperazone than Streptomycin pretreatment.  Those genes closest to the Cefoperazone edge are important for the utilization of mannitol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while those proximal to Streptomycin are involved in sorbitol metabolism (</w:t>
      </w:r>
      <w:r>
        <w:rPr>
          <w:rStyle w:val="None A"/>
          <w:rFonts w:ascii="Arial" w:hAnsi="Arial"/>
          <w:i w:val="1"/>
          <w:iCs w:val="1"/>
          <w:sz w:val="22"/>
          <w:szCs w:val="22"/>
          <w:rtl w:val="0"/>
          <w:lang w:val="en-US"/>
        </w:rPr>
        <w:t xml:space="preserve">srl </w:t>
      </w:r>
      <w:r>
        <w:rPr>
          <w:rStyle w:val="None A"/>
          <w:rFonts w:ascii="Arial" w:hAnsi="Arial"/>
          <w:sz w:val="22"/>
          <w:szCs w:val="22"/>
          <w:rtl w:val="0"/>
          <w:lang w:val="en-US"/>
        </w:rPr>
        <w:t>operon), indicating potential niche segregation or changes in sorbitol availability between groups.  Additionally, there was another within-group difference for polysaccharide catabolism between genes associated more with Clindamycin pretreatment versus those associated with Cefoperazone (Fig. 3D).  Those genes most associated with Clindamycin are largely members of the beta-glucoside utilization locus (</w:t>
      </w:r>
      <w:r>
        <w:rPr>
          <w:rStyle w:val="None A"/>
          <w:rFonts w:ascii="Arial" w:hAnsi="Arial"/>
          <w:i w:val="1"/>
          <w:iCs w:val="1"/>
          <w:sz w:val="22"/>
          <w:szCs w:val="22"/>
          <w:rtl w:val="0"/>
          <w:lang w:val="en-US"/>
        </w:rPr>
        <w:t>bgl</w:t>
      </w:r>
      <w:r>
        <w:rPr>
          <w:rStyle w:val="None A"/>
          <w:rFonts w:ascii="Arial" w:hAnsi="Arial"/>
          <w:sz w:val="22"/>
          <w:szCs w:val="22"/>
          <w:rtl w:val="0"/>
          <w:lang w:val="en-US"/>
        </w:rPr>
        <w:t xml:space="preserve"> operon), canonically linked with salicin or arbutin metabolism (Schnetz, 1987).  Genes more associated with Cefoperazone pretreatment are primarily related to import and utilization of maltose or maltodextrin (</w:t>
      </w:r>
      <w:r>
        <w:rPr>
          <w:rStyle w:val="None A"/>
          <w:rFonts w:ascii="Arial" w:hAnsi="Arial"/>
          <w:i w:val="1"/>
          <w:iCs w:val="1"/>
          <w:sz w:val="22"/>
          <w:szCs w:val="22"/>
          <w:rtl w:val="0"/>
          <w:lang w:val="en-US"/>
        </w:rPr>
        <w:t>maa</w:t>
      </w:r>
      <w:r>
        <w:rPr>
          <w:rStyle w:val="None A"/>
          <w:rFonts w:ascii="Arial" w:hAnsi="Arial"/>
          <w:sz w:val="22"/>
          <w:szCs w:val="22"/>
          <w:rtl w:val="0"/>
          <w:lang w:val="en-US"/>
        </w:rPr>
        <w:t xml:space="preserve"> &amp; </w:t>
      </w:r>
      <w:r>
        <w:rPr>
          <w:rStyle w:val="None A"/>
          <w:rFonts w:ascii="Arial" w:hAnsi="Arial"/>
          <w:i w:val="1"/>
          <w:iCs w:val="1"/>
          <w:sz w:val="22"/>
          <w:szCs w:val="22"/>
          <w:rtl w:val="0"/>
          <w:lang w:val="en-US"/>
        </w:rPr>
        <w:t>map</w:t>
      </w:r>
      <w:r>
        <w:rPr>
          <w:rStyle w:val="None A"/>
          <w:rFonts w:ascii="Arial" w:hAnsi="Arial"/>
          <w:sz w:val="22"/>
          <w:szCs w:val="22"/>
          <w:rtl w:val="0"/>
          <w:lang w:val="en-US"/>
        </w:rPr>
        <w:t xml:space="preserve"> operons) (Boos, 1998).  Finally, amino sugar catabolism also displayed some degree of within-group trends (Fig. 3B).  Streptomycin pretreatment was enriched for expression of </w:t>
      </w:r>
      <w:r>
        <w:rPr>
          <w:rStyle w:val="None A"/>
          <w:rFonts w:ascii="Arial" w:hAnsi="Arial"/>
          <w:i w:val="1"/>
          <w:iCs w:val="1"/>
          <w:outline w:val="0"/>
          <w:color w:val="000000"/>
          <w:spacing w:val="0"/>
          <w:kern w:val="0"/>
          <w:sz w:val="22"/>
          <w:szCs w:val="22"/>
          <w:u w:color="000000"/>
          <w:rtl w:val="0"/>
          <w:lang w:val="en-US"/>
        </w:rPr>
        <w:t>nanA</w:t>
      </w:r>
      <w:r>
        <w:rPr>
          <w:rStyle w:val="None A"/>
          <w:rFonts w:ascii="Arial" w:hAnsi="Arial"/>
          <w:outline w:val="0"/>
          <w:color w:val="000000"/>
          <w:spacing w:val="0"/>
          <w:kern w:val="0"/>
          <w:sz w:val="22"/>
          <w:szCs w:val="22"/>
          <w:u w:color="000000"/>
          <w:rtl w:val="0"/>
          <w:lang w:val="en-US"/>
        </w:rPr>
        <w:t xml:space="preserve"> and </w:t>
      </w:r>
      <w:r>
        <w:rPr>
          <w:rStyle w:val="None A"/>
          <w:rFonts w:ascii="Arial" w:hAnsi="Arial"/>
          <w:sz w:val="22"/>
          <w:szCs w:val="22"/>
          <w:rtl w:val="0"/>
          <w:lang w:val="en-US"/>
        </w:rPr>
        <w:t xml:space="preserve">an </w:t>
      </w:r>
      <w:r>
        <w:rPr>
          <w:rStyle w:val="None A"/>
          <w:rFonts w:ascii="Arial" w:hAnsi="Arial"/>
          <w:outline w:val="0"/>
          <w:color w:val="000000"/>
          <w:spacing w:val="0"/>
          <w:kern w:val="0"/>
          <w:sz w:val="22"/>
          <w:szCs w:val="22"/>
          <w:u w:color="000000"/>
          <w:rtl w:val="0"/>
          <w:lang w:val="en-US"/>
        </w:rPr>
        <w:t xml:space="preserve">N-acylglucosamine-6-phosphate 2-epimerase.  </w:t>
      </w:r>
      <w:r>
        <w:rPr>
          <w:rStyle w:val="None A"/>
          <w:rFonts w:ascii="Arial" w:hAnsi="Arial"/>
          <w:sz w:val="22"/>
          <w:szCs w:val="22"/>
          <w:rtl w:val="0"/>
          <w:lang w:val="en-US"/>
        </w:rPr>
        <w:t xml:space="preserve">These gene products are important for the metabolism of </w:t>
      </w:r>
      <w:r>
        <w:rPr>
          <w:rStyle w:val="None A"/>
          <w:rFonts w:ascii="Arial" w:hAnsi="Arial"/>
          <w:outline w:val="0"/>
          <w:color w:val="1a1a1a"/>
          <w:spacing w:val="0"/>
          <w:kern w:val="0"/>
          <w:sz w:val="22"/>
          <w:szCs w:val="22"/>
          <w:u w:color="1a1a1a"/>
          <w:rtl w:val="0"/>
          <w:lang w:val="en-US"/>
        </w:rPr>
        <w:t xml:space="preserve">N-acetylneuraminic acid and N-acetyleglucosamine respectively, which are both obtained from the cleavage of host derived amino sugars in the mucus layer by other bacterial species (Ng, 2013).  Streptomycin also appears to be associated with high expression of </w:t>
      </w:r>
      <w:r>
        <w:rPr>
          <w:rStyle w:val="None A"/>
          <w:rFonts w:ascii="Arial" w:hAnsi="Arial"/>
          <w:i w:val="1"/>
          <w:iCs w:val="1"/>
          <w:outline w:val="0"/>
          <w:color w:val="1a1a1a"/>
          <w:spacing w:val="0"/>
          <w:kern w:val="0"/>
          <w:sz w:val="22"/>
          <w:szCs w:val="22"/>
          <w:u w:color="1a1a1a"/>
          <w:rtl w:val="0"/>
          <w:lang w:val="en-US"/>
        </w:rPr>
        <w:t>fruABC</w:t>
      </w:r>
      <w:r>
        <w:rPr>
          <w:rStyle w:val="None A"/>
          <w:rFonts w:ascii="Arial" w:hAnsi="Arial"/>
          <w:outline w:val="0"/>
          <w:color w:val="1a1a1a"/>
          <w:spacing w:val="0"/>
          <w:kern w:val="0"/>
          <w:sz w:val="22"/>
          <w:szCs w:val="22"/>
          <w:u w:color="1a1a1a"/>
          <w:rtl w:val="0"/>
          <w:lang w:val="en-US"/>
        </w:rPr>
        <w:t xml:space="preserve">, a fructose specific PTS transport system (Fig 3H), and </w:t>
      </w:r>
      <w:r>
        <w:rPr>
          <w:rStyle w:val="None A"/>
          <w:rFonts w:ascii="Arial" w:hAnsi="Arial"/>
          <w:i w:val="1"/>
          <w:iCs w:val="1"/>
          <w:outline w:val="0"/>
          <w:color w:val="1a1a1a"/>
          <w:spacing w:val="0"/>
          <w:kern w:val="0"/>
          <w:sz w:val="22"/>
          <w:szCs w:val="22"/>
          <w:u w:color="1a1a1a"/>
          <w:rtl w:val="0"/>
          <w:lang w:val="en-US"/>
        </w:rPr>
        <w:t>fruK</w:t>
      </w:r>
      <w:r>
        <w:rPr>
          <w:rStyle w:val="None A"/>
          <w:rFonts w:ascii="Arial" w:hAnsi="Arial"/>
          <w:outline w:val="0"/>
          <w:color w:val="1a1a1a"/>
          <w:spacing w:val="0"/>
          <w:kern w:val="0"/>
          <w:sz w:val="22"/>
          <w:szCs w:val="22"/>
          <w:u w:color="1a1a1a"/>
          <w:rtl w:val="0"/>
          <w:lang w:val="en-US"/>
        </w:rPr>
        <w:t>, which phosphorylates fructose upon import (Fig 3C), supporting that fructose utilization is occurring in this condition as well.</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Addition analysis revealed several between-group significant differences in similarity.  Genes in the sugar transport systems, PEP and sugar-specific ABC (Fig. 3H &amp; 3I), are among the groups that segregate relative to each other.  Both systems are known carbohydrate importers, however activation of some PEP systems in response to environmental concentrations of certain carbohydrates has been shown to negatively regulate the expression and function of many ABC transporters in some bacterial species (Deutscher, 2006).  Further differences in carbohydrate metabolism were also visible when comparing the polysaccharide and monosaccharide catabolism expression sets (Fig. 3D &amp; 3E).  Clindamycin and Streptomycin pretreatments had an enrichment of expression of glucosidase genes within polysaccharide catabolism, while Cefoperazone pretreatment had higher expression of genes associated with fructose and mannose metabolism within monosaccharide catabolism.  These differences could highlight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adapt to environments with unique concentrations of resources and colonize a variety of nutrient niches during infection.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Conversely, the expression of genes associated with amino acid catabolism were consistently expressed at relatively equal levels across the conditions (Fig. 3F).  These points all trend toward the center of the plotting area and show no apparent differences between any treatment group.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had</w:t>
      </w:r>
      <w:r>
        <w:rPr>
          <w:rStyle w:val="None A"/>
          <w:rFonts w:ascii="Arial" w:hAnsi="Arial"/>
          <w:sz w:val="22"/>
          <w:szCs w:val="22"/>
          <w:rtl w:val="0"/>
          <w:lang w:val="en-US"/>
        </w:rPr>
        <w:t>,</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operons)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 centrality for all enzyme and substrate nodes in the bipartite metabolic graph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w:t>
      </w:r>
      <w:r>
        <w:rPr>
          <w:rStyle w:val="None A"/>
          <w:rFonts w:ascii="Arial" w:hAnsi="Arial"/>
          <w:strike w:val="0"/>
          <w:dstrike w:val="0"/>
          <w:outline w:val="0"/>
          <w:sz w:val="22"/>
          <w:szCs w:val="22"/>
          <w:u w:val="none"/>
          <w:rtl w:val="0"/>
          <w:lang w:val="en-US"/>
        </w:rPr>
        <w:t xml:space="preserve">pyruvate kinase, 1-deoxy-D-xylulose-5-phosphate synthase, and transketolase while substrates with the highest scores included pyruvate, acetyl-CoA, and D-glyceraldehyde 3-phosphate.  </w:t>
      </w:r>
      <w:r>
        <w:rPr>
          <w:rStyle w:val="None A"/>
          <w:rFonts w:ascii="Arial" w:hAnsi="Arial"/>
          <w:sz w:val="22"/>
          <w:szCs w:val="22"/>
          <w:rtl w:val="0"/>
          <w:lang w:val="en-US"/>
        </w:rPr>
        <w:t xml:space="preserve">For both enzymes and substrates, these nodes are known to be involved in numerous simultaneous pathways including glycolysis, the citric acid cycle, and amino acid biosynthesis which are all critical to life for most free-living bacteria. </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 xml:space="preserve">.  Applying this method, we extracted the relative importance values of the 758 unique compounds in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after 18 hours of infection in each treatment group.  We included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w:t>
      </w:r>
      <w:r>
        <w:rPr>
          <w:rStyle w:val="None A"/>
          <w:rFonts w:ascii="Arial" w:hAnsi="Arial"/>
          <w:outline w:val="0"/>
          <w:color w:val="000000"/>
          <w:spacing w:val="0"/>
          <w:kern w:val="0"/>
          <w:position w:val="0"/>
          <w:sz w:val="22"/>
          <w:szCs w:val="22"/>
          <w:u w:val="none" w:color="000000"/>
          <w:vertAlign w:val="baseline"/>
          <w:rtl w:val="0"/>
          <w:lang w:val="en-US"/>
        </w:rPr>
        <w:t>hosphonoacetate</w:t>
      </w:r>
      <w:r>
        <w:rPr>
          <w:rStyle w:val="None A"/>
          <w:rFonts w:ascii="Arial" w:hAnsi="Arial"/>
          <w:sz w:val="22"/>
          <w:szCs w:val="22"/>
          <w:rtl w:val="0"/>
          <w:lang w:val="en-US"/>
        </w:rPr>
        <w:t xml:space="preserv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demonstrated that our importance-defining algorithm was robust could detect biologically relevant patterns of expression.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A"/>
          <w:rFonts w:ascii="Arial" w:hAnsi="Arial"/>
          <w:i w:val="1"/>
          <w:iCs w:val="1"/>
          <w:sz w:val="22"/>
          <w:szCs w:val="22"/>
          <w:u w:val="none"/>
          <w:rtl w:val="0"/>
          <w:lang w:val="en-US"/>
        </w:rPr>
        <w:t>C. difficile</w:t>
      </w:r>
      <w:r>
        <w:rPr>
          <w:rStyle w:val="None A"/>
          <w:rFonts w:ascii="Arial" w:hAnsi="Arial"/>
          <w:sz w:val="22"/>
          <w:szCs w:val="22"/>
          <w:u w:val="none"/>
          <w:rtl w:val="0"/>
          <w:lang w:val="en-US"/>
        </w:rPr>
        <w:t xml:space="preserve">; </w:t>
      </w:r>
      <w:r>
        <w:rPr>
          <w:rStyle w:val="None A"/>
          <w:rFonts w:ascii="Arial" w:hAnsi="Arial"/>
          <w:sz w:val="22"/>
          <w:szCs w:val="22"/>
          <w:rtl w:val="0"/>
          <w:lang w:val="en-US"/>
        </w:rPr>
        <w:t xml:space="preserve"> including D-fructose, mannitol, N-acetylneuraminic acid, salicin, and D-sorbitol (Ng, 2013; Theriot, 2014).  These 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in colonizes.</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Carbon sources identified as important by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(Theriot, 2014), supplemented individually with the selected carbohydrates implicated by high importance scores.  Optical density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was measured every 30 minutes over 24 hours of incubation.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(AA) for growth through Stickland fermentation, but is auxotrophic for several, the most useful comparison to make is between a given carbon source and the AA-only control wells (no glucose added).  This informed whether the presence of the selected carbohydrate effects has positive or negative effects on the growth 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however this analysis does not preclude the possibility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simply grows equally as well as it does using strictly AA for carbon.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At least one carbohydrate highlighted as important in each of the antibiotic treatments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(Fig. 4C).  This included D-fructose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and salicin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0.888).  Each resulted in significantly more growth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than AA-only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than AA-only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These results indicate potential efficiency or preferences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the each carbohydrate source tested.</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0.089).  Mannitol was second at 7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0.044), and salicin was third at 13.5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0.076).  Interestingly, the salicin growth curve was still near its maximum growth rate at the 12 hour time point, while the D-fructose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0.006) and mannitol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0.888) than BHI rich media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some curves is most likely due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ceasing division and switching to primarily sporulation, which has been associated with other bacterial species (Van Beilen, 2013). </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0.095 at 6.5 hours) is the highest reached by any media tested, yet the maximum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than D-sorbitol alone.  This could suggest a combinatorial effect of D-fructose and D-sorbitol together on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In vivo </w:t>
      </w:r>
      <w:r>
        <w:rPr>
          <w:rStyle w:val="None A"/>
          <w:rFonts w:ascii="Arial" w:hAnsi="Arial"/>
          <w:b w:val="1"/>
          <w:bCs w:val="1"/>
          <w:sz w:val="22"/>
          <w:szCs w:val="22"/>
          <w:rtl w:val="0"/>
          <w:lang w:val="en-US"/>
        </w:rPr>
        <w:t xml:space="preserve">concentrations of predicted nutrients are </w:t>
      </w:r>
      <w:r>
        <w:rPr>
          <w:rStyle w:val="None A"/>
          <w:rFonts w:ascii="Arial" w:hAnsi="Arial" w:hint="default"/>
          <w:b w:val="1"/>
          <w:bCs w:val="1"/>
          <w:sz w:val="22"/>
          <w:szCs w:val="22"/>
          <w:rtl w:val="0"/>
          <w:lang w:val="en-US"/>
        </w:rPr>
        <w:t>…</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In order to test if the identified carbohydrates are present or enriched in their respective antibiotic treatments, we performed metabolomic analysis from cecal content from the same animals. (Fig. 5A) (Fig. 5B)</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outline w:val="0"/>
          <w:color w:val="000000"/>
          <w:spacing w:val="0"/>
          <w:kern w:val="0"/>
          <w:sz w:val="22"/>
          <w:szCs w:val="22"/>
          <w:u w:val="none" w:color="000000"/>
        </w:rPr>
      </w:pPr>
      <w:r>
        <w:rPr>
          <w:rStyle w:val="None A"/>
          <w:rFonts w:ascii="Arial" w:hAnsi="Arial"/>
          <w:b w:val="1"/>
          <w:bCs w:val="1"/>
          <w:sz w:val="22"/>
          <w:szCs w:val="22"/>
          <w:u w:val="none"/>
          <w:rtl w:val="0"/>
          <w:lang w:val="en-US"/>
        </w:rPr>
        <w:t>Discussion</w:t>
      </w:r>
    </w:p>
    <w:p>
      <w:pPr>
        <w:pStyle w:val="Default"/>
        <w:spacing w:line="480" w:lineRule="auto"/>
        <w:jc w:val="both"/>
        <w:rPr>
          <w:rStyle w:val="None A"/>
          <w:rFonts w:ascii="Arial" w:cs="Arial" w:hAnsi="Arial" w:eastAsia="Arial"/>
          <w:outline w:val="0"/>
          <w:color w:val="000000"/>
          <w:spacing w:val="0"/>
          <w:kern w:val="0"/>
          <w:sz w:val="22"/>
          <w:szCs w:val="22"/>
          <w:u w:val="none" w:color="000000"/>
        </w:rPr>
      </w:pPr>
      <w:r>
        <w:rPr>
          <w:rStyle w:val="None A"/>
          <w:rFonts w:ascii="Arial" w:cs="Arial" w:hAnsi="Arial" w:eastAsia="Arial"/>
          <w:outline w:val="0"/>
          <w:color w:val="000000"/>
          <w:spacing w:val="0"/>
          <w:kern w:val="0"/>
          <w:sz w:val="22"/>
          <w:szCs w:val="22"/>
          <w:u w:val="none" w:color="000000"/>
          <w:rtl w:val="0"/>
        </w:rPr>
        <w:tab/>
        <w:t xml:space="preserve">Our results indicate that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occupies separate nutrient niches across susceptible gut environments based on which substrates are available.  Both </w:t>
      </w:r>
      <w:r>
        <w:rPr>
          <w:rStyle w:val="None A"/>
          <w:rFonts w:ascii="Arial" w:hAnsi="Arial"/>
          <w:i w:val="1"/>
          <w:iCs w:val="1"/>
          <w:outline w:val="0"/>
          <w:color w:val="000000"/>
          <w:spacing w:val="0"/>
          <w:kern w:val="0"/>
          <w:sz w:val="22"/>
          <w:szCs w:val="22"/>
          <w:u w:val="none" w:color="000000"/>
          <w:rtl w:val="0"/>
          <w:lang w:val="en-US"/>
        </w:rPr>
        <w:t>in vivo</w:t>
      </w:r>
      <w:r>
        <w:rPr>
          <w:rStyle w:val="None A"/>
          <w:rFonts w:ascii="Arial" w:hAnsi="Arial"/>
          <w:outline w:val="0"/>
          <w:color w:val="000000"/>
          <w:spacing w:val="0"/>
          <w:kern w:val="0"/>
          <w:sz w:val="22"/>
          <w:szCs w:val="22"/>
          <w:u w:val="none" w:color="000000"/>
          <w:rtl w:val="0"/>
          <w:lang w:val="en-US"/>
        </w:rPr>
        <w:t xml:space="preserve"> and </w:t>
      </w:r>
      <w:r>
        <w:rPr>
          <w:rStyle w:val="None A"/>
          <w:rFonts w:ascii="Arial" w:hAnsi="Arial"/>
          <w:i w:val="1"/>
          <w:iCs w:val="1"/>
          <w:outline w:val="0"/>
          <w:color w:val="000000"/>
          <w:spacing w:val="0"/>
          <w:kern w:val="0"/>
          <w:sz w:val="22"/>
          <w:szCs w:val="22"/>
          <w:u w:val="none" w:color="000000"/>
          <w:rtl w:val="0"/>
          <w:lang w:val="en-US"/>
        </w:rPr>
        <w:t xml:space="preserve">in vitro </w:t>
      </w:r>
      <w:r>
        <w:rPr>
          <w:rStyle w:val="None A"/>
          <w:rFonts w:ascii="Arial" w:hAnsi="Arial"/>
          <w:outline w:val="0"/>
          <w:color w:val="000000"/>
          <w:spacing w:val="0"/>
          <w:kern w:val="0"/>
          <w:sz w:val="22"/>
          <w:szCs w:val="22"/>
          <w:u w:val="none" w:color="000000"/>
          <w:rtl w:val="0"/>
          <w:lang w:val="en-US"/>
        </w:rPr>
        <w:t xml:space="preserve">data support that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possesses for nutrient utilization.</w:t>
      </w:r>
    </w:p>
    <w:p>
      <w:pPr>
        <w:pStyle w:val="Default"/>
        <w:spacing w:line="480" w:lineRule="auto"/>
        <w:jc w:val="both"/>
        <w:rPr>
          <w:rStyle w:val="None A"/>
          <w:rFonts w:ascii="Arial" w:cs="Arial" w:hAnsi="Arial" w:eastAsia="Arial"/>
          <w:outline w:val="0"/>
          <w:color w:val="000000"/>
          <w:spacing w:val="0"/>
          <w:kern w:val="0"/>
          <w:sz w:val="22"/>
          <w:szCs w:val="22"/>
          <w:u w:val="none" w:color="000000"/>
        </w:rPr>
      </w:pPr>
      <w:r>
        <w:rPr>
          <w:rStyle w:val="None A"/>
          <w:rFonts w:ascii="Arial" w:cs="Arial" w:hAnsi="Arial" w:eastAsia="Arial"/>
          <w:outline w:val="0"/>
          <w:color w:val="000000"/>
          <w:spacing w:val="0"/>
          <w:kern w:val="0"/>
          <w:sz w:val="22"/>
          <w:szCs w:val="22"/>
          <w:u w:val="none" w:color="000000"/>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outline w:val="0"/>
          <w:color w:val="000000"/>
          <w:spacing w:val="0"/>
          <w:kern w:val="0"/>
          <w:sz w:val="22"/>
          <w:szCs w:val="22"/>
          <w:u w:val="none" w:color="000000"/>
          <w:rtl w:val="0"/>
          <w:lang w:val="en-US"/>
        </w:rPr>
        <w:t>spo</w:t>
      </w:r>
      <w:r>
        <w:rPr>
          <w:rStyle w:val="None A"/>
          <w:rFonts w:ascii="Arial" w:hAnsi="Arial"/>
          <w:i w:val="1"/>
          <w:iCs w:val="1"/>
          <w:outline w:val="0"/>
          <w:color w:val="000000"/>
          <w:spacing w:val="0"/>
          <w:kern w:val="0"/>
          <w:sz w:val="22"/>
          <w:szCs w:val="22"/>
          <w:u w:val="none" w:color="000000"/>
          <w:rtl w:val="0"/>
          <w:lang w:val="en-US"/>
        </w:rPr>
        <w:t>0A</w:t>
      </w:r>
      <w:r>
        <w:rPr>
          <w:rStyle w:val="None A"/>
          <w:rFonts w:ascii="Arial" w:hAnsi="Arial"/>
          <w:outline w:val="0"/>
          <w:color w:val="000000"/>
          <w:spacing w:val="0"/>
          <w:kern w:val="0"/>
          <w:sz w:val="22"/>
          <w:szCs w:val="22"/>
          <w:u w:val="none" w:color="000000"/>
          <w:rtl w:val="0"/>
          <w:lang w:val="en-US"/>
        </w:rPr>
        <w:t xml:space="preserve">, which was consistently highly expressed, </w:t>
      </w:r>
      <w:r>
        <w:rPr>
          <w:rStyle w:val="None A"/>
          <w:rFonts w:ascii="Arial" w:hAnsi="Arial"/>
          <w:i w:val="1"/>
          <w:iCs w:val="1"/>
          <w:outline w:val="0"/>
          <w:color w:val="000000"/>
          <w:spacing w:val="0"/>
          <w:kern w:val="0"/>
          <w:sz w:val="22"/>
          <w:szCs w:val="22"/>
          <w:u w:val="none" w:color="000000"/>
          <w:rtl w:val="0"/>
          <w:lang w:val="en-US"/>
        </w:rPr>
        <w:t>spo</w:t>
      </w:r>
      <w:r>
        <w:rPr>
          <w:rStyle w:val="None A"/>
          <w:rFonts w:ascii="Arial" w:hAnsi="Arial"/>
          <w:outline w:val="0"/>
          <w:color w:val="000000"/>
          <w:spacing w:val="0"/>
          <w:kern w:val="0"/>
          <w:sz w:val="22"/>
          <w:szCs w:val="22"/>
          <w:u w:val="none" w:color="000000"/>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has begun its final phase before transmission either other antibiotic group.  In addition to lifestyle associated genes,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displayed increased relative abundance in gene expression associated with catabolizing monosaccharides and simple sugar alcohols.  However,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in some treatments and virulence/transmission in others.</w:t>
      </w:r>
    </w:p>
    <w:p>
      <w:pPr>
        <w:pStyle w:val="Default"/>
        <w:spacing w:line="480" w:lineRule="auto"/>
        <w:jc w:val="both"/>
        <w:rPr>
          <w:rStyle w:val="None A"/>
          <w:rFonts w:ascii="Arial" w:cs="Arial" w:hAnsi="Arial" w:eastAsia="Arial"/>
          <w:outline w:val="0"/>
          <w:color w:val="000000"/>
          <w:spacing w:val="0"/>
          <w:kern w:val="0"/>
          <w:sz w:val="22"/>
          <w:szCs w:val="22"/>
          <w:u w:color="000000"/>
        </w:rPr>
      </w:pPr>
      <w:r>
        <w:rPr>
          <w:rStyle w:val="None A"/>
          <w:rFonts w:ascii="Arial" w:cs="Arial" w:hAnsi="Arial" w:eastAsia="Arial"/>
          <w:outline w:val="0"/>
          <w:color w:val="000000"/>
          <w:spacing w:val="0"/>
          <w:kern w:val="0"/>
          <w:sz w:val="22"/>
          <w:szCs w:val="22"/>
          <w:u w:val="none" w:color="000000"/>
          <w:rtl w:val="0"/>
        </w:rPr>
        <w:tab/>
        <w:t xml:space="preserve">There is also evidence for other bacterial species contributing to pools of resources that are usable by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for growth (Ng, 2013; Ferreyra, 2014).  Schubert et. al. 2015 demonstrated that the same Clindamycin model of infection used here, results in a bloom in relative abundance of the commensal species </w:t>
      </w:r>
      <w:r>
        <w:rPr>
          <w:rStyle w:val="None A"/>
          <w:rFonts w:ascii="Arial" w:hAnsi="Arial"/>
          <w:i w:val="1"/>
          <w:iCs w:val="1"/>
          <w:outline w:val="0"/>
          <w:color w:val="000000"/>
          <w:spacing w:val="0"/>
          <w:kern w:val="0"/>
          <w:sz w:val="22"/>
          <w:szCs w:val="22"/>
          <w:u w:val="none" w:color="000000"/>
          <w:rtl w:val="0"/>
          <w:lang w:val="en-US"/>
        </w:rPr>
        <w:t>Akkermansia muciniphila</w:t>
      </w:r>
      <w:r>
        <w:rPr>
          <w:rStyle w:val="None A"/>
          <w:rFonts w:ascii="Arial" w:hAnsi="Arial"/>
          <w:outline w:val="0"/>
          <w:color w:val="000000"/>
          <w:spacing w:val="0"/>
          <w:kern w:val="0"/>
          <w:sz w:val="22"/>
          <w:szCs w:val="22"/>
          <w:u w:val="none" w:color="000000"/>
          <w:rtl w:val="0"/>
          <w:lang w:val="en-US"/>
        </w:rPr>
        <w:t xml:space="preserve"> at the time of infection.  It has been previously shown that this bacterium is capable of cleaving host associated glycans and liberating short amino sugars, including salicin (Ganesh, 2013), which is a functionality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lacks (Sebaihia, 2006).  Within the scope of this study, these findings are especially intriguing as salicin was one of the most important substrates to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when colonizing Clindamycin treated animals.  Additionally, modeling analysis of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colonizing germfree mice revealed N-acetylneuraminic acid to be what was the most important carbon source in this condition.  The capacity to catabolize this amino sugar and others like it is highly distributed among bacterial species that inhabit the mammalian gut (Vimr, 2004), meaning that it is an edge of strong competition with the normal microbiota and could demonstrate a preference of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for N-acetylneuraminic acid as a growth substrate.  In light of all of these studies our method may also strongly support that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outline w:val="0"/>
          <w:color w:val="000000"/>
          <w:spacing w:val="0"/>
          <w:kern w:val="0"/>
          <w:sz w:val="22"/>
          <w:szCs w:val="22"/>
          <w:u w:color="000000"/>
          <w:rtl w:val="0"/>
        </w:rPr>
        <w:tab/>
        <w:t xml:space="preserve">These results may also indicate that further considerations are needed when attempting to design more targeted probiotics for the prevention or elimination of </w:t>
      </w:r>
      <w:r>
        <w:rPr>
          <w:rStyle w:val="None A"/>
          <w:rFonts w:ascii="Arial" w:hAnsi="Arial"/>
          <w:i w:val="1"/>
          <w:iCs w:val="1"/>
          <w:outline w:val="0"/>
          <w:color w:val="000000"/>
          <w:spacing w:val="0"/>
          <w:kern w:val="0"/>
          <w:sz w:val="22"/>
          <w:szCs w:val="22"/>
          <w:u w:color="000000"/>
          <w:rtl w:val="0"/>
          <w:lang w:val="en-US"/>
        </w:rPr>
        <w:t>C. difficile</w:t>
      </w:r>
      <w:r>
        <w:rPr>
          <w:rStyle w:val="None A"/>
          <w:rFonts w:ascii="Arial" w:hAnsi="Arial"/>
          <w:outline w:val="0"/>
          <w:color w:val="000000"/>
          <w:spacing w:val="0"/>
          <w:kern w:val="0"/>
          <w:sz w:val="22"/>
          <w:szCs w:val="22"/>
          <w:u w:color="000000"/>
          <w:rtl w:val="0"/>
          <w:lang w:val="en-US"/>
        </w:rPr>
        <w:t xml:space="preserve"> from the human gut. Different classes of antibiotics may each result in a unique gut environment which </w:t>
      </w:r>
      <w:r>
        <w:rPr>
          <w:rStyle w:val="None A"/>
          <w:rFonts w:ascii="Arial" w:hAnsi="Arial"/>
          <w:i w:val="1"/>
          <w:iCs w:val="1"/>
          <w:outline w:val="0"/>
          <w:color w:val="000000"/>
          <w:spacing w:val="0"/>
          <w:kern w:val="0"/>
          <w:sz w:val="22"/>
          <w:szCs w:val="22"/>
          <w:u w:color="000000"/>
          <w:rtl w:val="0"/>
          <w:lang w:val="en-US"/>
        </w:rPr>
        <w:t>C. difficile</w:t>
      </w:r>
      <w:r>
        <w:rPr>
          <w:rStyle w:val="None A"/>
          <w:rFonts w:ascii="Arial" w:hAnsi="Arial"/>
          <w:outline w:val="0"/>
          <w:color w:val="000000"/>
          <w:spacing w:val="0"/>
          <w:kern w:val="0"/>
          <w:sz w:val="22"/>
          <w:szCs w:val="22"/>
          <w:u w:color="000000"/>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outline w:val="0"/>
          <w:color w:val="000000"/>
          <w:spacing w:val="0"/>
          <w:kern w:val="0"/>
          <w:sz w:val="22"/>
          <w:szCs w:val="22"/>
          <w:u w:color="000000"/>
          <w:rtl w:val="0"/>
          <w:lang w:val="en-US"/>
        </w:rPr>
        <w:t>C. difficile</w:t>
      </w:r>
      <w:r>
        <w:rPr>
          <w:rStyle w:val="None A"/>
          <w:rFonts w:ascii="Arial" w:hAnsi="Arial"/>
          <w:outline w:val="0"/>
          <w:color w:val="000000"/>
          <w:spacing w:val="0"/>
          <w:kern w:val="0"/>
          <w:sz w:val="22"/>
          <w:szCs w:val="22"/>
          <w:u w:color="000000"/>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outline w:val="0"/>
          <w:color w:val="000000"/>
          <w:spacing w:val="0"/>
          <w:kern w:val="0"/>
          <w:sz w:val="22"/>
          <w:szCs w:val="22"/>
          <w:u w:color="000000"/>
          <w:rtl w:val="0"/>
          <w:lang w:val="en-US"/>
        </w:rPr>
        <w:t>C. difficile</w:t>
      </w:r>
      <w:r>
        <w:rPr>
          <w:rStyle w:val="None A"/>
          <w:rFonts w:ascii="Arial" w:hAnsi="Arial"/>
          <w:outline w:val="0"/>
          <w:color w:val="000000"/>
          <w:spacing w:val="0"/>
          <w:kern w:val="0"/>
          <w:sz w:val="22"/>
          <w:szCs w:val="22"/>
          <w:u w:color="000000"/>
          <w:rtl w:val="0"/>
          <w:lang w:val="en-US"/>
        </w:rPr>
        <w:t xml:space="preserve"> clearance.  This could be supported by combining the metabolic modeling technique described here using metatranscriptomic analysis of susceptible versus resistance gut bacterial communities.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In conclusion,</w:t>
      </w:r>
      <w:r>
        <w:rPr>
          <w:rStyle w:val="None A"/>
          <w:rFonts w:ascii="Arial" w:hAnsi="Arial"/>
          <w:outline w:val="0"/>
          <w:color w:val="000000"/>
          <w:spacing w:val="0"/>
          <w:kern w:val="0"/>
          <w:sz w:val="22"/>
          <w:szCs w:val="22"/>
          <w:u w:val="none" w:color="000000"/>
          <w:rtl w:val="0"/>
          <w:lang w:val="en-US"/>
        </w:rPr>
        <w:t xml:space="preserve"> our</w:t>
      </w:r>
      <w:r>
        <w:rPr>
          <w:rStyle w:val="None A"/>
          <w:rFonts w:ascii="Arial" w:hAnsi="Arial"/>
          <w:sz w:val="22"/>
          <w:szCs w:val="22"/>
          <w:rtl w:val="0"/>
          <w:lang w:val="en-US"/>
        </w:rPr>
        <w:t xml:space="preserve">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 data also support that separate classes of antibiotics may cause susceptibility to CDI through slightly different means by allowing for increases in relative concentrations of different carbon sources.  Limitation of specific subsets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of the gut microbiota to may represent the key to targeted colonization prevention.  If we begin to understand the limited number of dimensions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inhabit within its niche space, we may be able to design targeted probiotics to fill those niches in susceptible individuals.  </w:t>
      </w:r>
      <w:r>
        <w:rPr>
          <w:rStyle w:val="None A"/>
          <w:rFonts w:ascii="Arial" w:hAnsi="Arial"/>
          <w:outline w:val="0"/>
          <w:color w:val="000000"/>
          <w:spacing w:val="0"/>
          <w:kern w:val="0"/>
          <w:sz w:val="22"/>
          <w:szCs w:val="22"/>
          <w:u w:val="none" w:color="000000"/>
          <w:rtl w:val="0"/>
          <w:lang w:val="en-US"/>
        </w:rPr>
        <w:t xml:space="preserve">There could also be many not yet appreciated environmental factors that influence the metabolic program of </w:t>
      </w:r>
      <w:r>
        <w:rPr>
          <w:rStyle w:val="None A"/>
          <w:rFonts w:ascii="Arial" w:hAnsi="Arial"/>
          <w:i w:val="1"/>
          <w:iCs w:val="1"/>
          <w:outline w:val="0"/>
          <w:color w:val="000000"/>
          <w:spacing w:val="0"/>
          <w:kern w:val="0"/>
          <w:sz w:val="22"/>
          <w:szCs w:val="22"/>
          <w:u w:val="none" w:color="000000"/>
          <w:rtl w:val="0"/>
          <w:lang w:val="en-US"/>
        </w:rPr>
        <w:t>C. difficile</w:t>
      </w:r>
      <w:r>
        <w:rPr>
          <w:rStyle w:val="None A"/>
          <w:rFonts w:ascii="Arial" w:hAnsi="Arial"/>
          <w:outline w:val="0"/>
          <w:color w:val="000000"/>
          <w:spacing w:val="0"/>
          <w:kern w:val="0"/>
          <w:sz w:val="22"/>
          <w:szCs w:val="22"/>
          <w:u w:val="none" w:color="000000"/>
          <w:rtl w:val="0"/>
          <w:lang w:val="en-US"/>
        </w:rPr>
        <w:t xml:space="preserve"> during infection.  </w:t>
      </w:r>
      <w:r>
        <w:rPr>
          <w:rStyle w:val="None A"/>
          <w:rFonts w:ascii="Arial" w:hAnsi="Arial"/>
          <w:sz w:val="22"/>
          <w:szCs w:val="22"/>
          <w:rtl w:val="0"/>
          <w:lang w:val="en-US"/>
        </w:rPr>
        <w:t>In the future, this may need to a consideration during treatment as the correct course of action could be situational based on the factors are initially causing patients to become susceptible to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u w:val="none"/>
          <w:rtl w:val="0"/>
          <w:lang w:val="en-US"/>
        </w:rPr>
        <w:t>Materials and Methods</w:t>
      </w: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Animal care and antibiotic administration.</w:t>
      </w:r>
      <w:r>
        <w:rPr>
          <w:rStyle w:val="None A"/>
          <w:rFonts w:ascii="Arial" w:hAnsi="Arial"/>
          <w:sz w:val="22"/>
          <w:szCs w:val="22"/>
          <w:rtl w:val="0"/>
          <w:lang w:val="en-US"/>
        </w:rPr>
        <w:t xml:space="preserve">  Six-to-eight week-old specific pathogen free (SPF) C57BL/6 mice were obtained from a single breeding colony maintained at the University of Michigan for all experiments.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Six-to-eight week-old germfree C57BL/6 mice were obtained from a single breeding colony maintained at the University of Michigan for all experiments. </w:t>
      </w:r>
      <w:r>
        <w:rPr>
          <w:rStyle w:val="None A"/>
          <w:rFonts w:ascii="Arial" w:hAnsi="Arial"/>
          <w:sz w:val="22"/>
          <w:szCs w:val="22"/>
          <w:rtl w:val="0"/>
          <w:lang w:val="en-US"/>
        </w:rPr>
        <w:t xml:space="preserve"> </w:t>
      </w:r>
      <w:r>
        <w:rPr>
          <w:rStyle w:val="None A"/>
          <w:rFonts w:ascii="Arial" w:hAnsi="Arial"/>
          <w:sz w:val="22"/>
          <w:szCs w:val="22"/>
          <w:rtl w:val="0"/>
          <w:lang w:val="en-US"/>
        </w:rPr>
        <w:t>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r>
        <w:rPr>
          <w:rStyle w:val="None A"/>
          <w:rFonts w:ascii="Arial" w:hAnsi="Arial"/>
          <w:sz w:val="22"/>
          <w:szCs w:val="22"/>
          <w:rtl w:val="0"/>
          <w:lang w:val="en-US"/>
        </w:rPr>
        <w:t xml:space="preserve">  </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caps w:val="0"/>
          <w:smallCaps w:val="0"/>
          <w:color w:val="000000"/>
          <w:spacing w:val="0"/>
          <w:sz w:val="22"/>
          <w:szCs w:val="22"/>
          <w:u w:color="000000"/>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w:t>
      </w:r>
      <w:r>
        <w:rPr>
          <w:rStyle w:val="None A"/>
          <w:rFonts w:ascii="Arial" w:hAnsi="Arial"/>
          <w:sz w:val="22"/>
          <w:szCs w:val="22"/>
          <w:rtl w:val="0"/>
          <w:lang w:val="en-US"/>
        </w:rPr>
        <w:t>phosphate-buffered saline (PBS)</w:t>
      </w:r>
      <w:r>
        <w:rPr>
          <w:rStyle w:val="None A"/>
          <w:rFonts w:ascii="Arial" w:hAnsi="Arial"/>
          <w:sz w:val="22"/>
          <w:szCs w:val="22"/>
          <w:rtl w:val="0"/>
          <w:lang w:val="en-US"/>
        </w:rPr>
        <w:t xml:space="preserve"> vehicle</w:t>
      </w:r>
      <w:r>
        <w:rPr>
          <w:rStyle w:val="None A"/>
          <w:rFonts w:ascii="Arial" w:hAnsi="Arial"/>
          <w:sz w:val="22"/>
          <w:szCs w:val="22"/>
          <w:rtl w:val="0"/>
          <w:lang w:val="en-US"/>
        </w:rPr>
        <w:t>. Subsequent quantitative plating for CFU was performed to ensure correct dosage.</w:t>
      </w:r>
      <w:r>
        <w:rPr>
          <w:rStyle w:val="None A"/>
          <w:rFonts w:ascii="Arial" w:hAnsi="Arial"/>
          <w:sz w:val="22"/>
          <w:szCs w:val="22"/>
          <w:rtl w:val="0"/>
          <w:lang w:val="en-US"/>
        </w:rPr>
        <w:t xml:space="preserve">  Infection negative control animals were given an oral garage of </w:t>
      </w:r>
      <w:r>
        <w:rPr>
          <w:rStyle w:val="None A"/>
          <w:rFonts w:ascii="Arial" w:hAnsi="Arial"/>
          <w:sz w:val="22"/>
          <w:szCs w:val="22"/>
          <w:rtl w:val="0"/>
          <w:lang w:val="en-US"/>
        </w:rPr>
        <w:t xml:space="preserve">100 </w:t>
      </w:r>
      <w:r>
        <w:rPr>
          <w:rStyle w:val="None A"/>
          <w:rFonts w:ascii="Arial" w:hAnsi="Arial" w:hint="default"/>
          <w:sz w:val="22"/>
          <w:szCs w:val="22"/>
          <w:rtl w:val="0"/>
          <w:lang w:val="en-US"/>
        </w:rPr>
        <w:t>μ</w:t>
      </w:r>
      <w:r>
        <w:rPr>
          <w:rStyle w:val="None A"/>
          <w:rFonts w:ascii="Arial" w:hAnsi="Arial"/>
          <w:sz w:val="22"/>
          <w:szCs w:val="22"/>
          <w:rtl w:val="0"/>
          <w:lang w:val="en-US"/>
        </w:rPr>
        <w:t>l</w:t>
      </w:r>
      <w:r>
        <w:rPr>
          <w:rStyle w:val="None A"/>
          <w:rFonts w:ascii="Arial" w:hAnsi="Arial"/>
          <w:sz w:val="22"/>
          <w:szCs w:val="22"/>
          <w:rtl w:val="0"/>
          <w:lang w:val="en-US"/>
        </w:rPr>
        <w:t xml:space="preserve">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 xml:space="preserve"> 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caps w:val="0"/>
          <w:smallCaps w:val="0"/>
          <w:color w:val="000000"/>
          <w:spacing w:val="0"/>
          <w:sz w:val="22"/>
          <w:szCs w:val="22"/>
          <w:u w:color="000000"/>
          <w:rtl w:val="0"/>
          <w:lang w:val="en-US"/>
        </w:rPr>
        <w:t>°</w:t>
      </w:r>
      <w:r>
        <w:rPr>
          <w:rStyle w:val="None A"/>
          <w:rFonts w:ascii="Arial" w:hAnsi="Arial"/>
          <w:sz w:val="22"/>
          <w:szCs w:val="22"/>
          <w:rtl w:val="0"/>
          <w:lang w:val="en-US"/>
        </w:rPr>
        <w:t xml:space="preserve"> 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Holm-Bonferroni corrected Wilcoxon tests.</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w:t>
      </w:r>
      <w:r>
        <w:rPr>
          <w:rStyle w:val="None A"/>
          <w:rFonts w:ascii="Arial" w:hAnsi="Arial"/>
          <w:caps w:val="0"/>
          <w:smallCaps w:val="0"/>
          <w:color w:val="000000"/>
          <w:spacing w:val="0"/>
          <w:sz w:val="22"/>
          <w:szCs w:val="22"/>
          <w:u w:color="000000"/>
          <w:rtl w:val="0"/>
          <w:lang w:val="en-US"/>
        </w:rPr>
        <w:t>ells were grown to a confluent monolayer in DMEM, supplemented with 10% heat-inactivated fetal bovine serum and 1% penicillin-streptomycin . The cells then were transferred to a conical tube and spun at 1,000 rpm for 5 minutes to pellet the cells. 1</w:t>
      </w:r>
      <w:r>
        <w:rPr>
          <w:rStyle w:val="None A"/>
          <w:rFonts w:ascii="Arial" w:hAnsi="Arial" w:hint="default"/>
          <w:caps w:val="0"/>
          <w:smallCaps w:val="0"/>
          <w:color w:val="000000"/>
          <w:spacing w:val="0"/>
          <w:sz w:val="22"/>
          <w:szCs w:val="22"/>
          <w:u w:color="000000"/>
          <w:rtl w:val="0"/>
          <w:lang w:val="en-US"/>
        </w:rPr>
        <w:t>×</w:t>
      </w:r>
      <w:r>
        <w:rPr>
          <w:rStyle w:val="None A"/>
          <w:rFonts w:ascii="Arial" w:hAnsi="Arial"/>
          <w:caps w:val="0"/>
          <w:smallCaps w:val="0"/>
          <w:color w:val="000000"/>
          <w:spacing w:val="0"/>
          <w:sz w:val="22"/>
          <w:szCs w:val="22"/>
          <w:u w:color="000000"/>
          <w:rtl w:val="0"/>
          <w:lang w:val="en-US"/>
        </w:rPr>
        <w:t>10</w:t>
      </w:r>
      <w:r>
        <w:rPr>
          <w:rStyle w:val="None A"/>
          <w:rFonts w:ascii="Arial" w:hAnsi="Arial"/>
          <w:caps w:val="0"/>
          <w:smallCaps w:val="0"/>
          <w:color w:val="000000"/>
          <w:spacing w:val="0"/>
          <w:sz w:val="22"/>
          <w:szCs w:val="22"/>
          <w:u w:color="000000"/>
          <w:vertAlign w:val="superscript"/>
          <w:rtl w:val="0"/>
          <w:lang w:val="en-US"/>
        </w:rPr>
        <w:t>5</w:t>
      </w:r>
      <w:r>
        <w:rPr>
          <w:rStyle w:val="None A"/>
          <w:rFonts w:ascii="Arial" w:hAnsi="Arial"/>
          <w:caps w:val="0"/>
          <w:smallCaps w:val="0"/>
          <w:color w:val="000000"/>
          <w:spacing w:val="0"/>
          <w:sz w:val="22"/>
          <w:szCs w:val="22"/>
          <w:u w:color="000000"/>
          <w:rtl w:val="0"/>
          <w:lang w:val="en-US"/>
        </w:rPr>
        <w:t xml:space="preserve"> cells were seeded in each well of a 96-well plate and incubated for 4 hours. Filtered cecal content was serially diluted 1:10 in </w:t>
      </w:r>
      <w:r>
        <w:rPr>
          <w:rStyle w:val="None A"/>
          <w:rFonts w:ascii="Arial" w:hAnsi="Arial" w:hint="default"/>
          <w:caps w:val="0"/>
          <w:smallCaps w:val="0"/>
          <w:color w:val="000000"/>
          <w:spacing w:val="0"/>
          <w:sz w:val="22"/>
          <w:szCs w:val="22"/>
          <w:u w:color="000000"/>
          <w:rtl w:val="0"/>
          <w:lang w:val="en-US"/>
        </w:rPr>
        <w:t>×</w:t>
      </w:r>
      <w:r>
        <w:rPr>
          <w:rStyle w:val="None A"/>
          <w:rFonts w:ascii="Arial" w:hAnsi="Arial"/>
          <w:caps w:val="0"/>
          <w:smallCaps w:val="0"/>
          <w:color w:val="000000"/>
          <w:spacing w:val="0"/>
          <w:sz w:val="22"/>
          <w:szCs w:val="22"/>
          <w:u w:color="000000"/>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caps w:val="0"/>
          <w:smallCaps w:val="0"/>
          <w:color w:val="000000"/>
          <w:spacing w:val="0"/>
          <w:sz w:val="22"/>
          <w:szCs w:val="22"/>
          <w:u w:color="000000"/>
          <w:rtl w:val="0"/>
          <w:lang w:val="en-US"/>
        </w:rPr>
        <w:t xml:space="preserve">° </w:t>
      </w:r>
      <w:r>
        <w:rPr>
          <w:rStyle w:val="None A"/>
          <w:rFonts w:ascii="Arial" w:hAnsi="Arial"/>
          <w:caps w:val="0"/>
          <w:smallCaps w:val="0"/>
          <w:color w:val="000000"/>
          <w:spacing w:val="0"/>
          <w:sz w:val="22"/>
          <w:szCs w:val="22"/>
          <w:u w:color="000000"/>
          <w:rtl w:val="0"/>
          <w:lang w:val="en-US"/>
        </w:rPr>
        <w:t xml:space="preserve">C.  Plates were viewed after 24 hours at </w:t>
      </w:r>
      <w:r>
        <w:rPr>
          <w:rStyle w:val="None A"/>
          <w:rFonts w:ascii="Arial" w:hAnsi="Arial" w:hint="default"/>
          <w:caps w:val="0"/>
          <w:smallCaps w:val="0"/>
          <w:color w:val="000000"/>
          <w:spacing w:val="0"/>
          <w:sz w:val="22"/>
          <w:szCs w:val="22"/>
          <w:u w:color="000000"/>
          <w:rtl w:val="0"/>
          <w:lang w:val="en-US"/>
        </w:rPr>
        <w:t>×</w:t>
      </w:r>
      <w:r>
        <w:rPr>
          <w:rStyle w:val="None A"/>
          <w:rFonts w:ascii="Arial" w:hAnsi="Arial"/>
          <w:caps w:val="0"/>
          <w:smallCaps w:val="0"/>
          <w:color w:val="000000"/>
          <w:spacing w:val="0"/>
          <w:sz w:val="22"/>
          <w:szCs w:val="22"/>
          <w:u w:color="000000"/>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pacing w:line="480" w:lineRule="auto"/>
        <w:rPr>
          <w:rStyle w:val="None A"/>
          <w:rFonts w:ascii="Arial" w:cs="Arial" w:hAnsi="Arial" w:eastAsia="Arial"/>
          <w:caps w:val="0"/>
          <w:smallCaps w:val="0"/>
          <w:color w:val="000000"/>
          <w:spacing w:val="0"/>
          <w:sz w:val="22"/>
          <w:szCs w:val="22"/>
          <w:u w:color="000000"/>
        </w:rPr>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pacing w:line="480" w:lineRule="auto"/>
        <w:jc w:val="both"/>
        <w:rPr>
          <w:rStyle w:val="None A"/>
          <w:rFonts w:ascii="Arial" w:cs="Arial" w:hAnsi="Arial" w:eastAsia="Arial"/>
          <w:caps w:val="0"/>
          <w:smallCaps w:val="0"/>
          <w:color w:val="000000"/>
          <w:spacing w:val="0"/>
          <w:sz w:val="22"/>
          <w:szCs w:val="22"/>
          <w:u w:color="000000"/>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RNA extraction and library preparation.</w:t>
      </w:r>
      <w:r>
        <w:rPr>
          <w:rStyle w:val="None A"/>
          <w:rFonts w:ascii="Arial" w:hAnsi="Arial"/>
          <w:sz w:val="22"/>
          <w:szCs w:val="22"/>
          <w:rtl w:val="0"/>
          <w:lang w:val="en-US"/>
        </w:rPr>
        <w:t xml:space="preserve">  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15 minutes.  </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l of RNase-free water.</w:t>
      </w:r>
    </w:p>
    <w:p>
      <w:pPr>
        <w:pStyle w:val="Default"/>
        <w:spacing w:line="480" w:lineRule="auto"/>
        <w:jc w:val="both"/>
      </w:pPr>
      <w:r>
        <w:rPr>
          <w:rStyle w:val="None A"/>
          <w:rFonts w:ascii="Arial" w:cs="Arial" w:hAnsi="Arial" w:eastAsia="Arial"/>
          <w:sz w:val="22"/>
          <w:szCs w:val="22"/>
          <w:rtl w:val="0"/>
        </w:rPr>
        <w:tab/>
        <w:t xml:space="preserve">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w:t>
      </w:r>
      <w:r>
        <w:rPr>
          <w:rStyle w:val="None A"/>
          <w:rFonts w:ascii="Arial" w:hAnsi="Arial"/>
          <w:sz w:val="22"/>
          <w:szCs w:val="22"/>
          <w:rtl w:val="0"/>
          <w:lang w:val="en-US"/>
        </w:rPr>
        <w:t>N</w:t>
      </w:r>
      <w:r>
        <w:rPr>
          <w:rStyle w:val="None A"/>
          <w:rFonts w:ascii="Arial" w:hAnsi="Arial"/>
          <w:sz w:val="22"/>
          <w:szCs w:val="22"/>
          <w:rtl w:val="0"/>
          <w:lang w:val="en-US"/>
        </w:rPr>
        <w:t>ase for 30 minutes</w:t>
      </w:r>
      <w:r>
        <w:rPr>
          <w:rtl w:val="0"/>
          <w:lang w:val="en-US"/>
        </w:rPr>
        <w:t xml:space="preserve"> </w:t>
      </w:r>
      <w:r>
        <w:rPr>
          <w:rStyle w:val="None A"/>
          <w:rFonts w:ascii="Arial" w:hAnsi="Arial"/>
          <w:sz w:val="22"/>
          <w:szCs w:val="22"/>
          <w:rtl w:val="0"/>
          <w:lang w:val="en-US"/>
        </w:rPr>
        <w:t xml:space="preserve">at </w:t>
      </w:r>
      <w:r>
        <w:rPr>
          <w:rStyle w:val="None A"/>
          <w:rFonts w:ascii="Arial" w:hAnsi="Arial"/>
          <w:sz w:val="22"/>
          <w:szCs w:val="22"/>
          <w:rtl w:val="0"/>
          <w:lang w:val="en-US"/>
        </w:rPr>
        <w:t>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w:t>
      </w:r>
      <w:r>
        <w:rPr>
          <w:rStyle w:val="None A"/>
          <w:rFonts w:ascii="Arial" w:hAnsi="Arial"/>
          <w:sz w:val="22"/>
          <w:szCs w:val="22"/>
          <w:rtl w:val="0"/>
          <w:lang w:val="en-US"/>
        </w:rPr>
        <w:t xml:space="preserve">stranded </w:t>
      </w:r>
      <w:r>
        <w:rPr>
          <w:rStyle w:val="None A"/>
          <w:rFonts w:ascii="Arial" w:hAnsi="Arial"/>
          <w:sz w:val="22"/>
          <w:szCs w:val="22"/>
          <w:rtl w:val="0"/>
          <w:lang w:val="en-US"/>
        </w:rPr>
        <w:t xml:space="preserve">RNA-Seq libraries were made constructed with the TruSeq </w:t>
      </w:r>
      <w:r>
        <w:rPr>
          <w:rStyle w:val="None A"/>
          <w:rFonts w:ascii="Arial" w:hAnsi="Arial"/>
          <w:sz w:val="22"/>
          <w:szCs w:val="22"/>
          <w:rtl w:val="0"/>
          <w:lang w:val="en-US"/>
        </w:rPr>
        <w:t xml:space="preserve">Total </w:t>
      </w:r>
      <w:r>
        <w:rPr>
          <w:rStyle w:val="None A"/>
          <w:rFonts w:ascii="Arial" w:hAnsi="Arial"/>
          <w:sz w:val="22"/>
          <w:szCs w:val="22"/>
          <w:rtl w:val="0"/>
          <w:lang w:val="en-US"/>
        </w:rPr>
        <w:t xml:space="preserve">RNA Library Preparation Kit v2, both using the manufacturer's protocol.  2x50 bp sequencing was finally performed using an Illumina HiSeq 2500.  A detailed protocol for this entire procedure containing product numbers and </w:t>
      </w:r>
      <w:r>
        <w:rPr>
          <w:rStyle w:val="None A"/>
          <w:rFonts w:ascii="Arial" w:hAnsi="Arial"/>
          <w:sz w:val="22"/>
          <w:szCs w:val="22"/>
          <w:rtl w:val="0"/>
          <w:lang w:val="en-US"/>
        </w:rPr>
        <w:t>quality-control</w:t>
      </w:r>
      <w:r>
        <w:rPr>
          <w:rStyle w:val="None A"/>
          <w:rFonts w:ascii="Arial" w:hAnsi="Arial"/>
          <w:sz w:val="22"/>
          <w:szCs w:val="22"/>
          <w:rtl w:val="0"/>
          <w:lang w:val="en-US"/>
        </w:rPr>
        <w:t xml:space="preserve"> primer sequences can be found in the Github repository associated with this project.</w:t>
      </w:r>
    </w:p>
    <w:p>
      <w:pPr>
        <w:pStyle w:val="Default"/>
        <w:spacing w:line="480" w:lineRule="auto"/>
        <w:jc w:val="both"/>
        <w:rPr>
          <w:rStyle w:val="None A"/>
          <w:rFonts w:ascii="Arial" w:cs="Arial" w:hAnsi="Arial" w:eastAsia="Arial"/>
          <w:sz w:val="22"/>
          <w:szCs w:val="22"/>
        </w:rPr>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pacing w:line="480" w:lineRule="auto"/>
        <w:jc w:val="both"/>
        <w:rPr>
          <w:rStyle w:val="None A"/>
          <w:rFonts w:ascii="Arial" w:cs="Arial" w:hAnsi="Arial" w:eastAsia="Arial"/>
          <w:b w:val="1"/>
          <w:bCs w:val="1"/>
          <w:sz w:val="22"/>
          <w:szCs w:val="22"/>
        </w:rPr>
      </w:pPr>
      <w:r>
        <w:rPr>
          <w:rStyle w:val="None A"/>
          <w:rFonts w:ascii="Arial" w:cs="Arial" w:hAnsi="Arial" w:eastAsia="Arial"/>
          <w:sz w:val="22"/>
          <w:szCs w:val="22"/>
        </w:rPr>
        <w:tab/>
      </w: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Sequence curation, read mapping, and normalization.</w:t>
      </w:r>
      <w:r>
        <w:rPr>
          <w:rStyle w:val="None A"/>
          <w:rFonts w:ascii="Arial" w:hAnsi="Arial"/>
          <w:sz w:val="22"/>
          <w:szCs w:val="22"/>
          <w:rtl w:val="0"/>
          <w:lang w:val="en-US"/>
        </w:rPr>
        <w:t xml:space="preserve">  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Bipartite Metabolic Modeling.</w:t>
      </w:r>
      <w:r>
        <w:rPr>
          <w:rStyle w:val="None A"/>
          <w:rFonts w:ascii="Arial" w:hAnsi="Arial"/>
          <w:sz w:val="22"/>
          <w:szCs w:val="22"/>
          <w:rtl w:val="0"/>
          <w:lang w:val="en-US"/>
        </w:rPr>
        <w:t xml:space="preserve">  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p>
    <w:p>
      <w:pPr>
        <w:pStyle w:val="Default"/>
        <w:spacing w:line="480" w:lineRule="auto"/>
        <w:jc w:val="center"/>
        <w:rPr>
          <w:rStyle w:val="None A"/>
          <w:rFonts w:ascii="Arial" w:cs="Arial" w:hAnsi="Arial" w:eastAsia="Arial"/>
          <w:sz w:val="22"/>
          <w:szCs w:val="22"/>
        </w:rPr>
      </w:pPr>
      <w:r>
        <w:rPr>
          <w:rStyle w:val="None A"/>
          <w:rFonts w:ascii="Arial" w:hAnsi="Arial"/>
          <w:sz w:val="22"/>
          <w:szCs w:val="22"/>
          <w:rtl w:val="0"/>
          <w:lang w:val="en-US"/>
        </w:rPr>
        <w:t>insert the equation here again</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If a compound is more likely to be produced, the more negative the resulting score will be.  The general concept for the bipartite metabolic networks and substrate importance algorithm were partially based on methods created to infer metabolite preference of </w:t>
      </w:r>
      <w:r>
        <w:rPr>
          <w:rStyle w:val="None A"/>
          <w:rFonts w:ascii="Arial" w:hAnsi="Arial"/>
          <w:i w:val="1"/>
          <w:iCs w:val="1"/>
          <w:sz w:val="22"/>
          <w:szCs w:val="22"/>
          <w:rtl w:val="0"/>
          <w:lang w:val="en-US"/>
        </w:rPr>
        <w:t xml:space="preserve">Saccharomyces cerevisiae </w:t>
      </w:r>
      <w:r>
        <w:rPr>
          <w:rStyle w:val="None A"/>
          <w:rFonts w:ascii="Arial" w:hAnsi="Arial"/>
          <w:sz w:val="22"/>
          <w:szCs w:val="22"/>
          <w:rtl w:val="0"/>
          <w:lang w:val="en-US"/>
        </w:rPr>
        <w:t xml:space="preserve">grown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and using repeated transcriptomic sequencing efforts (Patil,  2005).  </w:t>
      </w:r>
      <w:r>
        <w:rPr>
          <w:rStyle w:val="None A"/>
          <w:rFonts w:ascii="Arial" w:hAnsi="Arial"/>
          <w:sz w:val="22"/>
          <w:szCs w:val="22"/>
          <w:rtl w:val="0"/>
          <w:lang w:val="en-US"/>
        </w:rPr>
        <w:t>T</w:t>
      </w:r>
      <w:r>
        <w:rPr>
          <w:rStyle w:val="None A"/>
          <w:rFonts w:ascii="Arial" w:hAnsi="Arial"/>
          <w:sz w:val="22"/>
          <w:szCs w:val="22"/>
          <w:rtl w:val="0"/>
          <w:lang w:val="en-US"/>
        </w:rPr>
        <w:t xml:space="preserve">hese methods have been written into a </w:t>
      </w:r>
      <w:r>
        <w:rPr>
          <w:rStyle w:val="None A"/>
          <w:rFonts w:ascii="Arial" w:hAnsi="Arial"/>
          <w:sz w:val="22"/>
          <w:szCs w:val="22"/>
          <w:rtl w:val="0"/>
          <w:lang w:val="en-US"/>
        </w:rPr>
        <w:t>single</w:t>
      </w:r>
      <w:r>
        <w:rPr>
          <w:rStyle w:val="None A"/>
          <w:rFonts w:ascii="Arial" w:hAnsi="Arial"/>
          <w:sz w:val="22"/>
          <w:szCs w:val="22"/>
          <w:rtl w:val="0"/>
          <w:lang w:val="en-US"/>
        </w:rPr>
        <w:t xml:space="preserve"> python script</w:t>
      </w:r>
      <w:r>
        <w:rPr>
          <w:rStyle w:val="None A"/>
          <w:rFonts w:ascii="Arial" w:hAnsi="Arial"/>
          <w:sz w:val="22"/>
          <w:szCs w:val="22"/>
          <w:rtl w:val="0"/>
          <w:lang w:val="en-US"/>
        </w:rPr>
        <w:t>, along with supporting reference files,</w:t>
      </w:r>
      <w:r>
        <w:rPr>
          <w:rStyle w:val="None A"/>
          <w:rFonts w:ascii="Arial" w:hAnsi="Arial"/>
          <w:sz w:val="22"/>
          <w:szCs w:val="22"/>
          <w:rtl w:val="0"/>
          <w:lang w:val="en-US"/>
        </w:rPr>
        <w:t xml:space="preserve"> and </w:t>
      </w:r>
      <w:r>
        <w:rPr>
          <w:rStyle w:val="None A"/>
          <w:rFonts w:ascii="Arial" w:hAnsi="Arial"/>
          <w:sz w:val="22"/>
          <w:szCs w:val="22"/>
          <w:rtl w:val="0"/>
          <w:lang w:val="en-US"/>
        </w:rPr>
        <w:t>is</w:t>
      </w:r>
      <w:r>
        <w:rPr>
          <w:rStyle w:val="None A"/>
          <w:rFonts w:ascii="Arial" w:hAnsi="Arial"/>
          <w:sz w:val="22"/>
          <w:szCs w:val="22"/>
          <w:rtl w:val="0"/>
          <w:lang w:val="en-US"/>
        </w:rPr>
        <w:t xml:space="preserve"> presented as BiGSMAll</w:t>
      </w:r>
      <w:r>
        <w:rPr>
          <w:rStyle w:val="None A"/>
          <w:rFonts w:ascii="Arial" w:hAnsi="Arial"/>
          <w:sz w:val="22"/>
          <w:szCs w:val="22"/>
          <w:rtl w:val="0"/>
          <w:lang w:val="en-US"/>
        </w:rPr>
        <w:t xml:space="preserve"> (</w:t>
      </w:r>
      <w:r>
        <w:rPr>
          <w:rStyle w:val="None A"/>
          <w:rFonts w:ascii="Arial" w:hAnsi="Arial"/>
          <w:sz w:val="22"/>
          <w:szCs w:val="22"/>
          <w:rtl w:val="0"/>
          <w:lang w:val="en-US"/>
        </w:rPr>
        <w:t>BacterIal Genome-Scale Metabolic models for AppLied reverse ecoLogy</w:t>
      </w:r>
      <w:r>
        <w:rPr>
          <w:rStyle w:val="None A"/>
          <w:rFonts w:ascii="Arial" w:hAnsi="Arial"/>
          <w:sz w:val="22"/>
          <w:szCs w:val="22"/>
          <w:rtl w:val="0"/>
          <w:lang w:val="en-US"/>
        </w:rPr>
        <w:t>)</w:t>
      </w:r>
      <w:r>
        <w:rPr>
          <w:rStyle w:val="None A"/>
          <w:rFonts w:ascii="Arial" w:hAnsi="Arial"/>
          <w:sz w:val="22"/>
          <w:szCs w:val="22"/>
          <w:rtl w:val="0"/>
          <w:lang w:val="en-US"/>
        </w:rPr>
        <w:t xml:space="preserve">,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w:t>
      </w:r>
      <w:r>
        <w:rPr>
          <w:rStyle w:val="None A"/>
          <w:rFonts w:ascii="Arial" w:hAnsi="Arial"/>
          <w:sz w:val="22"/>
          <w:szCs w:val="22"/>
          <w:rtl w:val="0"/>
          <w:lang w:val="en-US"/>
        </w:rPr>
        <w:t>calculated</w:t>
      </w:r>
      <w:r>
        <w:rPr>
          <w:rStyle w:val="None A"/>
          <w:rFonts w:ascii="Arial" w:hAnsi="Arial"/>
          <w:sz w:val="22"/>
          <w:szCs w:val="22"/>
          <w:rtl w:val="0"/>
          <w:lang w:val="en-US"/>
        </w:rPr>
        <w:t xml:space="preserve"> metabolite importance</w:t>
      </w:r>
      <w:r>
        <w:rPr>
          <w:rStyle w:val="None A"/>
          <w:rFonts w:ascii="Arial" w:hAnsi="Arial"/>
          <w:sz w:val="22"/>
          <w:szCs w:val="22"/>
          <w:rtl w:val="0"/>
          <w:lang w:val="en-US"/>
        </w:rPr>
        <w:t>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due to transcriptional patterns, </w:t>
      </w:r>
      <w:r>
        <w:rPr>
          <w:rStyle w:val="None A"/>
          <w:rFonts w:ascii="Arial" w:hAnsi="Arial"/>
          <w:sz w:val="22"/>
          <w:szCs w:val="22"/>
          <w:rtl w:val="0"/>
          <w:lang w:val="en-US"/>
        </w:rPr>
        <w:t>from consistently important compounds or those scores derived from random chance.  With this in mind we took an iterative approach of randomizing assignment of transcript abundance to enzyme nodes and recalculating metabolite importances.  Each compound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w:t>
      </w:r>
      <w:r>
        <w:rPr>
          <w:rStyle w:val="None A"/>
          <w:rFonts w:ascii="Arial" w:hAnsi="Arial"/>
          <w:sz w:val="22"/>
          <w:szCs w:val="22"/>
          <w:rtl w:val="0"/>
          <w:lang w:val="en-US"/>
        </w:rPr>
        <w:t xml:space="preserve">  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Holm-Bonferroni corrected 2-way ANOVA.</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outline w:val="0"/>
          <w:color w:val="000000"/>
          <w:spacing w:val="0"/>
          <w:kern w:val="0"/>
          <w:sz w:val="22"/>
          <w:szCs w:val="22"/>
          <w:u w:val="none" w:color="000000"/>
        </w:rPr>
      </w:pPr>
      <w:r>
        <w:rPr>
          <w:rStyle w:val="None A"/>
          <w:rFonts w:ascii="Arial" w:hAnsi="Arial"/>
          <w:b w:val="1"/>
          <w:bCs w:val="1"/>
          <w:outline w:val="0"/>
          <w:color w:val="000000"/>
          <w:spacing w:val="0"/>
          <w:kern w:val="0"/>
          <w:sz w:val="22"/>
          <w:szCs w:val="22"/>
          <w:u w:val="none" w:color="000000"/>
          <w:rtl w:val="0"/>
          <w:lang w:val="en-US"/>
        </w:rPr>
        <w:t>Untargeted liquid chromatography-mass spectrometry for metabolite content of mouse cecal content.</w:t>
      </w:r>
      <w:r>
        <w:rPr>
          <w:rStyle w:val="None A"/>
          <w:rFonts w:ascii="Arial" w:hAnsi="Arial"/>
          <w:outline w:val="0"/>
          <w:color w:val="000000"/>
          <w:spacing w:val="0"/>
          <w:kern w:val="0"/>
          <w:sz w:val="22"/>
          <w:szCs w:val="22"/>
          <w:u w:val="none" w:color="000000"/>
          <w:rtl w:val="0"/>
          <w:lang w:val="en-US"/>
        </w:rPr>
        <w:t xml:space="preserve">  Flash frozen aliquot of cecal content was </w:t>
      </w:r>
    </w:p>
    <w:p>
      <w:pPr>
        <w:pStyle w:val="Default"/>
        <w:spacing w:line="480" w:lineRule="auto"/>
        <w:jc w:val="both"/>
        <w:rPr>
          <w:rStyle w:val="None A"/>
          <w:rFonts w:ascii="Arial" w:cs="Arial" w:hAnsi="Arial" w:eastAsia="Arial"/>
          <w:outline w:val="0"/>
          <w:color w:val="000000"/>
          <w:spacing w:val="0"/>
          <w:kern w:val="0"/>
          <w:sz w:val="22"/>
          <w:szCs w:val="22"/>
          <w:u w:val="none" w:color="000000"/>
        </w:rPr>
      </w:pPr>
    </w:p>
    <w:p>
      <w:pPr>
        <w:pStyle w:val="Text body"/>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outline w:val="0"/>
          <w:color w:val="000000"/>
          <w:spacing w:val="0"/>
          <w:kern w:val="0"/>
          <w:sz w:val="22"/>
          <w:szCs w:val="22"/>
          <w:u w:val="none" w:color="000000"/>
          <w:rtl w:val="0"/>
          <w:lang w:val="en-US"/>
        </w:rPr>
        <w:t>Figure Legends</w:t>
      </w: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18 hours after infection.</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Experimental timelines for the antibiotic treatments used to sensitize animals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and infection (n = 9 per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Toxin titer measured by activity in Vero cell rounding assay. </w:t>
      </w:r>
      <w:r>
        <w:rPr>
          <w:rStyle w:val="None A"/>
          <w:rFonts w:ascii="Arial" w:hAnsi="Arial"/>
          <w:i w:val="1"/>
          <w:iCs w:val="1"/>
          <w:sz w:val="22"/>
          <w:szCs w:val="22"/>
          <w:rtl w:val="0"/>
          <w:lang w:val="en-US"/>
        </w:rPr>
        <w:t xml:space="preserve"> 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assessed through differential plating (plated without germinant) and </w:t>
      </w:r>
      <w:r>
        <w:rPr>
          <w:rStyle w:val="None A"/>
          <w:rFonts w:ascii="Arial" w:hAnsi="Arial"/>
          <w:b w:val="1"/>
          <w:bCs w:val="1"/>
          <w:sz w:val="22"/>
          <w:szCs w:val="22"/>
          <w:rtl w:val="0"/>
          <w:lang w:val="en-US"/>
        </w:rPr>
        <w:t xml:space="preser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measured with an alternative plating strategy (heating to 65</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2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w:t>
      </w:r>
      <w:r>
        <w:rPr>
          <w:rStyle w:val="None A"/>
          <w:rFonts w:ascii="Arial" w:hAnsi="Arial"/>
          <w:sz w:val="22"/>
          <w:szCs w:val="22"/>
          <w:rtl w:val="0"/>
          <w:lang w:val="en-US"/>
        </w:rPr>
        <w:t xml:space="preserve">  The median of subsampled gene abundances, shown with 95% confidence interval.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CdtR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3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A)</w:t>
      </w:r>
      <w:r>
        <w:rPr>
          <w:rStyle w:val="None A"/>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through </w:t>
      </w:r>
      <w:r>
        <w:rPr>
          <w:rStyle w:val="None A"/>
          <w:rFonts w:ascii="Arial" w:hAnsi="Arial"/>
          <w:b w:val="1"/>
          <w:bCs w:val="1"/>
          <w:sz w:val="22"/>
          <w:szCs w:val="22"/>
          <w:rtl w:val="0"/>
          <w:lang w:val="en-US"/>
        </w:rPr>
        <w:t>I)</w:t>
      </w:r>
      <w:r>
        <w:rPr>
          <w:rStyle w:val="None A"/>
          <w:rFonts w:ascii="Arial" w:hAnsi="Arial"/>
          <w:sz w:val="22"/>
          <w:szCs w:val="22"/>
          <w:rtl w:val="0"/>
          <w:lang w:val="en-US"/>
        </w:rPr>
        <w:t xml:space="preserve"> without size differences so all points are visible.</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A"/>
          <w:rFonts w:ascii="Arial" w:hAnsi="Arial"/>
          <w:b w:val="1"/>
          <w:bCs w:val="1"/>
          <w:sz w:val="22"/>
          <w:szCs w:val="22"/>
          <w:rtl w:val="0"/>
          <w:lang w:val="en-US"/>
        </w:rPr>
        <w:t xml:space="preserve"> B) </w:t>
      </w:r>
      <w:r>
        <w:rPr>
          <w:rStyle w:val="None A"/>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A"/>
          <w:rFonts w:ascii="Arial" w:hAnsi="Arial"/>
          <w:b w:val="1"/>
          <w:bCs w:val="1"/>
          <w:sz w:val="22"/>
          <w:szCs w:val="22"/>
          <w:u w:val="none"/>
          <w:rtl w:val="0"/>
          <w:lang w:val="en-US"/>
        </w:rPr>
        <w:t>C)</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5 |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concentrations from targeted LC-MS analysis of predicted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nutrient sources from metabolic models.</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Heatmap, group by treatment group on x-axis and hierarchical clustering on y-axis. Comparing No Antibiotics to each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Bar charts of the actual concentrations for the substrates identified through metabolic modeling, shown in Figure 4.</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Supplementary Figure 1 |  Spore % of total CFU and toxin to spore correlations.</w:t>
      </w:r>
      <w:r>
        <w:rPr>
          <w:rStyle w:val="None A"/>
          <w:rFonts w:ascii="Arial" w:hAnsi="Arial"/>
          <w:sz w:val="22"/>
          <w:szCs w:val="22"/>
          <w:rtl w:val="0"/>
          <w:lang w:val="en-US"/>
        </w:rPr>
        <w:t xml:space="preserve">  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exome coverage for each condition.</w:t>
      </w:r>
      <w:r>
        <w:rPr>
          <w:rStyle w:val="None A"/>
          <w:rFonts w:ascii="Arial" w:hAnsi="Arial"/>
          <w:sz w:val="22"/>
          <w:szCs w:val="22"/>
          <w:rtl w:val="0"/>
          <w:lang w:val="en-US"/>
        </w:rPr>
        <w:t xml:space="preserve">  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Supplementary Figure 3 |  Expression of specific KEGG gene families.</w:t>
      </w:r>
      <w:r>
        <w:rPr>
          <w:rStyle w:val="None A"/>
          <w:rFonts w:ascii="Arial" w:hAnsi="Arial"/>
          <w:sz w:val="22"/>
          <w:szCs w:val="22"/>
          <w:rtl w:val="0"/>
          <w:lang w:val="en-US"/>
        </w:rPr>
        <w:t xml:space="preserve">  Description. A). B). C).</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Supplementary Figure 4 |  Substrate scores outside of at least two standard deviations from simulated means.</w:t>
      </w:r>
      <w:r>
        <w:rPr>
          <w:rStyle w:val="None A"/>
          <w:rFonts w:ascii="Arial" w:hAnsi="Arial"/>
          <w:sz w:val="22"/>
          <w:szCs w:val="22"/>
          <w:rtl w:val="0"/>
          <w:lang w:val="en-US"/>
        </w:rPr>
        <w:t xml:space="preserve">  Description. A). B). C).</w:t>
      </w:r>
    </w:p>
    <w:p>
      <w:pPr>
        <w:pStyle w:val="Default"/>
        <w:spacing w:line="480" w:lineRule="auto"/>
        <w:jc w:val="both"/>
        <w:rPr>
          <w:rFonts w:ascii="Arial" w:cs="Arial" w:hAnsi="Arial" w:eastAsia="Arial"/>
          <w:sz w:val="22"/>
          <w:szCs w:val="22"/>
        </w:rPr>
      </w:pPr>
    </w:p>
    <w:p>
      <w:pPr>
        <w:pStyle w:val="Default"/>
        <w:spacing w:line="480" w:lineRule="auto"/>
        <w:ind w:left="480" w:hanging="480"/>
        <w:jc w:val="both"/>
        <w:rPr>
          <w:rStyle w:val="None A"/>
          <w:rFonts w:ascii="Arial" w:cs="Arial" w:hAnsi="Arial" w:eastAsia="Arial"/>
          <w:b w:val="1"/>
          <w:bCs w:val="1"/>
          <w:outline w:val="0"/>
          <w:color w:val="000000"/>
          <w:spacing w:val="0"/>
          <w:kern w:val="0"/>
          <w:sz w:val="22"/>
          <w:szCs w:val="22"/>
          <w:u w:val="none" w:color="000000"/>
        </w:rPr>
      </w:pPr>
      <w:r>
        <w:rPr>
          <w:rStyle w:val="None A"/>
          <w:rFonts w:ascii="Arial" w:hAnsi="Arial"/>
          <w:b w:val="1"/>
          <w:bCs w:val="1"/>
          <w:outline w:val="0"/>
          <w:color w:val="000000"/>
          <w:spacing w:val="0"/>
          <w:kern w:val="0"/>
          <w:sz w:val="22"/>
          <w:szCs w:val="22"/>
          <w:u w:val="none" w:color="000000"/>
          <w:rtl w:val="0"/>
          <w:lang w:val="en-US"/>
        </w:rPr>
        <w:t>Supplementary Figure 5 |  Additional growth curves.</w:t>
      </w:r>
      <w:r>
        <w:rPr>
          <w:rStyle w:val="None A"/>
          <w:rFonts w:ascii="Arial" w:hAnsi="Arial"/>
          <w:outline w:val="0"/>
          <w:color w:val="000000"/>
          <w:spacing w:val="0"/>
          <w:kern w:val="0"/>
          <w:sz w:val="22"/>
          <w:szCs w:val="22"/>
          <w:u w:val="none" w:color="000000"/>
          <w:rtl w:val="0"/>
          <w:lang w:val="en-US"/>
        </w:rPr>
        <w:t xml:space="preserve">   Description.</w:t>
      </w:r>
    </w:p>
    <w:p>
      <w:pPr>
        <w:pStyle w:val="Text body"/>
        <w:spacing w:line="480" w:lineRule="auto"/>
        <w:ind w:left="480" w:hanging="480"/>
        <w:jc w:val="both"/>
        <w:rPr>
          <w:rStyle w:val="None A"/>
          <w:rFonts w:ascii="Arial" w:cs="Arial" w:hAnsi="Arial" w:eastAsia="Arial"/>
          <w:b w:val="1"/>
          <w:bCs w:val="1"/>
          <w:outline w:val="0"/>
          <w:color w:val="000000"/>
          <w:spacing w:val="0"/>
          <w:kern w:val="0"/>
          <w:sz w:val="22"/>
          <w:szCs w:val="22"/>
          <w:u w:val="none" w:color="000000"/>
        </w:rPr>
      </w:pPr>
    </w:p>
    <w:p>
      <w:pPr>
        <w:pStyle w:val="Default"/>
        <w:spacing w:line="480" w:lineRule="auto"/>
        <w:ind w:left="480" w:hanging="480"/>
        <w:jc w:val="both"/>
        <w:rPr>
          <w:rStyle w:val="None A"/>
          <w:rFonts w:ascii="Arial" w:cs="Arial" w:hAnsi="Arial" w:eastAsia="Arial"/>
          <w:b w:val="1"/>
          <w:bCs w:val="1"/>
          <w:outline w:val="0"/>
          <w:color w:val="000000"/>
          <w:spacing w:val="0"/>
          <w:kern w:val="0"/>
          <w:sz w:val="22"/>
          <w:szCs w:val="22"/>
          <w:u w:val="none" w:color="000000"/>
        </w:rPr>
      </w:pPr>
      <w:r>
        <w:rPr>
          <w:rStyle w:val="None A"/>
          <w:rFonts w:ascii="Arial" w:hAnsi="Arial"/>
          <w:b w:val="1"/>
          <w:bCs w:val="1"/>
          <w:outline w:val="0"/>
          <w:color w:val="000000"/>
          <w:spacing w:val="0"/>
          <w:kern w:val="0"/>
          <w:sz w:val="22"/>
          <w:szCs w:val="22"/>
          <w:u w:val="none" w:color="000000"/>
          <w:rtl w:val="0"/>
          <w:lang w:val="en-US"/>
        </w:rPr>
        <w:t>Supplementary Figure 6 |  Acetate data supporting network output.</w:t>
      </w:r>
      <w:r>
        <w:rPr>
          <w:rStyle w:val="None A"/>
          <w:rFonts w:ascii="Arial" w:hAnsi="Arial"/>
          <w:outline w:val="0"/>
          <w:color w:val="000000"/>
          <w:spacing w:val="0"/>
          <w:kern w:val="0"/>
          <w:sz w:val="22"/>
          <w:szCs w:val="22"/>
          <w:u w:val="none" w:color="000000"/>
          <w:rtl w:val="0"/>
          <w:lang w:val="en-US"/>
        </w:rPr>
        <w:t xml:space="preserve">   Description.</w:t>
      </w:r>
    </w:p>
    <w:p>
      <w:pPr>
        <w:pStyle w:val="Default"/>
        <w:spacing w:line="480" w:lineRule="auto"/>
        <w:ind w:left="480" w:hanging="480"/>
        <w:jc w:val="both"/>
        <w:rPr>
          <w:rStyle w:val="None A"/>
          <w:rFonts w:ascii="Arial" w:cs="Arial" w:hAnsi="Arial" w:eastAsia="Arial"/>
          <w:b w:val="1"/>
          <w:bCs w:val="1"/>
          <w:outline w:val="0"/>
          <w:color w:val="000000"/>
          <w:spacing w:val="0"/>
          <w:kern w:val="0"/>
          <w:sz w:val="22"/>
          <w:szCs w:val="22"/>
          <w:u w:val="none" w:color="000000"/>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Ho, T. D., &amp; Ellermeier, C. D. (2015). Ferric uptake regulator fur control of putative iron acquisition systems in Clostridium 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en-US"/>
        </w:rPr>
        <w:t>2940. http://doi.org/10.1128/JB.00098-15</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Hundsberger, T., Braun, V., Weidmann, M., Leukel, P., Sauerborn, M., &amp; von Eichel-Streiber, C. (1997). Transcription analysis 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742. http://doi.org/10.1111/j.1432-1033.1997.t01-1-00735.x</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Janoir, C., Den</w:t>
      </w:r>
      <w:r>
        <w:rPr>
          <w:rStyle w:val="None A"/>
          <w:rFonts w:ascii="Arial" w:hAnsi="Arial" w:hint="default"/>
          <w:sz w:val="18"/>
          <w:szCs w:val="18"/>
          <w:rtl w:val="0"/>
          <w:lang w:val="en-US"/>
        </w:rPr>
        <w:t>è</w:t>
      </w:r>
      <w:r>
        <w:rPr>
          <w:rStyle w:val="None A"/>
          <w:rFonts w:ascii="Arial" w:hAnsi="Arial"/>
          <w:sz w:val="18"/>
          <w:szCs w:val="18"/>
          <w:rtl w:val="0"/>
          <w:lang w:val="en-US"/>
        </w:rPr>
        <w:t xml:space="preserve">ve, C., Bouttier, S., Barbut, F., Hoys, S., Caleechum, L., &amp; Dupuy, B. (2013). Adaptive strategies and pathogenesis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 http://doi.org/10.1128/IAI.00515-13</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2"/>
        </w:rPr>
        <w:fldChar w:fldCharType="begin" w:fldLock="0"/>
      </w:r>
      <w:r>
        <w:rPr>
          <w:rStyle w:val="Hyperlink.2"/>
        </w:rPr>
        <w:instrText xml:space="preserve"> HYPERLINK "http://doi.org/10.1056/NEJMoa1408913"</w:instrText>
      </w:r>
      <w:r>
        <w:rPr>
          <w:rStyle w:val="Hyperlink.2"/>
        </w:rPr>
        <w:fldChar w:fldCharType="separate" w:fldLock="0"/>
      </w:r>
      <w:r>
        <w:rPr>
          <w:rStyle w:val="Hyperlink.2"/>
          <w:rtl w:val="0"/>
          <w:lang w:val="en-US"/>
        </w:rPr>
        <w:t>http://doi.org/10.1056/NEJMoa1408913</w:t>
      </w:r>
      <w:r>
        <w:rPr/>
        <w:fldChar w:fldCharType="end" w:fldLock="0"/>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ind w:left="480" w:hanging="480"/>
        <w:rPr>
          <w:rStyle w:val="None A"/>
          <w:rFonts w:ascii="Arial" w:cs="Arial" w:hAnsi="Arial" w:eastAsia="Arial"/>
          <w:outline w:val="0"/>
          <w:color w:val="000000"/>
          <w:spacing w:val="0"/>
          <w:kern w:val="0"/>
          <w:sz w:val="18"/>
          <w:szCs w:val="18"/>
          <w:u w:val="none" w:color="000000"/>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pacing w:line="100" w:lineRule="atLeast"/>
        <w:ind w:left="480" w:hanging="480"/>
        <w:jc w:val="both"/>
      </w:pPr>
      <w:r>
        <w:rPr>
          <w:rStyle w:val="None A"/>
          <w:rFonts w:ascii="Arial" w:hAnsi="Arial"/>
          <w:outline w:val="0"/>
          <w:color w:val="000000"/>
          <w:spacing w:val="0"/>
          <w:kern w:val="0"/>
          <w:sz w:val="18"/>
          <w:szCs w:val="18"/>
          <w:u w:val="none" w:color="000000"/>
          <w:rtl w:val="0"/>
          <w:lang w:val="en-US"/>
        </w:rPr>
        <w:t xml:space="preserve">Yuille, S., Mackay, W. G., Morrison, D. J., &amp; Tedford, M. C. (2015). Optimising gut colonisation resistance against Clostridium difficile infection. </w:t>
      </w:r>
      <w:r>
        <w:rPr>
          <w:rStyle w:val="None A"/>
          <w:rFonts w:ascii="Arial" w:hAnsi="Arial"/>
          <w:i w:val="1"/>
          <w:iCs w:val="1"/>
          <w:outline w:val="0"/>
          <w:color w:val="000000"/>
          <w:spacing w:val="0"/>
          <w:kern w:val="0"/>
          <w:sz w:val="18"/>
          <w:szCs w:val="18"/>
          <w:u w:val="none" w:color="000000"/>
          <w:rtl w:val="0"/>
          <w:lang w:val="en-US"/>
        </w:rPr>
        <w:t>European Journal of Clinical Microbiology and Infectious Diseases</w:t>
      </w:r>
      <w:r>
        <w:rPr>
          <w:rStyle w:val="None A"/>
          <w:rFonts w:ascii="Arial" w:hAnsi="Arial"/>
          <w:outline w:val="0"/>
          <w:color w:val="000000"/>
          <w:spacing w:val="0"/>
          <w:kern w:val="0"/>
          <w:sz w:val="18"/>
          <w:szCs w:val="18"/>
          <w:u w:val="none" w:color="000000"/>
          <w:rtl w:val="0"/>
          <w:lang w:val="en-US"/>
        </w:rPr>
        <w:t xml:space="preserve">. </w:t>
      </w:r>
      <w:r>
        <w:rPr>
          <w:rStyle w:val="Hyperlink.3"/>
        </w:rPr>
        <w:fldChar w:fldCharType="begin" w:fldLock="0"/>
      </w:r>
      <w:r>
        <w:rPr>
          <w:rStyle w:val="Hyperlink.3"/>
        </w:rPr>
        <w:instrText xml:space="preserve"> HYPERLINK "http://doi.org/10.1007/s10096-015-2479-6"</w:instrText>
      </w:r>
      <w:r>
        <w:rPr>
          <w:rStyle w:val="Hyperlink.3"/>
        </w:rPr>
        <w:fldChar w:fldCharType="separate" w:fldLock="0"/>
      </w:r>
      <w:r>
        <w:rPr>
          <w:rStyle w:val="Hyperlink.3"/>
          <w:rtl w:val="0"/>
          <w:lang w:val="en-US"/>
        </w:rPr>
        <w:t>http://doi.org/10.1007/s10096-015-2479-6</w:t>
      </w:r>
      <w:r>
        <w:rPr/>
        <w:fldChar w:fldCharType="end" w:fldLock="0"/>
      </w:r>
      <w:r>
        <w:rPr>
          <w:rStyle w:val="Hyperlink.3"/>
        </w:rPr>
      </w:r>
    </w:p>
    <w:sectPr>
      <w:headerReference w:type="default" r:id="rId4"/>
      <w:footerReference w:type="default" r:id="rId5"/>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olor w:val="000080"/>
      <w:sz w:val="22"/>
      <w:szCs w:val="22"/>
      <w:u w:val="single" w:color="000080"/>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Hyperlink.2">
    <w:name w:val="Hyperlink.2"/>
    <w:basedOn w:val="None A"/>
    <w:next w:val="Hyperlink.2"/>
    <w:rPr>
      <w:rFonts w:ascii="Arial" w:cs="Arial" w:hAnsi="Arial" w:eastAsia="Arial"/>
      <w:color w:val="000080"/>
      <w:sz w:val="18"/>
      <w:szCs w:val="18"/>
      <w:u w:val="single" w:color="000080"/>
    </w:rPr>
  </w:style>
  <w:style w:type="character" w:styleId="Hyperlink.3">
    <w:name w:val="Hyperlink.3"/>
    <w:basedOn w:val="None A"/>
    <w:next w:val="Hyperlink.3"/>
    <w:rPr>
      <w:rFonts w:ascii="Arial" w:cs="Arial" w:hAnsi="Arial" w:eastAsia="Arial"/>
      <w:outline w:val="0"/>
      <w:color w:val="000000"/>
      <w:spacing w:val="0"/>
      <w:kern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