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val="clear" w:fill="FFFFFF"/>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val="clear" w:fill="FFFFFF"/>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val="clear" w:fill="FFFFFF"/>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fill="FFFFFF"/>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S1).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Genome-scale Bipartite metabolic models underscore known bacterial metabolism.</w:t>
      </w:r>
    </w:p>
    <w:p>
      <w:pPr>
        <w:pStyle w:val="Default"/>
        <w:shd w:val="clear" w:fill="FFFFFF"/>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Both trehalose and the host derived amino sugar N-acetyl-D-glucosamine were found to be consistently important, indicating that they may be integral components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and salicin.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val="clear" w:fill="FFFFFF"/>
        <w:spacing w:lineRule="auto" w:line="480"/>
        <w:ind w:left="0" w:right="0" w:firstLine="709"/>
        <w:jc w:val="both"/>
        <w:rPr/>
      </w:pPr>
      <w:r>
        <w:rPr>
          <w:rStyle w:val="NoneA"/>
          <w:rFonts w:ascii="Arial" w:hAnsi="Arial"/>
          <w:sz w:val="22"/>
          <w:szCs w:val="22"/>
          <w:lang w:val="en-US"/>
        </w:rPr>
        <w:t xml:space="preserve">As previously stated, </w:t>
      </w:r>
      <w:bookmarkStart w:id="1" w:name="__DdeLink__1342_1088560619"/>
      <w:r>
        <w:rPr>
          <w:rStyle w:val="NoneA"/>
          <w:rFonts w:ascii="Arial" w:hAnsi="Arial"/>
          <w:sz w:val="22"/>
          <w:szCs w:val="22"/>
          <w:lang w:val="en-US"/>
        </w:rPr>
        <w:t>N-acetyl-D-glucosamine</w:t>
      </w:r>
      <w:bookmarkEnd w:id="1"/>
      <w:r>
        <w:rPr>
          <w:rStyle w:val="NoneA"/>
          <w:rFonts w:ascii="Arial" w:hAnsi="Arial"/>
          <w:sz w:val="22"/>
          <w:szCs w:val="22"/>
          <w:lang w:val="en-US"/>
        </w:rPr>
        <w:t xml:space="preserv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0.559)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Trehalose was also shown to be significant in each environment tested, and supported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and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0.439). Because it was not possible to test aminofructose directly, we instead chose to test fructose, the immediate breakdown byproduct of aminofructose catabolism. Maximum growth rate analysis for each carbohydrate also indicates potential hierarchy of growth nutrient preference (Table S4). The progression is as follows: N-acetyl-D-glucosamine (</w:t>
      </w:r>
      <w:bookmarkStart w:id="2" w:name="cwos"/>
      <w:bookmarkEnd w:id="2"/>
      <w:r>
        <w:rPr>
          <w:rStyle w:val="NoneA"/>
          <w:rFonts w:ascii="Arial" w:hAnsi="Arial"/>
          <w:i/>
          <w:iCs/>
          <w:sz w:val="22"/>
          <w:szCs w:val="22"/>
          <w:lang w:val="en-US"/>
        </w:rPr>
        <w:t xml:space="preserve">m </w:t>
      </w:r>
      <w:r>
        <w:rPr>
          <w:rStyle w:val="NoneA"/>
          <w:rFonts w:ascii="Arial" w:hAnsi="Arial"/>
          <w:sz w:val="22"/>
          <w:szCs w:val="22"/>
          <w:lang w:val="en-US"/>
        </w:rPr>
        <w:t>= 11.765), D-fructose (</w:t>
      </w:r>
      <w:r>
        <w:rPr>
          <w:rStyle w:val="NoneA"/>
          <w:rFonts w:ascii="Arial" w:hAnsi="Arial"/>
          <w:i/>
          <w:iCs/>
          <w:sz w:val="22"/>
          <w:szCs w:val="22"/>
          <w:lang w:val="en-US"/>
        </w:rPr>
        <w:t xml:space="preserve">m </w:t>
      </w:r>
      <w:r>
        <w:rPr>
          <w:rStyle w:val="NoneA"/>
          <w:rFonts w:ascii="Arial" w:hAnsi="Arial"/>
          <w:sz w:val="22"/>
          <w:szCs w:val="22"/>
          <w:lang w:val="en-US"/>
        </w:rPr>
        <w:t>= 11.236), salicin (</w:t>
      </w:r>
      <w:r>
        <w:rPr>
          <w:rStyle w:val="NoneA"/>
          <w:rFonts w:ascii="Arial" w:hAnsi="Arial"/>
          <w:i/>
          <w:iCs/>
          <w:sz w:val="22"/>
          <w:szCs w:val="22"/>
          <w:lang w:val="en-US"/>
        </w:rPr>
        <w:t xml:space="preserve">m </w:t>
      </w:r>
      <w:r>
        <w:rPr>
          <w:rStyle w:val="NoneA"/>
          <w:rFonts w:ascii="Arial" w:hAnsi="Arial"/>
          <w:sz w:val="22"/>
          <w:szCs w:val="22"/>
          <w:lang w:val="en-US"/>
        </w:rPr>
        <w:t>= 0.922), trehalose (</w:t>
      </w:r>
      <w:r>
        <w:rPr>
          <w:rStyle w:val="NoneA"/>
          <w:rFonts w:ascii="Arial" w:hAnsi="Arial"/>
          <w:i/>
          <w:iCs/>
          <w:sz w:val="22"/>
          <w:szCs w:val="22"/>
          <w:lang w:val="en-US"/>
        </w:rPr>
        <w:t xml:space="preserve">m </w:t>
      </w:r>
      <w:r>
        <w:rPr>
          <w:rStyle w:val="NoneA"/>
          <w:rFonts w:ascii="Arial" w:hAnsi="Arial"/>
          <w:sz w:val="22"/>
          <w:szCs w:val="22"/>
          <w:lang w:val="en-US"/>
        </w:rPr>
        <w:t>= 0.718), mannitol (</w:t>
      </w:r>
      <w:r>
        <w:rPr>
          <w:rStyle w:val="NoneA"/>
          <w:rFonts w:ascii="Arial" w:hAnsi="Arial"/>
          <w:i/>
          <w:iCs/>
          <w:sz w:val="22"/>
          <w:szCs w:val="22"/>
          <w:lang w:val="en-US"/>
        </w:rPr>
        <w:t xml:space="preserve">m </w:t>
      </w:r>
      <w:r>
        <w:rPr>
          <w:rStyle w:val="NoneA"/>
          <w:rFonts w:ascii="Arial" w:hAnsi="Arial"/>
          <w:sz w:val="22"/>
          <w:szCs w:val="22"/>
          <w:lang w:val="en-US"/>
        </w:rPr>
        <w:t xml:space="preserve">= 0.324), and then N-acetylneuriminate (0.197). This suggests that </w:t>
      </w:r>
      <w:r>
        <w:rPr>
          <w:rStyle w:val="NoneA"/>
          <w:rFonts w:ascii="Arial" w:hAnsi="Arial"/>
          <w:i/>
          <w:iCs/>
          <w:sz w:val="22"/>
          <w:szCs w:val="22"/>
          <w:lang w:val="en-US"/>
        </w:rPr>
        <w:t>C. difficile</w:t>
      </w:r>
      <w:r>
        <w:rPr>
          <w:rStyle w:val="NoneA"/>
          <w:rFonts w:ascii="Arial" w:hAnsi="Arial"/>
          <w:sz w:val="22"/>
          <w:szCs w:val="22"/>
          <w:lang w:val="en-US"/>
        </w:rPr>
        <w:t xml:space="preserve"> is most well-suited to metabolize the nutrient source that is most likely to be present in all susceptible mammalian GI tracts.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pPr>
      <w:r>
        <w:rPr>
          <w:rStyle w:val="NoneA"/>
          <w:rFonts w:ascii="Arial" w:hAnsi="Arial"/>
          <w:sz w:val="22"/>
          <w:szCs w:val="22"/>
          <w:lang w:val="en-US"/>
        </w:rPr>
        <w:t>Historically, genome-scale modeling...has only been genome---</w:t>
      </w:r>
    </w:p>
    <w:p>
      <w:pPr>
        <w:pStyle w:val="Default"/>
        <w:shd w:val="clear" w:fill="FFFFFF"/>
        <w:spacing w:lineRule="auto" w:line="480"/>
        <w:ind w:left="0" w:right="0" w:firstLine="709"/>
        <w:jc w:val="both"/>
        <w:rPr/>
      </w:pPr>
      <w:r>
        <w:rPr>
          <w:rStyle w:val="NoneA"/>
          <w:rFonts w:ascii="Arial" w:hAnsi="Arial"/>
          <w:sz w:val="22"/>
          <w:szCs w:val="22"/>
          <w:lang w:val="en-US"/>
        </w:rPr>
        <w:t xml:space="preserve">The metabolic modeling approach that demonstrates several key improvements over </w:t>
      </w:r>
      <w:r>
        <w:rPr>
          <w:rStyle w:val="NoneA"/>
          <w:rFonts w:eastAsia="Arial" w:cs="Arial" w:ascii="Arial" w:hAnsi="Arial"/>
          <w:sz w:val="22"/>
          <w:szCs w:val="22"/>
        </w:rPr>
        <w:t>a strictly genetic approach</w:t>
      </w:r>
    </w:p>
    <w:p>
      <w:pPr>
        <w:pStyle w:val="Default"/>
        <w:shd w:val="clear" w:fill="FFFFFF"/>
        <w:spacing w:lineRule="auto" w:line="480"/>
        <w:ind w:left="0" w:right="0" w:firstLine="709"/>
        <w:jc w:val="both"/>
        <w:rPr/>
      </w:pPr>
      <w:r>
        <w:rPr>
          <w:rStyle w:val="NoneA"/>
          <w:rFonts w:ascii="Arial" w:hAnsi="Arial"/>
          <w:sz w:val="22"/>
          <w:szCs w:val="22"/>
          <w:lang w:val="en-US"/>
        </w:rPr>
        <w:t xml:space="preserve">With this method we were able to moving passed </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Strengths/Weakness of modeling approach</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Transcriptomics is better than metagenomics, duh.</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shd w:val="clear" w:fill="FFFFFF"/>
        <w:spacing w:lineRule="auto" w:line="480"/>
        <w:ind w:left="0" w:right="0" w:firstLine="709"/>
        <w:jc w:val="both"/>
        <w:rPr/>
      </w:pPr>
      <w:r>
        <w:rPr>
          <w:rStyle w:val="NoneA"/>
          <w:rFonts w:ascii="Arial" w:hAnsi="Arial"/>
          <w:sz w:val="22"/>
          <w:szCs w:val="22"/>
        </w:rPr>
        <w:t>Ex. This method moved passed strict annotation, didn’t come up with sorbitol since only one gene system was contributing, unlike mannitol which was found to be important. This is in contrast to metabolomics data from Theriot et al. Where both both carbohydrates are enriched enriched following antibiotic treatment and one would assume C. difficile makes use of both. However, through the methods described here, it appears that C. difficile strongly prefers mannitol as a growth substrate when available.</w:t>
      </w:r>
    </w:p>
    <w:p>
      <w:pPr>
        <w:pStyle w:val="Default"/>
        <w:shd w:val="clear" w:fill="FFFFFF"/>
        <w:spacing w:lineRule="auto" w:line="480"/>
        <w:ind w:left="0" w:right="0" w:hanging="0"/>
        <w:jc w:val="both"/>
        <w:rPr>
          <w:rStyle w:val="NoneA"/>
          <w:rFonts w:ascii="Arial" w:hAnsi="Arial"/>
          <w:sz w:val="22"/>
          <w:szCs w:val="22"/>
        </w:rPr>
      </w:pPr>
      <w:r>
        <w:rPr>
          <w:rFonts w:ascii="Arial" w:hAnsi="Arial"/>
          <w:sz w:val="22"/>
          <w:szCs w:val="22"/>
        </w:rPr>
      </w:r>
    </w:p>
    <w:p>
      <w:pPr>
        <w:pStyle w:val="Default"/>
        <w:shd w:val="clear" w:fill="FFFFFF"/>
        <w:spacing w:lineRule="auto" w:line="480"/>
        <w:ind w:left="0" w:right="0" w:hanging="0"/>
        <w:jc w:val="both"/>
        <w:rPr/>
      </w:pPr>
      <w:r>
        <w:rPr>
          <w:rStyle w:val="NoneA"/>
          <w:rFonts w:ascii="Arial" w:hAnsi="Arial"/>
          <w:sz w:val="22"/>
          <w:szCs w:val="22"/>
        </w:rPr>
        <w:tab/>
        <w:t>Does not account for biomass production rates...</w:t>
      </w:r>
    </w:p>
    <w:p>
      <w:pPr>
        <w:pStyle w:val="Normal"/>
        <w:shd w:val="clear" w:fill="FFFFFF"/>
        <w:spacing w:lineRule="auto" w:line="480"/>
        <w:jc w:val="both"/>
        <w:rPr/>
      </w:pPr>
      <w:r>
        <w:rPr>
          <w:rStyle w:val="NoneA"/>
          <w:rFonts w:eastAsia="Arial" w:cs="Arial" w:ascii="Arial" w:hAnsi="Arial"/>
          <w:sz w:val="22"/>
          <w:szCs w:val="22"/>
        </w:rPr>
        <w:tab/>
        <w:t xml:space="preserve">One potential limitation of the metabolite importance calculation is the inherent dependency on gene and enzyme database annotation.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method also operates under the oversimplification that all detectable transcript is then translated to complete effector proteins.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model is also static and doesn’t account for </w:t>
      </w:r>
    </w:p>
    <w:p>
      <w:pPr>
        <w:pStyle w:val="Default"/>
        <w:shd w:val="clear" w:fill="FFFFFF"/>
        <w:spacing w:lineRule="auto" w:line="480"/>
        <w:ind w:left="0" w:right="0" w:firstLine="709"/>
        <w:jc w:val="both"/>
        <w:rPr/>
      </w:pPr>
      <w:r>
        <w:rPr>
          <w:rStyle w:val="NoneA"/>
          <w:rFonts w:ascii="Arial" w:hAnsi="Arial"/>
          <w:sz w:val="22"/>
          <w:szCs w:val="22"/>
          <w:lang w:val="en-US"/>
        </w:rPr>
        <w:t>Another potential shortcoming is that the database-driven workflow presented here assumes that the annotated biochemical reactions are mono-directional. Although this is not a complete reflection of an organism’s physiology, this approach was chosen to increase signal for input metabolites to the network. We believe this philosophy to be justified because one direction in the vast majority of enzyme-mediated reactions is more energetically favorable than the inverse (Uzman, 2000). Concordantly, this minimizes the likelihood of labeling reactions as producing a given metabolite when in reality are consuming it, artificially decreasing a metabolite’s importance score. Further, limitation by annotation may also be evident in the appearance of apparent metabolic end products score as highly important input metabolites (ex. CO</w:t>
      </w:r>
      <w:r>
        <w:rPr>
          <w:rStyle w:val="NoneA"/>
          <w:rFonts w:ascii="Arial" w:hAnsi="Arial"/>
          <w:sz w:val="22"/>
          <w:szCs w:val="22"/>
          <w:vertAlign w:val="subscript"/>
          <w:lang w:val="en-US"/>
        </w:rPr>
        <w:t>2</w:t>
      </w:r>
      <w:r>
        <w:rPr>
          <w:rStyle w:val="NoneA"/>
          <w:rFonts w:ascii="Arial" w:hAnsi="Arial"/>
          <w:sz w:val="22"/>
          <w:szCs w:val="22"/>
          <w:lang w:val="en-US"/>
        </w:rPr>
        <w:t xml:space="preserve">). While this may be a shortcoming inherent in database-driven research, it could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autotrophic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val="clear" w:fill="FFFFFF"/>
        <w:spacing w:lineRule="auto" w:line="480"/>
        <w:ind w:left="0" w:right="0" w:hanging="0"/>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pPr>
      <w:r>
        <w:rPr>
          <w:rStyle w:val="NoneA"/>
          <w:rFonts w:ascii="Arial" w:hAnsi="Arial"/>
          <w:sz w:val="22"/>
          <w:szCs w:val="22"/>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6a&amp;b),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general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w:t>
      </w:r>
      <w:r>
        <w:rPr>
          <w:lang w:val="en-US"/>
        </w:rPr>
        <w:t xml:space="preserve"> </w:t>
      </w:r>
      <w:r>
        <w:rPr>
          <w:rStyle w:val="NoneA"/>
          <w:rFonts w:ascii="Arial" w:hAnsi="Arial"/>
          <w:sz w:val="22"/>
          <w:szCs w:val="22"/>
          <w:lang w:val="en-US"/>
        </w:rPr>
        <w:t>Although the exact source is unknown salicin availability in the gut could be derived from the mice’s plant-based diet, possibly following release during degradation of cell wall molecules by other gut bacterial species (Pierpoint, 1994).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most likely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N-acetylneuraminate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pPr>
      <w:r>
        <w:rPr>
          <w:rStyle w:val="NoneA"/>
          <w:rFonts w:ascii="Arial" w:hAnsi="Arial"/>
          <w:sz w:val="22"/>
          <w:szCs w:val="22"/>
          <w:lang w:val="en-US"/>
        </w:rPr>
        <w:t>Novel insights from metabolic model - really significant metabolites in supplement</w:t>
      </w:r>
      <w:r>
        <w:rPr>
          <w:rStyle w:val="NoneA"/>
          <w:rFonts w:eastAsia="Arial" w:cs="Arial" w:ascii="Arial" w:hAnsi="Arial"/>
          <w:sz w:val="22"/>
          <w:szCs w:val="22"/>
        </w:rPr>
        <w:t xml:space="preserve"> Table S3</w:t>
      </w:r>
    </w:p>
    <w:p>
      <w:pPr>
        <w:pStyle w:val="Default"/>
        <w:shd w:val="clear" w:fill="FFFFFF"/>
        <w:spacing w:lineRule="auto" w:line="480"/>
        <w:ind w:left="0" w:right="0" w:firstLine="709"/>
        <w:jc w:val="both"/>
        <w:rPr/>
      </w:pPr>
      <w:r>
        <w:rPr>
          <w:rStyle w:val="NoneA"/>
          <w:rFonts w:eastAsia="Arial" w:cs="Arial" w:ascii="Arial" w:hAnsi="Arial"/>
          <w:sz w:val="22"/>
          <w:szCs w:val="22"/>
        </w:rPr>
        <w:t>emergent properties, inferring reverse ecology</w:t>
      </w:r>
    </w:p>
    <w:p>
      <w:pPr>
        <w:pStyle w:val="Default"/>
        <w:shd w:val="clear" w:fill="FFFFFF"/>
        <w:spacing w:lineRule="auto" w:line="480"/>
        <w:ind w:left="0" w:right="0" w:firstLine="709"/>
        <w:jc w:val="both"/>
        <w:rPr/>
      </w:pPr>
      <w:r>
        <w:rPr>
          <w:rStyle w:val="Hyperlink2"/>
          <w:lang w:val="en-US"/>
        </w:rPr>
        <w:t>Demonstrates value for hypothesis generation.</w:t>
      </w:r>
    </w:p>
    <w:p>
      <w:pPr>
        <w:pStyle w:val="Default"/>
        <w:numPr>
          <w:ilvl w:val="0"/>
          <w:numId w:val="1"/>
        </w:numPr>
        <w:shd w:val="clear" w:fill="FFFFFF"/>
        <w:bidi w:val="0"/>
        <w:spacing w:lineRule="auto" w:line="480"/>
        <w:ind w:left="1789" w:right="0" w:hanging="360"/>
        <w:jc w:val="both"/>
        <w:rPr>
          <w:rStyle w:val="NoneA"/>
          <w:rFonts w:ascii="Arial" w:hAnsi="Arial"/>
          <w:sz w:val="22"/>
          <w:szCs w:val="22"/>
          <w:lang w:val="en-US"/>
        </w:rPr>
      </w:pPr>
      <w:r>
        <w:rPr>
          <w:rFonts w:ascii="Arial" w:hAnsi="Arial"/>
          <w:sz w:val="22"/>
          <w:szCs w:val="22"/>
          <w:lang w:val="en-US"/>
        </w:rPr>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Example 3</w:t>
      </w:r>
    </w:p>
    <w:p>
      <w:pPr>
        <w:pStyle w:val="Default"/>
        <w:numPr>
          <w:ilvl w:val="0"/>
          <w:numId w:val="1"/>
        </w:numPr>
        <w:shd w:val="clear" w:fill="FFFFFF"/>
        <w:bidi w:val="0"/>
        <w:spacing w:lineRule="auto" w:line="480"/>
        <w:ind w:left="1789" w:right="0" w:hanging="360"/>
        <w:jc w:val="both"/>
        <w:rPr/>
      </w:pPr>
      <w:r>
        <w:rPr>
          <w:rStyle w:val="NoneA"/>
          <w:rFonts w:eastAsia="Arial" w:cs="Arial" w:ascii="Arial" w:hAnsi="Arial"/>
          <w:sz w:val="22"/>
          <w:szCs w:val="22"/>
          <w:lang w:val="en-US"/>
        </w:rPr>
        <w:t>use supplement for examples</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Grand conclusion</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Style w:val="NoneA"/>
          <w:rFonts w:ascii="Arial" w:hAnsi="Arial"/>
          <w:sz w:val="22"/>
          <w:szCs w:val="22"/>
          <w:lang w:val="en-US"/>
        </w:rPr>
        <w:t>C. diff is able to colonize environment where these carbohydrates are available because the community has shifted, excluding the population that would normally consume the carbohydrate or eliminated competition for other resources for the remaining populations and C diff picks up the scraps</w:t>
      </w:r>
    </w:p>
    <w:p>
      <w:pPr>
        <w:pStyle w:val="Default"/>
        <w:shd w:val="clear" w:fill="FFFFFF"/>
        <w:spacing w:lineRule="auto" w:line="480"/>
        <w:ind w:left="0" w:right="0" w:firstLine="709"/>
        <w:jc w:val="both"/>
        <w:rPr/>
      </w:pPr>
      <w:r>
        <w:rPr/>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plasticity of </w:t>
      </w:r>
      <w:r>
        <w:rPr>
          <w:rStyle w:val="NoneA"/>
          <w:rFonts w:ascii="Arial" w:hAnsi="Arial"/>
          <w:i/>
          <w:iCs/>
          <w:sz w:val="22"/>
          <w:szCs w:val="22"/>
          <w:lang w:val="en-US"/>
        </w:rPr>
        <w:t>C. difficile</w:t>
      </w:r>
      <w:r>
        <w:rPr>
          <w:rStyle w:val="NoneA"/>
          <w:rFonts w:ascii="Arial" w:hAnsi="Arial"/>
          <w:sz w:val="22"/>
          <w:szCs w:val="22"/>
          <w:lang w:val="en-US"/>
        </w:rPr>
        <w:t>’s metabolism could be advantageous because it allows to fill an array of nutrient niches and outcompete other organisms in the environment that remain following antibiotics.</w:t>
      </w:r>
      <w:r>
        <w:rPr>
          <w:lang w:val="en-US"/>
        </w:rPr>
        <w:t xml:space="preserve"> </w:t>
      </w:r>
      <w:r>
        <w:rPr>
          <w:rStyle w:val="NoneA"/>
          <w:rFonts w:ascii="Arial" w:hAnsi="Arial"/>
          <w:sz w:val="22"/>
          <w:szCs w:val="22"/>
          <w:lang w:val="en-US"/>
        </w:rPr>
        <w:t>a variety of factors including variations in concentration of certain nutrients or competition with other microorganisms for growth resources.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sz w:val="22"/>
          <w:szCs w:val="22"/>
        </w:rPr>
      </w:pPr>
      <w:r>
        <w:rPr>
          <w:rFonts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sz w:val="22"/>
          <w:szCs w:val="22"/>
          <w:lang w:val="en-US"/>
        </w:rPr>
        <w:t xml:space="preserve">Based on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at the listed level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3"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3"/>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4" w:name="MathJaxElement43Frame1"/>
      <w:r>
        <w:rPr>
          <w:rStyle w:val="NoneA"/>
          <w:rFonts w:ascii="Arial" w:hAnsi="Arial"/>
          <w:sz w:val="22"/>
          <w:szCs w:val="22"/>
          <w:vertAlign w:val="superscript"/>
          <w:lang w:val="en-US"/>
        </w:rPr>
        <w:t>2</w:t>
      </w:r>
      <w:r>
        <w:rPr>
          <w:rStyle w:val="Hyperlink2"/>
          <w:lang w:val="en-US"/>
        </w:rPr>
        <w:t>√(</w:t>
      </w:r>
      <w:bookmarkEnd w:id="4"/>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5"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bookmarkStart w:id="6" w:name="MathJaxElement43Frame3"/>
      <w:r>
        <w:rPr>
          <w:rStyle w:val="NoneA"/>
          <w:rFonts w:ascii="Arial" w:hAnsi="Arial"/>
          <w:b/>
          <w:bCs/>
          <w:sz w:val="22"/>
          <w:szCs w:val="22"/>
          <w:lang w:val="en-US"/>
        </w:rPr>
        <w:t>Transcriptome Bootstrapping and Probability Distribution Comparison.</w:t>
      </w:r>
      <w:bookmarkEnd w:id="6"/>
      <w:r>
        <w:rPr>
          <w:rStyle w:val="NoneA"/>
          <w:rFonts w:ascii="Arial" w:hAnsi="Arial"/>
          <w:b/>
          <w:bCs/>
          <w:sz w:val="22"/>
          <w:szCs w:val="22"/>
          <w:lang w:val="en-US"/>
        </w:rPr>
        <w:t xml:space="preserve"> </w:t>
      </w:r>
      <w:bookmarkEnd w:id="5"/>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7" w:name="MathJaxElement43Frame5"/>
      <w:bookmarkStart w:id="8" w:name="MathJaxElement43Frame5"/>
      <w:r>
        <w:rPr/>
      </w:r>
    </w:p>
    <w:p>
      <w:pPr>
        <w:pStyle w:val="Default"/>
        <w:shd w:val="clear"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A"/>
          <w:rFonts w:ascii="Arial" w:hAnsi="Arial"/>
          <w:b/>
          <w:bCs/>
          <w:sz w:val="22"/>
          <w:szCs w:val="22"/>
          <w:lang w:val="en-US"/>
        </w:rPr>
        <w:t>Figure Legends</w:t>
      </w:r>
    </w:p>
    <w:p>
      <w:pPr>
        <w:pStyle w:val="Default"/>
        <w:shd w:val="clear" w:fill="FFFFFF"/>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w:t>
      </w:r>
      <w:r>
        <w:rPr>
          <w:rStyle w:val="NoneA"/>
          <w:rFonts w:ascii="Arial" w:hAnsi="Arial"/>
          <w:sz w:val="22"/>
          <w:szCs w:val="22"/>
          <w:lang w:val="en-US"/>
        </w:rPr>
        <w:t>(~24x coverage)</w:t>
      </w:r>
      <w:r>
        <w:rPr>
          <w:rStyle w:val="Hyperlink2"/>
          <w:lang w:val="en-US"/>
        </w:rPr>
        <w:t xml:space="preserve">.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S1. Like-colored asterisks refer to groups that display significantly different distributions by 2-way MANOVA (</w:t>
      </w:r>
      <w:r>
        <w:rPr>
          <w:rStyle w:val="NoneA"/>
          <w:rFonts w:ascii="Arial" w:hAnsi="Arial"/>
          <w:i/>
          <w:iCs/>
          <w:sz w:val="22"/>
          <w:szCs w:val="22"/>
          <w:lang w:val="en-US"/>
        </w:rPr>
        <w:t>P</w:t>
      </w:r>
      <w:r>
        <w:rPr>
          <w:rStyle w:val="Hyperlink2"/>
          <w:lang w:val="en-US"/>
        </w:rPr>
        <w:t xml:space="preserve"> &lt; 0.05).</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(a) </w:t>
      </w:r>
      <w:r>
        <w:rPr>
          <w:rStyle w:val="NoneA"/>
          <w:rFonts w:ascii="Arial" w:hAnsi="Arial"/>
          <w:b w:val="false"/>
          <w:bCs w:val="false"/>
          <w:sz w:val="22"/>
          <w:szCs w:val="22"/>
          <w:lang w:val="en-US"/>
        </w:rPr>
        <w:t xml:space="preserve">Largest contiguous component from the bipartite genome-scale metabolic model of </w:t>
      </w:r>
      <w:r>
        <w:rPr>
          <w:rStyle w:val="NoneA"/>
          <w:rFonts w:ascii="Arial" w:hAnsi="Arial"/>
          <w:b w:val="false"/>
          <w:bCs w:val="false"/>
          <w:i/>
          <w:iCs/>
          <w:sz w:val="22"/>
          <w:szCs w:val="22"/>
          <w:lang w:val="it-IT"/>
        </w:rPr>
        <w:t>C. difficile</w:t>
      </w:r>
      <w:r>
        <w:rPr>
          <w:rStyle w:val="NoneA"/>
          <w:rFonts w:ascii="Arial" w:hAnsi="Arial"/>
          <w:b w:val="false"/>
          <w:bCs w:val="false"/>
          <w:sz w:val="22"/>
          <w:szCs w:val="22"/>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A"/>
          <w:rFonts w:ascii="Arial" w:hAnsi="Arial"/>
          <w:b w:val="false"/>
          <w:bCs w:val="false"/>
          <w:i/>
          <w:iCs/>
          <w:sz w:val="22"/>
          <w:szCs w:val="22"/>
          <w:lang w:val="en-US"/>
        </w:rPr>
        <w:t>C. difficile</w:t>
      </w:r>
      <w:r>
        <w:rPr>
          <w:rStyle w:val="NoneA"/>
          <w:rFonts w:ascii="Arial" w:hAnsi="Arial"/>
          <w:b w:val="false"/>
          <w:bCs w:val="false"/>
          <w:sz w:val="22"/>
          <w:szCs w:val="22"/>
          <w:lang w:val="en-US"/>
        </w:rPr>
        <w:t xml:space="preserve"> str. 630 during infection of cefoperazone-treated mice. Below the representative network is the metabolite importance algorithm separated into 3 parts; (i) </w:t>
      </w:r>
      <w:bookmarkStart w:id="9" w:name="__DdeLink__1257_348787537"/>
      <w:r>
        <w:rPr>
          <w:rStyle w:val="NoneA"/>
          <w:rFonts w:ascii="Arial" w:hAnsi="Arial"/>
          <w:b w:val="false"/>
          <w:bCs w:val="false"/>
          <w:sz w:val="22"/>
          <w:szCs w:val="22"/>
          <w:lang w:val="en-US"/>
        </w:rPr>
        <w:t xml:space="preserve">relative transcription of </w:t>
      </w:r>
      <w:r>
        <w:rPr>
          <w:rStyle w:val="NoneA"/>
          <w:rFonts w:ascii="Arial" w:hAnsi="Arial"/>
          <w:b w:val="false"/>
          <w:bCs w:val="false"/>
          <w:sz w:val="22"/>
          <w:szCs w:val="22"/>
          <w:lang w:val="en-US"/>
        </w:rPr>
        <w:t>reactions consuming a metabolite</w:t>
      </w:r>
      <w:bookmarkEnd w:id="9"/>
      <w:r>
        <w:rPr>
          <w:rStyle w:val="NoneA"/>
          <w:rFonts w:ascii="Arial" w:hAnsi="Arial"/>
          <w:b w:val="false"/>
          <w:bCs w:val="false"/>
          <w:sz w:val="22"/>
          <w:szCs w:val="22"/>
          <w:lang w:val="en-US"/>
        </w:rPr>
        <w:t xml:space="preserve">, </w:t>
      </w:r>
      <w:r>
        <w:rPr>
          <w:rStyle w:val="NoneA"/>
          <w:rFonts w:ascii="Arial" w:hAnsi="Arial"/>
          <w:b w:val="false"/>
          <w:bCs w:val="false"/>
          <w:sz w:val="22"/>
          <w:szCs w:val="22"/>
        </w:rPr>
        <w:t>(ii)</w:t>
      </w:r>
      <w:r>
        <w:rPr>
          <w:rStyle w:val="NoneA"/>
          <w:rFonts w:ascii="Arial" w:hAnsi="Arial"/>
          <w:b w:val="false"/>
          <w:bCs w:val="false"/>
          <w:sz w:val="22"/>
          <w:szCs w:val="22"/>
          <w:lang w:val="en-US"/>
        </w:rPr>
        <w:t xml:space="preserve"> relative transcription of </w:t>
      </w:r>
      <w:r>
        <w:rPr>
          <w:rStyle w:val="NoneA"/>
          <w:rFonts w:ascii="Arial" w:hAnsi="Arial"/>
          <w:b w:val="false"/>
          <w:bCs w:val="false"/>
          <w:sz w:val="22"/>
          <w:szCs w:val="22"/>
          <w:lang w:val="en-US"/>
        </w:rPr>
        <w:t xml:space="preserve">reactions consuming a metabolite, and </w:t>
      </w:r>
      <w:r>
        <w:rPr>
          <w:rStyle w:val="NoneA"/>
          <w:rFonts w:ascii="Arial" w:hAnsi="Arial"/>
          <w:b w:val="false"/>
          <w:bCs w:val="false"/>
          <w:sz w:val="22"/>
          <w:szCs w:val="22"/>
        </w:rPr>
        <w:t>(iii)</w:t>
      </w:r>
      <w:r>
        <w:rPr>
          <w:rStyle w:val="NoneA"/>
          <w:rFonts w:ascii="Arial" w:hAnsi="Arial"/>
          <w:b w:val="false"/>
          <w:bCs w:val="false"/>
          <w:sz w:val="22"/>
          <w:szCs w:val="22"/>
          <w:lang w:val="en-US"/>
        </w:rPr>
        <w:t xml:space="preserve"> </w:t>
      </w:r>
      <w:r>
        <w:rPr>
          <w:rStyle w:val="NoneA"/>
          <w:rFonts w:ascii="Arial" w:hAnsi="Arial"/>
          <w:b w:val="false"/>
          <w:bCs w:val="false"/>
          <w:sz w:val="22"/>
          <w:szCs w:val="22"/>
          <w:lang w:val="en-US"/>
        </w:rPr>
        <w:t>difference of consumption and creation of the given metabolite.</w:t>
      </w:r>
      <w:r>
        <w:rPr>
          <w:rStyle w:val="NoneA"/>
          <w:rFonts w:ascii="Arial" w:hAnsi="Arial"/>
          <w:b w:val="false"/>
          <w:bCs w:val="false"/>
          <w:sz w:val="22"/>
          <w:szCs w:val="22"/>
          <w:lang w:val="en-US"/>
        </w:rPr>
        <w:t xml:space="preserv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i/>
          <w:i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transformation is then performed to make comparisons between metabolites more simple</w:t>
      </w:r>
      <w:bookmarkEnd w:id="8"/>
      <w:r>
        <w:rPr>
          <w:rStyle w:val="NoneA"/>
          <w:rFonts w:ascii="Arial" w:hAnsi="Arial"/>
          <w:sz w:val="22"/>
          <w:szCs w:val="22"/>
          <w:lang w:val="en-US"/>
        </w:rPr>
        <w:t>. The complete importance algorithm can be found in Materials &amp; Methods.</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6 | Results from network-based metabolite importance calculation and </w:t>
      </w:r>
      <w:r>
        <w:rPr>
          <w:rStyle w:val="NoneA"/>
          <w:rFonts w:ascii="Arial" w:hAnsi="Arial"/>
          <w:b/>
          <w:bCs/>
          <w:i/>
          <w:iCs/>
          <w:sz w:val="22"/>
          <w:szCs w:val="22"/>
          <w:lang w:val="en-US"/>
        </w:rPr>
        <w:t>in vitro</w:t>
      </w:r>
      <w:r>
        <w:rPr>
          <w:rStyle w:val="NoneA"/>
          <w:rFonts w:ascii="Arial" w:hAnsi="Arial"/>
          <w:b/>
          <w:bCs/>
          <w:sz w:val="22"/>
          <w:szCs w:val="22"/>
          <w:lang w:val="en-US"/>
        </w:rPr>
        <w:t xml:space="preserve"> growth with important carbohydrates.</w:t>
      </w:r>
      <w:r>
        <w:rPr>
          <w:rStyle w:val="NoneA"/>
          <w:rFonts w:ascii="Arial" w:hAnsi="Arial"/>
          <w:b w:val="false"/>
          <w:bCs w:val="false"/>
          <w:sz w:val="22"/>
          <w:szCs w:val="22"/>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A"/>
          <w:rFonts w:ascii="Arial" w:hAnsi="Arial"/>
          <w:b/>
          <w:bCs/>
          <w:sz w:val="22"/>
          <w:szCs w:val="22"/>
          <w:lang w:val="en-US"/>
        </w:rPr>
        <w:t xml:space="preserve"> </w:t>
      </w:r>
      <w:bookmarkStart w:id="10" w:name="MathJaxElement43Frame55"/>
      <w:r>
        <w:rPr>
          <w:rStyle w:val="NoneA"/>
          <w:rFonts w:ascii="Arial" w:hAnsi="Arial"/>
          <w:b/>
          <w:bCs/>
          <w:sz w:val="22"/>
          <w:szCs w:val="22"/>
          <w:lang w:val="en-US"/>
        </w:rPr>
        <w:t>(a)</w:t>
      </w:r>
      <w:r>
        <w:rPr>
          <w:rStyle w:val="NoneA"/>
          <w:rFonts w:ascii="Arial" w:hAnsi="Arial"/>
          <w:sz w:val="22"/>
          <w:szCs w:val="22"/>
          <w:lang w:val="en-US"/>
        </w:rPr>
        <w:t xml:space="preserve"> Median</w:t>
      </w:r>
      <w:bookmarkStart w:id="11" w:name="MathJaxElement43Frame54"/>
      <w:bookmarkEnd w:id="10"/>
      <w:r>
        <w:rPr>
          <w:rStyle w:val="NoneA"/>
          <w:rFonts w:ascii="Arial" w:hAnsi="Arial"/>
          <w:sz w:val="22"/>
          <w:szCs w:val="22"/>
          <w:lang w:val="en-US"/>
        </w:rPr>
        <w:t xml:space="preserve"> </w:t>
      </w:r>
      <w:bookmarkEnd w:id="11"/>
      <w:r>
        <w:rPr>
          <w:rStyle w:val="NoneA"/>
          <w:rFonts w:ascii="Arial" w:hAnsi="Arial"/>
          <w:sz w:val="22"/>
          <w:szCs w:val="22"/>
          <w:lang w:val="en-US"/>
        </w:rPr>
        <w:t>s</w:t>
      </w:r>
      <w:bookmarkStart w:id="12" w:name="MathJaxElement43Frame56"/>
      <w:r>
        <w:rPr>
          <w:rStyle w:val="NoneA"/>
          <w:rFonts w:ascii="Arial" w:hAnsi="Arial"/>
          <w:sz w:val="22"/>
          <w:szCs w:val="22"/>
          <w:lang w:val="en-US"/>
        </w:rPr>
        <w:t xml:space="preserve">hared </w:t>
      </w:r>
      <w:bookmarkEnd w:id="12"/>
      <w:r>
        <w:rPr>
          <w:rStyle w:val="NoneA"/>
          <w:rFonts w:ascii="Arial" w:hAnsi="Arial"/>
          <w:sz w:val="22"/>
          <w:szCs w:val="22"/>
          <w:lang w:val="en-US"/>
        </w:rPr>
        <w:t>significant m</w:t>
      </w:r>
      <w:bookmarkStart w:id="13"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3"/>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4" w:name="MathJaxElement43Frame58"/>
      <w:r>
        <w:rPr>
          <w:rStyle w:val="NoneA"/>
          <w:rFonts w:ascii="Arial" w:hAnsi="Arial"/>
          <w:b/>
          <w:bCs/>
          <w:sz w:val="22"/>
          <w:szCs w:val="22"/>
          <w:lang w:val="en-US"/>
        </w:rPr>
        <w:t>(b)</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4"/>
      <w:r>
        <w:rPr>
          <w:rStyle w:val="NoneA"/>
          <w:rFonts w:ascii="Arial" w:hAnsi="Arial"/>
          <w:sz w:val="22"/>
          <w:szCs w:val="22"/>
          <w:lang w:val="en-US"/>
        </w:rPr>
        <w:t xml:space="preserve"> </w:t>
      </w:r>
      <w:bookmarkStart w:id="15" w:name="MathJaxElement43Frame59"/>
      <w:r>
        <w:rPr>
          <w:rStyle w:val="NoneA"/>
          <w:rFonts w:ascii="Arial" w:hAnsi="Arial"/>
          <w:b/>
          <w:bCs/>
          <w:sz w:val="22"/>
          <w:szCs w:val="22"/>
          <w:lang w:val="it-IT"/>
        </w:rPr>
        <w:t xml:space="preserve">(c)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gray 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Carbohydrates (+ Amino acids) control.</w:t>
      </w:r>
      <w:bookmarkEnd w:id="15"/>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S4). </w:t>
      </w:r>
      <w:bookmarkStart w:id="16" w:name="MathJaxElement43Frame510"/>
      <w:r>
        <w:rPr>
          <w:rStyle w:val="NoneA"/>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1 |  Expression of specific KEGG gene families. </w:t>
      </w:r>
      <w:r>
        <w:rPr>
          <w:rStyle w:val="Hyperlink2"/>
          <w:lang w:val="en-US"/>
        </w:rPr>
        <w:t>Description. (a). (b). (c).</w:t>
      </w:r>
    </w:p>
    <w:p>
      <w:pPr>
        <w:pStyle w:val="Default"/>
        <w:shd w:val="clear" w:fill="FFFFFF"/>
        <w:spacing w:lineRule="auto" w:line="480"/>
        <w:jc w:val="both"/>
        <w:rPr>
          <w:rFonts w:ascii="Arial" w:hAnsi="Arial" w:eastAsia="Arial" w:cs="Arial"/>
          <w:sz w:val="22"/>
          <w:szCs w:val="22"/>
        </w:rPr>
      </w:pPr>
      <w:r>
        <w:rPr>
          <w:rStyle w:val="Hyperlink2"/>
          <w:rFonts w:ascii="Arial" w:hAnsi="Arial"/>
        </w:rPr>
        <w:t>Describe why this sucked so you did the triangle plot</w:t>
      </w:r>
    </w:p>
    <w:p>
      <w:pPr>
        <w:pStyle w:val="Default"/>
        <w:shd w:val="clear" w:fill="FFFFFF"/>
        <w:spacing w:lineRule="auto" w:line="480"/>
        <w:ind w:left="0" w:right="0" w:hanging="0"/>
        <w:jc w:val="both"/>
        <w:rPr/>
      </w:pPr>
      <w:r>
        <w:rPr>
          <w:rStyle w:val="NoneA"/>
          <w:rFonts w:ascii="Arial" w:hAnsi="Arial"/>
          <w:b/>
          <w:bCs/>
          <w:sz w:val="22"/>
          <w:szCs w:val="22"/>
          <w:lang w:val="en-US"/>
        </w:rPr>
        <w:t xml:space="preserve">Supplementary Figure 2 |  Acetate data supporting network output. </w:t>
      </w:r>
      <w:r>
        <w:rPr>
          <w:rStyle w:val="Hyperlink2"/>
          <w:lang w:val="en-US"/>
        </w:rPr>
        <w:t>Description.</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Figure 3 |  </w:t>
      </w:r>
      <w:r>
        <w:rPr>
          <w:rStyle w:val="Hyperlink2"/>
          <w:rFonts w:ascii="Arial" w:hAnsi="Arial"/>
          <w:b/>
          <w:bCs/>
          <w:lang w:val="en-US"/>
        </w:rPr>
        <w:t>Additional growth curves</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0" w:right="0" w:hanging="0"/>
        <w:jc w:val="both"/>
        <w:rPr/>
      </w:pPr>
      <w:r>
        <w:rPr>
          <w:rStyle w:val="NoneA"/>
          <w:rFonts w:eastAsia="Arial" w:cs="Arial" w:ascii="Arial" w:hAnsi="Arial"/>
          <w:b/>
          <w:bCs/>
          <w:sz w:val="22"/>
          <w:szCs w:val="22"/>
          <w:lang w:val="en-US"/>
        </w:rPr>
        <w:t>Supplementary Table 1 |  Gene sets for fig 4.</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lang w:val="en-US"/>
        </w:rPr>
      </w:pPr>
      <w:r>
        <w:rPr>
          <w:rStyle w:val="NoneA"/>
          <w:rFonts w:eastAsia="Arial" w:cs="Arial" w:ascii="Arial" w:hAnsi="Arial"/>
          <w:b/>
          <w:bCs/>
          <w:sz w:val="22"/>
          <w:szCs w:val="22"/>
          <w:lang w:val="en-US"/>
        </w:rPr>
        <w:t>Supplementary Table 2 |  Network topology stats.</w:t>
      </w:r>
    </w:p>
    <w:p>
      <w:pPr>
        <w:pStyle w:val="Default"/>
        <w:shd w:val="clear" w:fill="FFFFFF"/>
        <w:spacing w:lineRule="auto" w:line="480"/>
        <w:ind w:left="480" w:right="0" w:hanging="480"/>
        <w:jc w:val="both"/>
        <w:rPr>
          <w:rStyle w:val="NoneA"/>
          <w:rFonts w:ascii="Arial" w:hAnsi="Arial" w:eastAsia="Arial" w:cs="Arial"/>
          <w:b/>
          <w:b/>
          <w:bCs/>
          <w:sz w:val="22"/>
          <w:szCs w:val="22"/>
          <w:lang w:val="en-US"/>
        </w:rPr>
      </w:pPr>
      <w:r>
        <w:rPr>
          <w:rFonts w:eastAsia="Arial" w:cs="Arial" w:ascii="Arial" w:hAnsi="Arial"/>
          <w:b/>
          <w:bCs/>
          <w:sz w:val="22"/>
          <w:szCs w:val="22"/>
          <w:lang w:val="en-US"/>
        </w:rPr>
      </w:r>
    </w:p>
    <w:p>
      <w:pPr>
        <w:pStyle w:val="Default"/>
        <w:shd w:val="clear" w:fill="FFFFFF"/>
        <w:spacing w:lineRule="auto" w:line="480"/>
        <w:ind w:left="480" w:right="0" w:hanging="480"/>
        <w:jc w:val="both"/>
        <w:rPr/>
      </w:pPr>
      <w:r>
        <w:rPr>
          <w:rStyle w:val="NoneA"/>
          <w:rFonts w:eastAsia="Arial" w:cs="Arial" w:ascii="Arial" w:hAnsi="Arial"/>
          <w:b/>
          <w:bCs/>
          <w:sz w:val="22"/>
          <w:szCs w:val="22"/>
          <w:lang w:val="en-US"/>
        </w:rPr>
        <w:t>Supplementary Table 3 |  All significantly important metabolites.</w:t>
      </w:r>
    </w:p>
    <w:p>
      <w:pPr>
        <w:pStyle w:val="Default"/>
        <w:shd w:val="clear" w:fill="FFFFFF"/>
        <w:spacing w:lineRule="auto" w:line="480"/>
        <w:ind w:left="0" w:right="0" w:hanging="0"/>
        <w:jc w:val="both"/>
        <w:rPr>
          <w:rStyle w:val="NoneA"/>
          <w:lang w:val="en-US"/>
        </w:rPr>
      </w:pPr>
      <w:r>
        <w:rPr>
          <w:lang w:val="en-US"/>
        </w:rPr>
      </w:r>
    </w:p>
    <w:p>
      <w:pPr>
        <w:pStyle w:val="Default"/>
        <w:shd w:val="clear" w:fill="FFFFFF"/>
        <w:spacing w:lineRule="auto" w:line="480"/>
        <w:ind w:left="480" w:right="0" w:hanging="480"/>
        <w:jc w:val="both"/>
        <w:rPr/>
      </w:pPr>
      <w:r>
        <w:rPr>
          <w:rStyle w:val="NoneA"/>
          <w:rFonts w:eastAsia="Arial" w:cs="Arial" w:ascii="Arial" w:hAnsi="Arial"/>
          <w:b/>
          <w:bCs/>
          <w:sz w:val="22"/>
          <w:szCs w:val="22"/>
          <w:lang w:val="en-US"/>
        </w:rPr>
        <w:t>Supplementary Table 4 |  Growth curve stats.</w:t>
      </w:r>
    </w:p>
    <w:p>
      <w:pPr>
        <w:pStyle w:val="Default"/>
        <w:shd w:val="clear" w:fill="FFFFFF"/>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shd w:val="clear" w:fill="FFFFFF"/>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shd w:val="clear" w:fill="FFFFFF"/>
        <w:spacing w:lineRule="auto" w:line="480"/>
        <w:jc w:val="both"/>
        <w:rPr/>
      </w:pPr>
      <w:r>
        <w:rPr>
          <w:rStyle w:val="NoneA"/>
          <w:rFonts w:ascii="Arial" w:hAnsi="Arial"/>
          <w:b/>
          <w:bCs/>
          <w:sz w:val="22"/>
          <w:szCs w:val="22"/>
          <w:lang w:val="en-US"/>
        </w:rPr>
        <w:t>Acknowledgments</w:t>
      </w:r>
    </w:p>
    <w:p>
      <w:pPr>
        <w:pStyle w:val="Default"/>
        <w:shd w:val="clear" w:fill="FFFFFF"/>
        <w:spacing w:lineRule="auto" w:line="480"/>
        <w:jc w:val="both"/>
        <w:rPr/>
      </w:pPr>
      <w:r>
        <w:rPr>
          <w:rStyle w:val="Hyperlink2"/>
          <w:lang w:val="en-US"/>
        </w:rPr>
        <w:t>The authors would like to acknowledge members of the University of Michigan Germ free Mouse Center and Sequencing Core for their assistance in experimental design, execution, data collection, and analysis.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References</w:t>
      </w:r>
    </w:p>
    <w:p>
      <w:pPr>
        <w:pStyle w:val="Textbody1"/>
        <w:shd w:val="clear" w:fill="FFFFFF"/>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fill="FFFFFF"/>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fill="FFFFFF"/>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fill="FFFFFF"/>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fill="FFFFFF"/>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fill="FFFFFF"/>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fill="FFFFFF"/>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fill="FFFFFF"/>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fill="FFFFFF"/>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fill="FFFFFF"/>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fill="FFFFFF"/>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fill="FFFFFF"/>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fill="FFFFFF"/>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fill="FFFFFF"/>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fill="FFFFFF"/>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fill="FFFFFF"/>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fill="FFFFFF"/>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fill="FFFFFF"/>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fill="FFFFFF"/>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fill="FFFFFF"/>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fill="FFFFFF"/>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fill="FFFFFF"/>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fill="FFFFFF"/>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fill="FFFFFF"/>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fill="FFFFFF"/>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fill="FFFFFF"/>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fill="FFFFFF"/>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fill="FFFFFF"/>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fill="FFFFFF"/>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fill="FFFFFF"/>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fill="FFFFFF"/>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fill="FFFFFF"/>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fill="FFFFFF"/>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fill="FFFFFF"/>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fill="FFFFFF"/>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fill="FFFFFF"/>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fill="FFFFFF"/>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fill="FFFFFF"/>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fill="FFFFFF"/>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fill="FFFFFF"/>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6"/>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9">
    <w:name w:val="ListLabel 2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7">
    <w:name w:val="ListLabel 37"/>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8">
    <w:name w:val="ListLabel 3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9">
    <w:name w:val="ListLabel 3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0">
    <w:name w:val="ListLabel 4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1">
    <w:name w:val="ListLabel 4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2">
    <w:name w:val="ListLabel 4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3">
    <w:name w:val="ListLabel 4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4">
    <w:name w:val="ListLabel 4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5">
    <w:name w:val="ListLabel 4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6">
    <w:name w:val="ListLabel 46"/>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7">
    <w:name w:val="ListLabel 4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8">
    <w:name w:val="ListLabel 4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9">
    <w:name w:val="ListLabel 4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0">
    <w:name w:val="ListLabel 5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1">
    <w:name w:val="ListLabel 5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2">
    <w:name w:val="ListLabel 5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3">
    <w:name w:val="ListLabel 5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4">
    <w:name w:val="ListLabel 5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5">
    <w:name w:val="ListLabel 55"/>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56">
    <w:name w:val="ListLabel 5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7">
    <w:name w:val="ListLabel 5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8">
    <w:name w:val="ListLabel 5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9">
    <w:name w:val="ListLabel 5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0">
    <w:name w:val="ListLabel 6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1">
    <w:name w:val="ListLabel 6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2">
    <w:name w:val="ListLabel 6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3">
    <w:name w:val="ListLabel 6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4">
    <w:name w:val="ListLabel 64"/>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5">
    <w:name w:val="ListLabel 6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6">
    <w:name w:val="ListLabel 6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7">
    <w:name w:val="ListLabel 6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8">
    <w:name w:val="ListLabel 6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9">
    <w:name w:val="ListLabel 6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0">
    <w:name w:val="ListLabel 7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1">
    <w:name w:val="ListLabel 7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2">
    <w:name w:val="ListLabel 7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1031</TotalTime>
  <Application>LibreOffice/5.1.4.2$Linux_X86_64 LibreOffice_project/10m0$Build-2</Application>
  <Pages>39</Pages>
  <Words>11792</Words>
  <Characters>70536</Characters>
  <CharactersWithSpaces>82163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2016-11-06T20:45:01Z</dcterms:modified>
  <cp:revision>46</cp:revision>
  <dc:subject/>
  <dc:title/>
</cp:coreProperties>
</file>