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w:t>
      </w:r>
      <w:r>
        <w:rPr>
          <w:rFonts w:ascii="Arial" w:hAnsi="Arial"/>
          <w:sz w:val="22"/>
          <w:szCs w:val="22"/>
          <w:rtl w:val="0"/>
          <w:lang w:val="en-US"/>
        </w:rPr>
        <w:t xml:space="preserve">of </w:t>
      </w:r>
      <w:r>
        <w:rPr>
          <w:rFonts w:ascii="Arial" w:hAnsi="Arial"/>
          <w:sz w:val="22"/>
          <w:szCs w:val="22"/>
          <w:rtl w:val="0"/>
          <w:lang w:val="en-US"/>
        </w:rPr>
        <w:t xml:space="preserve">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variation in expression between treatment groups (Fig. 3a). Clindamycin treatment was associated with largely late sporulation genes,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sz w:val="22"/>
          <w:szCs w:val="22"/>
          <w:rtl w:val="0"/>
          <w:lang w:val="en-US"/>
        </w:rPr>
        <w:t>spore formation</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and effectors that protect DNA from damage damage during dormancy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colonizing germ free mice was primarily expressing the dormancy genes linked with the latest stages sporulation</w:t>
      </w:r>
      <w:r>
        <w:rPr>
          <w:rFonts w:ascii="Arial" w:hAnsi="Arial"/>
          <w:sz w:val="22"/>
          <w:szCs w:val="22"/>
          <w:rtl w:val="0"/>
          <w:lang w:val="en-US"/>
        </w:rPr>
        <w:t>, supporting the large amount of spores quantified in Fig. 2b</w:t>
      </w:r>
      <w:r>
        <w:rPr>
          <w:rFonts w:ascii="Arial" w:hAnsi="Arial"/>
          <w:sz w:val="22"/>
          <w:szCs w:val="22"/>
          <w:rtl w:val="0"/>
          <w:lang w:val="en-US"/>
        </w:rPr>
        <w:t xml:space="preserve">. Conversely, in cefoperazone-treated mice </w:t>
      </w:r>
      <w:r>
        <w:rPr>
          <w:rFonts w:ascii="Arial" w:hAnsi="Arial"/>
          <w:i w:val="1"/>
          <w:iCs w:val="1"/>
          <w:sz w:val="22"/>
          <w:szCs w:val="22"/>
          <w:rtl w:val="0"/>
          <w:lang w:val="en-US"/>
        </w:rPr>
        <w:t>C. difficile</w:t>
      </w:r>
      <w:r>
        <w:rPr>
          <w:rFonts w:ascii="Arial" w:hAnsi="Arial"/>
          <w:sz w:val="22"/>
          <w:szCs w:val="22"/>
          <w:rtl w:val="0"/>
          <w:lang w:val="en-US"/>
        </w:rPr>
        <w:t xml:space="preserve"> highly expresses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w:t>
      </w:r>
      <w:r>
        <w:rPr>
          <w:rFonts w:ascii="Arial" w:hAnsi="Arial"/>
          <w:sz w:val="22"/>
          <w:szCs w:val="22"/>
          <w:rtl w:val="0"/>
          <w:lang w:val="en-US"/>
        </w:rPr>
        <w:t>that</w:t>
      </w:r>
      <w:r>
        <w:rPr>
          <w:rFonts w:ascii="Arial" w:hAnsi="Arial"/>
          <w:sz w:val="22"/>
          <w:szCs w:val="22"/>
          <w:rtl w:val="0"/>
          <w:lang w:val="en-US"/>
        </w:rPr>
        <w:t xml:space="preserve"> are involved in suppressing expression of genes found later in the sporulation pathway (Matsuno, 1999). Finally, </w:t>
      </w:r>
      <w:r>
        <w:rPr>
          <w:rFonts w:ascii="Arial" w:hAnsi="Arial"/>
          <w:i w:val="1"/>
          <w:iCs w:val="1"/>
          <w:sz w:val="22"/>
          <w:szCs w:val="22"/>
          <w:rtl w:val="0"/>
          <w:lang w:val="en-US"/>
        </w:rPr>
        <w:t>C. difficile</w:t>
      </w:r>
      <w:r>
        <w:rPr>
          <w:rFonts w:ascii="Arial" w:hAnsi="Arial"/>
          <w:sz w:val="22"/>
          <w:szCs w:val="22"/>
          <w:rtl w:val="0"/>
          <w:lang w:val="en-US"/>
        </w:rPr>
        <w:t xml:space="preserve"> in streptomycin-treated mice show increased expression of both </w:t>
      </w:r>
      <w:r>
        <w:rPr>
          <w:rFonts w:ascii="Arial" w:hAnsi="Arial"/>
          <w:i w:val="1"/>
          <w:iCs w:val="1"/>
          <w:sz w:val="22"/>
          <w:szCs w:val="22"/>
          <w:rtl w:val="0"/>
          <w:lang w:val="en-US"/>
        </w:rPr>
        <w:t>spo</w:t>
      </w:r>
      <w:r>
        <w:rPr>
          <w:rFonts w:ascii="Arial" w:hAnsi="Arial"/>
          <w:i w:val="1"/>
          <w:iCs w:val="1"/>
          <w:sz w:val="22"/>
          <w:szCs w:val="22"/>
          <w:rtl w:val="0"/>
          <w:lang w:val="en-US"/>
        </w:rPr>
        <w:t>IIAB</w:t>
      </w:r>
      <w:r>
        <w:rPr>
          <w:rFonts w:ascii="Arial" w:hAnsi="Arial"/>
          <w:sz w:val="22"/>
          <w:szCs w:val="22"/>
          <w:rtl w:val="0"/>
          <w:lang w:val="en-US"/>
        </w:rPr>
        <w:t>/</w:t>
      </w:r>
      <w:r>
        <w:rPr>
          <w:rFonts w:ascii="Arial" w:hAnsi="Arial"/>
          <w:i w:val="1"/>
          <w:iCs w:val="1"/>
          <w:sz w:val="22"/>
          <w:szCs w:val="22"/>
          <w:rtl w:val="0"/>
          <w:lang w:val="en-US"/>
        </w:rPr>
        <w:t>spo</w:t>
      </w:r>
      <w:r>
        <w:rPr>
          <w:rFonts w:ascii="Arial" w:hAnsi="Arial"/>
          <w:i w:val="1"/>
          <w:iCs w:val="1"/>
          <w:sz w:val="22"/>
          <w:szCs w:val="22"/>
          <w:rtl w:val="0"/>
          <w:lang w:val="en-US"/>
        </w:rPr>
        <w:t>IIE</w:t>
      </w:r>
      <w:r>
        <w:rPr>
          <w:rFonts w:ascii="Arial" w:hAnsi="Arial"/>
          <w:sz w:val="22"/>
          <w:szCs w:val="22"/>
          <w:rtl w:val="0"/>
          <w:lang w:val="en-US"/>
        </w:rPr>
        <w:t xml:space="preserve"> (sporulation activating factors)</w:t>
      </w:r>
      <w:r>
        <w:rPr>
          <w:rFonts w:ascii="Arial" w:hAnsi="Arial"/>
          <w:i w:val="1"/>
          <w:iCs w:val="1"/>
          <w:sz w:val="22"/>
          <w:szCs w:val="22"/>
          <w:rtl w:val="0"/>
          <w:lang w:val="en-US"/>
        </w:rPr>
        <w:t xml:space="preserve"> and sspA</w:t>
      </w:r>
      <w:r>
        <w:rPr>
          <w:rFonts w:ascii="Arial" w:hAnsi="Arial"/>
          <w:sz w:val="22"/>
          <w:szCs w:val="22"/>
          <w:rtl w:val="0"/>
          <w:lang w:val="en-US"/>
        </w:rPr>
        <w:t>/</w:t>
      </w:r>
      <w:r>
        <w:rPr>
          <w:rFonts w:ascii="Arial" w:hAnsi="Arial"/>
          <w:i w:val="1"/>
          <w:iCs w:val="1"/>
          <w:sz w:val="22"/>
          <w:szCs w:val="22"/>
          <w:rtl w:val="0"/>
          <w:lang w:val="en-US"/>
        </w:rPr>
        <w:t>sspB</w:t>
      </w:r>
      <w:r>
        <w:rPr>
          <w:rFonts w:ascii="Arial" w:hAnsi="Arial"/>
          <w:sz w:val="22"/>
          <w:szCs w:val="22"/>
          <w:rtl w:val="0"/>
          <w:lang w:val="en-US"/>
        </w:rPr>
        <w:t>,</w:t>
      </w:r>
      <w:r>
        <w:rPr>
          <w:rFonts w:ascii="Arial" w:hAnsi="Arial"/>
          <w:sz w:val="22"/>
          <w:szCs w:val="22"/>
          <w:rtl w:val="0"/>
          <w:lang w:val="en-US"/>
        </w:rPr>
        <w:t xml:space="preserve"> but also demonstrates a large amount of expression of </w:t>
      </w:r>
      <w:r>
        <w:rPr>
          <w:rFonts w:ascii="Arial" w:hAnsi="Arial"/>
          <w:i w:val="1"/>
          <w:iCs w:val="1"/>
          <w:sz w:val="22"/>
          <w:szCs w:val="22"/>
          <w:rtl w:val="0"/>
          <w:lang w:val="en-US"/>
        </w:rPr>
        <w:t>spoVG</w:t>
      </w:r>
      <w:r>
        <w:rPr>
          <w:rFonts w:ascii="Arial" w:hAnsi="Arial"/>
          <w:sz w:val="22"/>
          <w:szCs w:val="22"/>
          <w:rtl w:val="0"/>
          <w:lang w:val="en-US"/>
        </w:rPr>
        <w:t>/</w:t>
      </w:r>
      <w:r>
        <w:rPr>
          <w:rFonts w:ascii="Arial" w:hAnsi="Arial"/>
          <w:i w:val="1"/>
          <w:iCs w:val="1"/>
          <w:sz w:val="22"/>
          <w:szCs w:val="22"/>
          <w:rtl w:val="0"/>
          <w:lang w:val="en-US"/>
        </w:rPr>
        <w:t>spoVS</w:t>
      </w:r>
      <w:r>
        <w:rPr>
          <w:rFonts w:ascii="Arial" w:hAnsi="Arial"/>
          <w:sz w:val="22"/>
          <w:szCs w:val="22"/>
          <w:rtl w:val="0"/>
          <w:lang w:val="en-US"/>
        </w:rPr>
        <w:t xml:space="preserve">. This seems to </w:t>
      </w:r>
      <w:r>
        <w:rPr>
          <w:rFonts w:ascii="Arial" w:hAnsi="Arial"/>
          <w:sz w:val="22"/>
          <w:szCs w:val="22"/>
          <w:rtl w:val="0"/>
          <w:lang w:val="en-US"/>
        </w:rPr>
        <w:t>indicat</w:t>
      </w:r>
      <w:r>
        <w:rPr>
          <w:rFonts w:ascii="Arial" w:hAnsi="Arial"/>
          <w:sz w:val="22"/>
          <w:szCs w:val="22"/>
          <w:rtl w:val="0"/>
          <w:lang w:val="en-US"/>
        </w:rPr>
        <w:t>e the existence of</w:t>
      </w:r>
      <w:r>
        <w:rPr>
          <w:rFonts w:ascii="Arial" w:hAnsi="Arial"/>
          <w:sz w:val="22"/>
          <w:szCs w:val="22"/>
          <w:rtl w:val="0"/>
          <w:lang w:val="en-US"/>
        </w:rPr>
        <w:t xml:space="preserve"> potential subpopulations</w:t>
      </w:r>
      <w:r>
        <w:rPr>
          <w:rFonts w:ascii="Arial" w:hAnsi="Arial"/>
          <w:sz w:val="22"/>
          <w:szCs w:val="22"/>
          <w:rtl w:val="0"/>
          <w:lang w:val="en-US"/>
        </w:rPr>
        <w:t xml:space="preserve"> </w:t>
      </w:r>
      <w:r>
        <w:rPr>
          <w:rFonts w:ascii="Arial" w:hAnsi="Arial"/>
          <w:sz w:val="22"/>
          <w:szCs w:val="22"/>
          <w:rtl w:val="0"/>
          <w:lang w:val="en-US"/>
        </w:rPr>
        <w:t xml:space="preserve">at distinct phases of the life-cycle </w:t>
      </w:r>
      <w:r>
        <w:rPr>
          <w:rFonts w:ascii="Arial" w:hAnsi="Arial"/>
          <w:sz w:val="22"/>
          <w:szCs w:val="22"/>
          <w:rtl w:val="0"/>
          <w:lang w:val="en-US"/>
        </w:rPr>
        <w:t>during this</w:t>
      </w:r>
      <w:r>
        <w:rPr>
          <w:rFonts w:ascii="Arial" w:hAnsi="Arial"/>
          <w:sz w:val="22"/>
          <w:szCs w:val="22"/>
          <w:rtl w:val="0"/>
          <w:lang w:val="en-US"/>
        </w:rPr>
        <w:t xml:space="preserve"> time point in th</w:t>
      </w:r>
      <w:r>
        <w:rPr>
          <w:rFonts w:ascii="Arial" w:hAnsi="Arial"/>
          <w:sz w:val="22"/>
          <w:szCs w:val="22"/>
          <w:rtl w:val="0"/>
          <w:lang w:val="en-US"/>
        </w:rPr>
        <w:t>e</w:t>
      </w:r>
      <w:r>
        <w:rPr>
          <w:rFonts w:ascii="Arial" w:hAnsi="Arial"/>
          <w:sz w:val="22"/>
          <w:szCs w:val="22"/>
          <w:rtl w:val="0"/>
          <w:lang w:val="en-US"/>
        </w:rPr>
        <w:t xml:space="preserve"> </w:t>
      </w:r>
      <w:r>
        <w:rPr>
          <w:rFonts w:ascii="Arial" w:hAnsi="Arial"/>
          <w:sz w:val="22"/>
          <w:szCs w:val="22"/>
          <w:rtl w:val="0"/>
          <w:lang w:val="en-US"/>
        </w:rPr>
        <w:t xml:space="preserve">streptomycin </w:t>
      </w:r>
      <w:r>
        <w:rPr>
          <w:rFonts w:ascii="Arial" w:hAnsi="Arial"/>
          <w:sz w:val="22"/>
          <w:szCs w:val="22"/>
          <w:rtl w:val="0"/>
          <w:lang w:val="en-US"/>
        </w:rPr>
        <w:t>model.</w:t>
      </w:r>
      <w:r>
        <w:rPr>
          <w:rFonts w:ascii="Arial" w:hAnsi="Arial"/>
          <w:sz w:val="22"/>
          <w:szCs w:val="22"/>
          <w:rtl w:val="0"/>
          <w:lang w:val="en-US"/>
        </w:rPr>
        <w:t xml:space="preserve">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pPr>
      <w:r>
        <w:rPr>
          <w:rFonts w:ascii="Arial" w:cs="Arial" w:hAnsi="Arial" w:eastAsia="Arial"/>
          <w:sz w:val="22"/>
          <w:szCs w:val="22"/>
          <w:rtl w:val="0"/>
        </w:rPr>
        <w:tab/>
        <w:t xml:space="preserve">Along with sporulation, expression of genes for quorum sensing </w:t>
      </w:r>
      <w:r>
        <w:rPr>
          <w:rFonts w:ascii="Arial" w:hAnsi="Arial"/>
          <w:sz w:val="22"/>
          <w:szCs w:val="22"/>
          <w:rtl w:val="0"/>
          <w:lang w:val="en-US"/>
        </w:rPr>
        <w:t xml:space="preserve">and </w:t>
      </w:r>
      <w:r>
        <w:rPr>
          <w:rFonts w:ascii="Arial" w:hAnsi="Arial"/>
          <w:sz w:val="22"/>
          <w:szCs w:val="22"/>
          <w:rtl w:val="0"/>
          <w:lang w:val="en-US"/>
        </w:rPr>
        <w:t xml:space="preserve">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Cefoperazone treatment was associated with increased expression for each of the </w:t>
      </w:r>
      <w:r>
        <w:rPr>
          <w:rFonts w:ascii="Arial" w:hAnsi="Arial"/>
          <w:sz w:val="22"/>
          <w:szCs w:val="22"/>
          <w:rtl w:val="0"/>
          <w:lang w:val="en-US"/>
        </w:rPr>
        <w:t>suspected</w:t>
      </w:r>
      <w:r>
        <w:rPr>
          <w:rFonts w:ascii="Arial" w:hAnsi="Arial"/>
          <w:sz w:val="22"/>
          <w:szCs w:val="22"/>
          <w:rtl w:val="0"/>
          <w:lang w:val="en-US"/>
        </w:rPr>
        <w:t xml:space="preserve">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3b). </w:t>
      </w:r>
      <w:r>
        <w:rPr>
          <w:rFonts w:ascii="Arial" w:hAnsi="Arial"/>
          <w:sz w:val="22"/>
          <w:szCs w:val="22"/>
          <w:rtl w:val="0"/>
          <w:lang w:val="en-US"/>
        </w:rPr>
        <w:t xml:space="preserve">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w:t>
      </w:r>
      <w:r>
        <w:rPr>
          <w:rFonts w:ascii="Arial" w:hAnsi="Arial"/>
          <w:sz w:val="22"/>
          <w:szCs w:val="22"/>
          <w:rtl w:val="0"/>
          <w:lang w:val="en-US"/>
        </w:rPr>
        <w:t>(</w:t>
      </w:r>
      <w:r>
        <w:rPr>
          <w:rFonts w:ascii="Arial" w:hAnsi="Arial"/>
          <w:sz w:val="22"/>
          <w:szCs w:val="22"/>
          <w:rtl w:val="0"/>
          <w:lang w:val="en-US"/>
        </w:rPr>
        <w:t>Lee, 2005; Martin, 2013</w:t>
      </w:r>
      <w:r>
        <w:rPr>
          <w:rFonts w:ascii="Arial" w:hAnsi="Arial"/>
          <w:sz w:val="22"/>
          <w:szCs w:val="22"/>
          <w:rtl w:val="0"/>
          <w:lang w:val="en-US"/>
        </w:rPr>
        <w:t>)</w:t>
      </w:r>
      <w:r>
        <w:rPr>
          <w:rFonts w:ascii="Arial" w:hAnsi="Arial"/>
          <w:sz w:val="22"/>
          <w:szCs w:val="22"/>
          <w:rtl w:val="0"/>
          <w:lang w:val="en-US"/>
        </w:rPr>
        <w:t xml:space="preserve">. </w:t>
      </w:r>
      <w:r>
        <w:rPr>
          <w:rFonts w:ascii="Arial" w:hAnsi="Arial"/>
          <w:sz w:val="22"/>
          <w:szCs w:val="22"/>
          <w:rtl w:val="0"/>
          <w:lang w:val="en-US"/>
        </w:rPr>
        <w:t>W</w:t>
      </w:r>
      <w:r>
        <w:rPr>
          <w:rFonts w:ascii="Arial" w:hAnsi="Arial"/>
          <w:sz w:val="22"/>
          <w:szCs w:val="22"/>
          <w:rtl w:val="0"/>
          <w:lang w:val="en-US"/>
        </w:rPr>
        <w:t>ith this in mind, w</w:t>
      </w:r>
      <w:r>
        <w:rPr>
          <w:rFonts w:ascii="Arial" w:hAnsi="Arial"/>
          <w:sz w:val="22"/>
          <w:szCs w:val="22"/>
          <w:rtl w:val="0"/>
          <w:lang w:val="en-US"/>
        </w:rPr>
        <w:t xml:space="preserve">e </w:t>
      </w:r>
      <w:r>
        <w:rPr>
          <w:rFonts w:ascii="Arial" w:hAnsi="Arial"/>
          <w:sz w:val="22"/>
          <w:szCs w:val="22"/>
          <w:rtl w:val="0"/>
          <w:lang w:val="en-US"/>
        </w:rPr>
        <w:t xml:space="preserve">looked toward the expression of pathogenicity genes and </w:t>
      </w:r>
      <w:r>
        <w:rPr>
          <w:rFonts w:ascii="Arial" w:hAnsi="Arial"/>
          <w:sz w:val="22"/>
          <w:szCs w:val="22"/>
          <w:rtl w:val="0"/>
          <w:lang w:val="en-US"/>
        </w:rPr>
        <w:t>found higher expression of the toxin A gene</w:t>
      </w:r>
      <w:r>
        <w:rPr>
          <w:rFonts w:ascii="Arial" w:hAnsi="Arial"/>
          <w:sz w:val="22"/>
          <w:szCs w:val="22"/>
          <w:rtl w:val="0"/>
          <w:lang w:val="en-US"/>
        </w:rPr>
        <w:t xml:space="preserve"> (</w:t>
      </w:r>
      <w:r>
        <w:rPr>
          <w:rFonts w:ascii="Arial" w:hAnsi="Arial"/>
          <w:i w:val="1"/>
          <w:iCs w:val="1"/>
          <w:sz w:val="22"/>
          <w:szCs w:val="22"/>
          <w:rtl w:val="0"/>
          <w:lang w:val="en-US"/>
        </w:rPr>
        <w:t>tcdA</w:t>
      </w:r>
      <w:r>
        <w:rPr>
          <w:rFonts w:ascii="Arial" w:hAnsi="Arial"/>
          <w:sz w:val="22"/>
          <w:szCs w:val="22"/>
          <w:rtl w:val="0"/>
          <w:lang w:val="en-US"/>
        </w:rPr>
        <w:t>)</w:t>
      </w:r>
      <w:r>
        <w:rPr>
          <w:rFonts w:ascii="Arial" w:hAnsi="Arial"/>
          <w:sz w:val="22"/>
          <w:szCs w:val="22"/>
          <w:rtl w:val="0"/>
          <w:lang w:val="en-US"/>
        </w:rPr>
        <w:t xml:space="preserve"> than the toxin B gene</w:t>
      </w:r>
      <w:r>
        <w:rPr>
          <w:rFonts w:ascii="Arial" w:hAnsi="Arial"/>
          <w:sz w:val="22"/>
          <w:szCs w:val="22"/>
          <w:rtl w:val="0"/>
          <w:lang w:val="en-US"/>
        </w:rPr>
        <w:t xml:space="preserve"> (</w:t>
      </w:r>
      <w:r>
        <w:rPr>
          <w:rFonts w:ascii="Arial" w:hAnsi="Arial"/>
          <w:i w:val="1"/>
          <w:iCs w:val="1"/>
          <w:sz w:val="22"/>
          <w:szCs w:val="22"/>
          <w:rtl w:val="0"/>
          <w:lang w:val="en-US"/>
        </w:rPr>
        <w:t>tcdB</w:t>
      </w:r>
      <w:r>
        <w:rPr>
          <w:rFonts w:ascii="Arial" w:hAnsi="Arial"/>
          <w:sz w:val="22"/>
          <w:szCs w:val="22"/>
          <w:rtl w:val="0"/>
          <w:lang w:val="en-US"/>
        </w:rPr>
        <w:t>)</w:t>
      </w:r>
      <w:r>
        <w:rPr>
          <w:rFonts w:ascii="Arial" w:hAnsi="Arial"/>
          <w:sz w:val="22"/>
          <w:szCs w:val="22"/>
          <w:rtl w:val="0"/>
          <w:lang w:val="en-US"/>
        </w:rPr>
        <w:t xml:space="preserve"> across all groups. Additionally,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and no detectable transcripts for the positive</w:t>
      </w:r>
      <w:r>
        <w:rPr>
          <w:rFonts w:ascii="Arial" w:hAnsi="Arial"/>
          <w:sz w:val="22"/>
          <w:szCs w:val="22"/>
          <w:rtl w:val="0"/>
          <w:lang w:val="en-US"/>
        </w:rPr>
        <w:t xml:space="preserve"> toxins A/B </w:t>
      </w:r>
      <w:r>
        <w:rPr>
          <w:rFonts w:ascii="Arial" w:hAnsi="Arial"/>
          <w:sz w:val="22"/>
          <w:szCs w:val="22"/>
          <w:rtl w:val="0"/>
          <w:lang w:val="en-US"/>
        </w:rPr>
        <w:t xml:space="preserve">regulator </w:t>
      </w:r>
      <w:r>
        <w:rPr>
          <w:rFonts w:ascii="Arial" w:hAnsi="Arial"/>
          <w:i w:val="1"/>
          <w:iCs w:val="1"/>
          <w:sz w:val="22"/>
          <w:szCs w:val="22"/>
          <w:rtl w:val="0"/>
          <w:lang w:val="en-US"/>
        </w:rPr>
        <w:t>tcdR</w:t>
      </w:r>
      <w:r>
        <w:rPr>
          <w:rFonts w:ascii="Arial" w:hAnsi="Arial"/>
          <w:sz w:val="22"/>
          <w:szCs w:val="22"/>
          <w:rtl w:val="0"/>
          <w:lang w:val="en-US"/>
        </w:rPr>
        <w:t xml:space="preserve"> across all treatments. Transcripts for </w:t>
      </w:r>
      <w:r>
        <w:rPr>
          <w:rFonts w:ascii="Arial" w:hAnsi="Arial"/>
          <w:i w:val="1"/>
          <w:iCs w:val="1"/>
          <w:sz w:val="22"/>
          <w:szCs w:val="22"/>
          <w:rtl w:val="0"/>
          <w:lang w:val="en-US"/>
        </w:rPr>
        <w:t>tcdE</w:t>
      </w:r>
      <w:r>
        <w:rPr>
          <w:rFonts w:ascii="Arial" w:hAnsi="Arial"/>
          <w:sz w:val="22"/>
          <w:szCs w:val="22"/>
          <w:rtl w:val="0"/>
          <w:lang w:val="en-US"/>
        </w:rPr>
        <w:t xml:space="preserve"> </w:t>
      </w:r>
      <w:r>
        <w:rPr>
          <w:rFonts w:ascii="Arial" w:hAnsi="Arial"/>
          <w:sz w:val="22"/>
          <w:szCs w:val="22"/>
          <w:rtl w:val="0"/>
          <w:lang w:val="en-US"/>
        </w:rPr>
        <w:t>encoding</w:t>
      </w:r>
      <w:r>
        <w:rPr>
          <w:rFonts w:ascii="Arial" w:hAnsi="Arial"/>
          <w:sz w:val="22"/>
          <w:szCs w:val="22"/>
          <w:rtl w:val="0"/>
          <w:lang w:val="en-US"/>
        </w:rPr>
        <w:t xml:space="preserve">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cefoperazone-treated mice. High expression of </w:t>
      </w:r>
      <w:r>
        <w:rPr>
          <w:rFonts w:ascii="Arial" w:hAnsi="Arial"/>
          <w:i w:val="1"/>
          <w:iCs w:val="1"/>
          <w:sz w:val="22"/>
          <w:szCs w:val="22"/>
          <w:rtl w:val="0"/>
          <w:lang w:val="en-US"/>
        </w:rPr>
        <w:t>cdtR</w:t>
      </w:r>
      <w:r>
        <w:rPr>
          <w:rFonts w:ascii="Arial" w:hAnsi="Arial"/>
          <w:sz w:val="22"/>
          <w:szCs w:val="22"/>
          <w:rtl w:val="0"/>
          <w:lang w:val="en-US"/>
        </w:rPr>
        <w:t>, the positive regulator of binary toxin production,</w:t>
      </w:r>
      <w:r>
        <w:rPr>
          <w:rFonts w:ascii="Arial" w:hAnsi="Arial"/>
          <w:sz w:val="22"/>
          <w:szCs w:val="22"/>
          <w:rtl w:val="0"/>
          <w:lang w:val="en-US"/>
        </w:rPr>
        <w:t xml:space="preserve"> </w:t>
      </w:r>
      <w:r>
        <w:rPr>
          <w:rFonts w:ascii="Arial" w:hAnsi="Arial"/>
          <w:sz w:val="22"/>
          <w:szCs w:val="22"/>
          <w:rtl w:val="0"/>
          <w:lang w:val="en-US"/>
        </w:rPr>
        <w:t>was detected in cefoperazone and to a smaller degree in streptomycin-treated mice. This is in spite of</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str. 630 </w:t>
      </w:r>
      <w:r>
        <w:rPr>
          <w:rFonts w:ascii="Arial" w:hAnsi="Arial"/>
          <w:sz w:val="22"/>
          <w:szCs w:val="22"/>
          <w:rtl w:val="0"/>
          <w:lang w:val="en-US"/>
        </w:rPr>
        <w:t xml:space="preserve">possessing neither </w:t>
      </w:r>
      <w:r>
        <w:rPr>
          <w:rFonts w:ascii="Arial" w:hAnsi="Arial"/>
          <w:i w:val="1"/>
          <w:iCs w:val="1"/>
          <w:sz w:val="22"/>
          <w:szCs w:val="22"/>
          <w:rtl w:val="0"/>
          <w:lang w:val="en-US"/>
        </w:rPr>
        <w:t>cdtA</w:t>
      </w:r>
      <w:r>
        <w:rPr>
          <w:rFonts w:ascii="Arial" w:hAnsi="Arial"/>
          <w:sz w:val="22"/>
          <w:szCs w:val="22"/>
          <w:rtl w:val="0"/>
          <w:lang w:val="en-US"/>
        </w:rPr>
        <w:t xml:space="preserve"> nor </w:t>
      </w:r>
      <w:r>
        <w:rPr>
          <w:rFonts w:ascii="Arial" w:hAnsi="Arial"/>
          <w:i w:val="1"/>
          <w:iCs w:val="1"/>
          <w:sz w:val="22"/>
          <w:szCs w:val="22"/>
          <w:rtl w:val="0"/>
          <w:lang w:val="en-US"/>
        </w:rPr>
        <w:t>cdtB</w:t>
      </w:r>
      <w:r>
        <w:rPr>
          <w:rFonts w:ascii="Arial" w:hAnsi="Arial"/>
          <w:sz w:val="22"/>
          <w:szCs w:val="22"/>
          <w:rtl w:val="0"/>
          <w:lang w:val="en-US"/>
        </w:rPr>
        <w:t xml:space="preserve"> genes</w:t>
      </w:r>
      <w:r>
        <w:rPr>
          <w:rFonts w:ascii="Arial" w:hAnsi="Arial"/>
          <w:sz w:val="22"/>
          <w:szCs w:val="22"/>
          <w:rtl w:val="0"/>
          <w:lang w:val="en-US"/>
        </w:rPr>
        <w:t>.</w:t>
      </w:r>
      <w:r>
        <w:rPr>
          <w:rFonts w:ascii="Arial" w:hAnsi="Arial"/>
          <w:sz w:val="22"/>
          <w:szCs w:val="22"/>
          <w:rtl w:val="0"/>
          <w:lang w:val="en-US"/>
        </w:rPr>
        <w:t xml:space="preserve"> These results support previous studies showing that environmental determinants play a role in the regulation of pathogenicity in </w:t>
      </w:r>
      <w:r>
        <w:rPr>
          <w:rFonts w:ascii="Arial" w:hAnsi="Arial"/>
          <w:i w:val="1"/>
          <w:iCs w:val="1"/>
          <w:sz w:val="22"/>
          <w:szCs w:val="22"/>
          <w:rtl w:val="0"/>
          <w:lang w:val="en-US"/>
        </w:rPr>
        <w:t>C. difficile</w:t>
      </w:r>
      <w:r>
        <w:rPr>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Pr>
        <w:tab/>
      </w:r>
      <w:r>
        <w:rPr>
          <w:rFonts w:ascii="Arial" w:hAnsi="Arial"/>
          <w:sz w:val="22"/>
          <w:szCs w:val="22"/>
          <w:rtl w:val="0"/>
          <w:lang w:val="en-US"/>
        </w:rPr>
        <w:t xml:space="preserve">As expression of all of genes discussed thus far are connected to metabolism we chose to then focus on high-level regulation of these processes. </w:t>
      </w:r>
      <w:r>
        <w:rPr>
          <w:rFonts w:ascii="Arial" w:hAnsi="Arial"/>
          <w:sz w:val="22"/>
          <w:szCs w:val="22"/>
          <w:rtl w:val="0"/>
          <w:lang w:val="en-US"/>
        </w:rPr>
        <w:t xml:space="preserve">Sigma factors are master regulators of transcription and a subset in </w:t>
      </w:r>
      <w:r>
        <w:rPr>
          <w:rFonts w:ascii="Arial" w:hAnsi="Arial"/>
          <w:i w:val="1"/>
          <w:iCs w:val="1"/>
          <w:sz w:val="22"/>
          <w:szCs w:val="22"/>
          <w:rtl w:val="0"/>
          <w:lang w:val="en-US"/>
        </w:rPr>
        <w:t>C. difficile</w:t>
      </w:r>
      <w:r>
        <w:rPr>
          <w:rFonts w:ascii="Arial" w:hAnsi="Arial"/>
          <w:sz w:val="22"/>
          <w:szCs w:val="22"/>
          <w:rtl w:val="0"/>
          <w:lang w:val="en-US"/>
        </w:rPr>
        <w:t xml:space="preserve"> have been shown to </w:t>
      </w:r>
      <w:r>
        <w:rPr>
          <w:rFonts w:ascii="Arial" w:hAnsi="Arial"/>
          <w:sz w:val="22"/>
          <w:szCs w:val="22"/>
          <w:rtl w:val="0"/>
          <w:lang w:val="en-US"/>
        </w:rPr>
        <w:t>integrate signals from, among several sources,</w:t>
      </w:r>
      <w:r>
        <w:rPr>
          <w:rFonts w:ascii="Arial" w:hAnsi="Arial"/>
          <w:sz w:val="22"/>
          <w:szCs w:val="22"/>
          <w:rtl w:val="0"/>
          <w:lang w:val="en-US"/>
        </w:rPr>
        <w:t xml:space="preserve"> environmental nutrient concentrations (Antunes, 2012; Fimlaid, 2013; Bouillaut, 2015; Donnelly, 2016).</w:t>
      </w:r>
      <w:r>
        <w:rPr>
          <w:rFonts w:ascii="Arial" w:hAnsi="Arial"/>
          <w:sz w:val="22"/>
          <w:szCs w:val="22"/>
          <w:rtl w:val="0"/>
          <w:lang w:val="en-US"/>
        </w:rPr>
        <w:t xml:space="preserve"> The t</w:t>
      </w:r>
      <w:r>
        <w:rPr>
          <w:rFonts w:ascii="Arial" w:hAnsi="Arial"/>
          <w:sz w:val="22"/>
          <w:szCs w:val="22"/>
          <w:rtl w:val="0"/>
          <w:lang w:val="en-US"/>
        </w:rPr>
        <w:t>ranscript</w:t>
      </w:r>
      <w:r>
        <w:rPr>
          <w:rFonts w:ascii="Arial" w:hAnsi="Arial"/>
          <w:sz w:val="22"/>
          <w:szCs w:val="22"/>
          <w:rtl w:val="0"/>
          <w:lang w:val="en-US"/>
        </w:rPr>
        <w:t>ion</w:t>
      </w:r>
      <w:r>
        <w:rPr>
          <w:rFonts w:ascii="Arial" w:hAnsi="Arial"/>
          <w:sz w:val="22"/>
          <w:szCs w:val="22"/>
          <w:rtl w:val="0"/>
          <w:lang w:val="en-US"/>
        </w:rPr>
        <w:t xml:space="preserve"> </w:t>
      </w:r>
      <w:r>
        <w:rPr>
          <w:rFonts w:ascii="Arial" w:hAnsi="Arial"/>
          <w:sz w:val="22"/>
          <w:szCs w:val="22"/>
          <w:rtl w:val="0"/>
          <w:lang w:val="en-US"/>
        </w:rPr>
        <w:t>of</w:t>
      </w:r>
      <w:r>
        <w:rPr>
          <w:rFonts w:ascii="Arial" w:hAnsi="Arial"/>
          <w:sz w:val="22"/>
          <w:szCs w:val="22"/>
          <w:rtl w:val="0"/>
          <w:lang w:val="en-US"/>
        </w:rPr>
        <w:t xml:space="preserve"> the global </w:t>
      </w:r>
      <w:r>
        <w:rPr>
          <w:rFonts w:ascii="Arial" w:hAnsi="Arial"/>
          <w:sz w:val="22"/>
          <w:szCs w:val="22"/>
          <w:rtl w:val="0"/>
          <w:lang w:val="en-US"/>
        </w:rPr>
        <w:t>repressor</w:t>
      </w:r>
      <w:r>
        <w:rPr>
          <w:rFonts w:ascii="Arial" w:hAnsi="Arial"/>
          <w:sz w:val="22"/>
          <w:szCs w:val="22"/>
          <w:rtl w:val="0"/>
          <w:lang w:val="en-US"/>
        </w:rPr>
        <w:t xml:space="preserve"> </w:t>
      </w:r>
      <w:r>
        <w:rPr>
          <w:rFonts w:ascii="Arial" w:hAnsi="Arial"/>
          <w:i w:val="1"/>
          <w:iCs w:val="1"/>
          <w:sz w:val="22"/>
          <w:szCs w:val="22"/>
          <w:rtl w:val="0"/>
          <w:lang w:val="en-US"/>
        </w:rPr>
        <w:t>codY</w:t>
      </w:r>
      <w:r>
        <w:rPr>
          <w:rFonts w:ascii="Arial" w:hAnsi="Arial"/>
          <w:sz w:val="22"/>
          <w:szCs w:val="22"/>
          <w:rtl w:val="0"/>
          <w:lang w:val="en-US"/>
        </w:rPr>
        <w:t xml:space="preserve"> </w:t>
      </w:r>
      <w:r>
        <w:rPr>
          <w:rFonts w:ascii="Arial" w:hAnsi="Arial"/>
          <w:sz w:val="22"/>
          <w:szCs w:val="22"/>
          <w:rtl w:val="0"/>
          <w:lang w:val="en-US"/>
        </w:rPr>
        <w:t xml:space="preserve">is responsive to intracellular concentrations of GTP and certain amino acids,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w:t>
      </w:r>
      <w:r>
        <w:rPr>
          <w:rFonts w:ascii="Arial" w:hAnsi="Arial"/>
          <w:sz w:val="22"/>
          <w:szCs w:val="22"/>
          <w:rtl w:val="0"/>
          <w:lang w:val="en-US"/>
        </w:rPr>
        <w:t>(Fig 3d)</w:t>
      </w:r>
      <w:r>
        <w:rPr>
          <w:rFonts w:ascii="Arial" w:hAnsi="Arial"/>
          <w:sz w:val="22"/>
          <w:szCs w:val="22"/>
          <w:rtl w:val="0"/>
          <w:lang w:val="en-US"/>
        </w:rPr>
        <w:t>. Highest transcription for this gene was found in cefoperazone-treated and germ free mice, the conditions with the lowest and highest median spore CFU loads respectively (Fig. 2b). E</w:t>
      </w:r>
      <w:r>
        <w:rPr>
          <w:rFonts w:ascii="Arial" w:hAnsi="Arial"/>
          <w:sz w:val="22"/>
          <w:szCs w:val="22"/>
          <w:rtl w:val="0"/>
          <w:lang w:val="en-US"/>
        </w:rPr>
        <w:t>xpression</w:t>
      </w:r>
      <w:r>
        <w:rPr>
          <w:rFonts w:ascii="Arial" w:hAnsi="Arial"/>
          <w:sz w:val="22"/>
          <w:szCs w:val="22"/>
          <w:rtl w:val="0"/>
          <w:lang w:val="en-US"/>
        </w:rPr>
        <w:t xml:space="preserve"> of </w:t>
      </w:r>
      <w:r>
        <w:rPr>
          <w:rFonts w:ascii="Arial" w:hAnsi="Arial"/>
          <w:i w:val="1"/>
          <w:iCs w:val="1"/>
          <w:sz w:val="22"/>
          <w:szCs w:val="22"/>
          <w:rtl w:val="0"/>
          <w:lang w:val="en-US"/>
        </w:rPr>
        <w:t>cc</w:t>
      </w:r>
      <w:r>
        <w:rPr>
          <w:rFonts w:ascii="Arial" w:hAnsi="Arial"/>
          <w:i w:val="1"/>
          <w:iCs w:val="1"/>
          <w:sz w:val="22"/>
          <w:szCs w:val="22"/>
          <w:rtl w:val="0"/>
          <w:lang w:val="en-US"/>
        </w:rPr>
        <w:t>pA</w:t>
      </w:r>
      <w:r>
        <w:rPr>
          <w:rFonts w:ascii="Arial" w:hAnsi="Arial"/>
          <w:sz w:val="22"/>
          <w:szCs w:val="22"/>
          <w:rtl w:val="0"/>
          <w:lang w:val="en-US"/>
        </w:rPr>
        <w:t xml:space="preserve"> is </w:t>
      </w:r>
      <w:r>
        <w:rPr>
          <w:rFonts w:ascii="Arial" w:hAnsi="Arial"/>
          <w:sz w:val="22"/>
          <w:szCs w:val="22"/>
          <w:rtl w:val="0"/>
          <w:lang w:val="en-US"/>
        </w:rPr>
        <w:t xml:space="preserve">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w:t>
      </w:r>
      <w:r>
        <w:rPr>
          <w:rFonts w:ascii="Arial" w:hAnsi="Arial"/>
          <w:sz w:val="22"/>
          <w:szCs w:val="22"/>
          <w:rtl w:val="0"/>
          <w:lang w:val="en-US"/>
        </w:rPr>
        <w:t xml:space="preserve">linked to local concentration </w:t>
      </w:r>
      <w:r>
        <w:rPr>
          <w:rFonts w:ascii="Arial" w:hAnsi="Arial"/>
          <w:sz w:val="22"/>
          <w:szCs w:val="22"/>
          <w:rtl w:val="0"/>
          <w:lang w:val="en-US"/>
        </w:rPr>
        <w:t xml:space="preserve">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3c), and </w:t>
      </w:r>
      <w:r>
        <w:rPr>
          <w:rFonts w:ascii="Arial" w:hAnsi="Arial"/>
          <w:i w:val="1"/>
          <w:iCs w:val="1"/>
          <w:sz w:val="22"/>
          <w:szCs w:val="22"/>
          <w:rtl w:val="0"/>
          <w:lang w:val="en-US"/>
        </w:rPr>
        <w:t>spoA0</w:t>
      </w:r>
      <w:r>
        <w:rPr>
          <w:rFonts w:ascii="Arial" w:hAnsi="Arial"/>
          <w:i w:val="1"/>
          <w:iCs w:val="1"/>
          <w:sz w:val="22"/>
          <w:szCs w:val="22"/>
          <w:rtl w:val="0"/>
          <w:lang w:val="en-US"/>
        </w:rPr>
        <w:t xml:space="preserve">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Transcripts for</w:t>
      </w:r>
      <w:r>
        <w:rPr>
          <w:rFonts w:ascii="Arial" w:hAnsi="Arial"/>
          <w:sz w:val="22"/>
          <w:szCs w:val="22"/>
          <w:rtl w:val="0"/>
          <w:lang w:val="en-US"/>
        </w:rPr>
        <w:t xml:space="preserve"> </w:t>
      </w:r>
      <w:r>
        <w:rPr>
          <w:rFonts w:ascii="Arial" w:hAnsi="Arial"/>
          <w:i w:val="1"/>
          <w:iCs w:val="1"/>
          <w:sz w:val="22"/>
          <w:szCs w:val="22"/>
          <w:rtl w:val="0"/>
          <w:lang w:val="en-US"/>
        </w:rPr>
        <w:t>spoA0</w:t>
      </w:r>
      <w:r>
        <w:rPr>
          <w:rFonts w:ascii="Arial" w:hAnsi="Arial"/>
          <w:sz w:val="22"/>
          <w:szCs w:val="22"/>
          <w:rtl w:val="0"/>
          <w:lang w:val="en-US"/>
        </w:rPr>
        <w:t xml:space="preserve"> </w:t>
      </w:r>
      <w:r>
        <w:rPr>
          <w:rFonts w:ascii="Arial" w:hAnsi="Arial"/>
          <w:sz w:val="22"/>
          <w:szCs w:val="22"/>
          <w:rtl w:val="0"/>
          <w:lang w:val="en-US"/>
        </w:rPr>
        <w:t xml:space="preserve">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 xml:space="preserve">-family of sigma factors are under the control of </w:t>
      </w:r>
      <w:r>
        <w:rPr>
          <w:rFonts w:ascii="Arial" w:hAnsi="Arial"/>
          <w:i w:val="1"/>
          <w:iCs w:val="1"/>
          <w:sz w:val="22"/>
          <w:szCs w:val="22"/>
          <w:rtl w:val="0"/>
          <w:lang w:val="en-US"/>
        </w:rPr>
        <w:t>spoA0</w:t>
      </w:r>
      <w:r>
        <w:rPr>
          <w:rFonts w:ascii="Arial" w:hAnsi="Arial"/>
          <w:sz w:val="22"/>
          <w:szCs w:val="22"/>
          <w:rtl w:val="0"/>
          <w:lang w:val="en-US"/>
        </w:rPr>
        <w:t xml:space="preserve"> and </w:t>
      </w:r>
      <w:r>
        <w:rPr>
          <w:rFonts w:ascii="Arial" w:hAnsi="Arial"/>
          <w:sz w:val="22"/>
          <w:szCs w:val="22"/>
          <w:rtl w:val="0"/>
          <w:lang w:val="en-US"/>
        </w:rPr>
        <w:t>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different pattern of expression between conditions. These results indicate that complete expression of sporulation likely integrates multiple levels of signaling and is more complex than a single metabolic switch. In addition to its effects on sporulation and virulence, CcpA also regulates the expression of other sigma factors that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w:t>
      </w:r>
      <w:r>
        <w:rPr>
          <w:rFonts w:ascii="Arial" w:hAnsi="Arial"/>
          <w:sz w:val="22"/>
          <w:szCs w:val="22"/>
          <w:rtl w:val="0"/>
          <w:lang w:val="en-US"/>
        </w:rPr>
        <w:t xml:space="preserve">(fermentation) and </w:t>
      </w:r>
      <w:r>
        <w:rPr>
          <w:rFonts w:ascii="Arial" w:hAnsi="Arial"/>
          <w:i w:val="1"/>
          <w:iCs w:val="1"/>
          <w:sz w:val="22"/>
          <w:szCs w:val="22"/>
          <w:rtl w:val="0"/>
          <w:lang w:val="en-US"/>
        </w:rPr>
        <w:t>p</w:t>
      </w:r>
      <w:r>
        <w:rPr>
          <w:rFonts w:ascii="Arial" w:hAnsi="Arial"/>
          <w:i w:val="1"/>
          <w:iCs w:val="1"/>
          <w:sz w:val="22"/>
          <w:szCs w:val="22"/>
          <w:rtl w:val="0"/>
          <w:lang w:val="en-US"/>
        </w:rPr>
        <w:t>rd</w:t>
      </w:r>
      <w:r>
        <w:rPr>
          <w:rFonts w:ascii="Arial" w:hAnsi="Arial"/>
          <w:i w:val="1"/>
          <w:iCs w:val="1"/>
          <w:sz w:val="22"/>
          <w:szCs w:val="22"/>
          <w:rtl w:val="0"/>
          <w:lang w:val="en-US"/>
        </w:rPr>
        <w:t>R</w:t>
      </w:r>
      <w:r>
        <w:rPr>
          <w:rFonts w:ascii="Arial" w:hAnsi="Arial"/>
          <w:sz w:val="22"/>
          <w:szCs w:val="22"/>
          <w:rtl w:val="0"/>
          <w:lang w:val="en-US"/>
        </w:rPr>
        <w:t xml:space="preserve"> </w:t>
      </w:r>
      <w:r>
        <w:rPr>
          <w:rFonts w:ascii="Arial" w:hAnsi="Arial"/>
          <w:sz w:val="22"/>
          <w:szCs w:val="22"/>
          <w:rtl w:val="0"/>
          <w:lang w:val="en-US"/>
        </w:rPr>
        <w:t xml:space="preserve">(amino acid catabolism). Low-level transcription of </w:t>
      </w:r>
      <w:r>
        <w:rPr>
          <w:rFonts w:ascii="Arial" w:hAnsi="Arial"/>
          <w:i w:val="1"/>
          <w:iCs w:val="1"/>
          <w:sz w:val="22"/>
          <w:szCs w:val="22"/>
          <w:rtl w:val="0"/>
          <w:lang w:val="en-US"/>
        </w:rPr>
        <w:t>prdR</w:t>
      </w:r>
      <w:r>
        <w:rPr>
          <w:rFonts w:ascii="Arial" w:hAnsi="Arial"/>
          <w:sz w:val="22"/>
          <w:szCs w:val="22"/>
          <w:rtl w:val="0"/>
          <w:lang w:val="en-US"/>
        </w:rPr>
        <w:t xml:space="preserve"> </w:t>
      </w:r>
      <w:r>
        <w:rPr>
          <w:rFonts w:ascii="Arial" w:hAnsi="Arial"/>
          <w:sz w:val="22"/>
          <w:szCs w:val="22"/>
          <w:rtl w:val="0"/>
          <w:lang w:val="en-US"/>
        </w:rPr>
        <w:t xml:space="preserve">was found across all conditions, however </w:t>
      </w:r>
      <w:r>
        <w:rPr>
          <w:rFonts w:ascii="Arial" w:hAnsi="Arial"/>
          <w:i w:val="1"/>
          <w:iCs w:val="1"/>
          <w:sz w:val="22"/>
          <w:szCs w:val="22"/>
          <w:rtl w:val="0"/>
          <w:lang w:val="en-US"/>
        </w:rPr>
        <w:t>rex</w:t>
      </w:r>
      <w:r>
        <w:rPr>
          <w:rFonts w:ascii="Arial" w:hAnsi="Arial"/>
          <w:sz w:val="22"/>
          <w:szCs w:val="22"/>
          <w:rtl w:val="0"/>
          <w:lang w:val="en-US"/>
        </w:rPr>
        <w:t xml:space="preserve"> expression is highly detectable in both cefoperazone-treated and germ free mice with modest expression in streptomycin-treated mice. Combined, the variable expression of these sigma factors</w:t>
      </w:r>
      <w:r>
        <w:rPr>
          <w:rFonts w:ascii="Arial" w:hAnsi="Arial"/>
          <w:sz w:val="22"/>
          <w:szCs w:val="22"/>
          <w:rtl w:val="0"/>
          <w:lang w:val="en-US"/>
        </w:rPr>
        <w:t xml:space="preserve"> support the hypothesis that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adapt</w:t>
      </w:r>
      <w:r>
        <w:rPr>
          <w:rFonts w:ascii="Arial" w:hAnsi="Arial"/>
          <w:sz w:val="22"/>
          <w:szCs w:val="22"/>
          <w:rtl w:val="0"/>
          <w:lang w:val="en-US"/>
        </w:rPr>
        <w:t>s</w:t>
      </w:r>
      <w:r>
        <w:rPr>
          <w:rFonts w:ascii="Arial" w:hAnsi="Arial"/>
          <w:sz w:val="22"/>
          <w:szCs w:val="22"/>
          <w:rtl w:val="0"/>
          <w:lang w:val="en-US"/>
        </w:rPr>
        <w:t xml:space="preserve"> </w:t>
      </w:r>
      <w:r>
        <w:rPr>
          <w:rFonts w:ascii="Arial" w:hAnsi="Arial"/>
          <w:sz w:val="22"/>
          <w:szCs w:val="22"/>
          <w:rtl w:val="0"/>
          <w:lang w:val="en-US"/>
        </w:rPr>
        <w:t>expression of different aspects of its</w:t>
      </w:r>
      <w:r>
        <w:rPr>
          <w:rFonts w:ascii="Arial" w:hAnsi="Arial"/>
          <w:sz w:val="22"/>
          <w:szCs w:val="22"/>
          <w:rtl w:val="0"/>
          <w:lang w:val="en-US"/>
        </w:rPr>
        <w:t xml:space="preserve"> metabolism </w:t>
      </w:r>
      <w:r>
        <w:rPr>
          <w:rFonts w:ascii="Arial" w:hAnsi="Arial"/>
          <w:sz w:val="22"/>
          <w:szCs w:val="22"/>
          <w:rtl w:val="0"/>
          <w:lang w:val="en-US"/>
        </w:rPr>
        <w:t>between colonized environments</w:t>
      </w:r>
      <w:r>
        <w:rPr>
          <w:rFonts w:ascii="Arial" w:hAnsi="Arial"/>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but differential expression of genes under the control of specific nutrient concentrations in antibiotic-treated animals suggests that </w:t>
      </w:r>
      <w:r>
        <w:rPr>
          <w:rFonts w:ascii="Arial" w:hAnsi="Arial"/>
          <w:i w:val="1"/>
          <w:iCs w:val="1"/>
          <w:sz w:val="22"/>
          <w:szCs w:val="22"/>
          <w:rtl w:val="0"/>
          <w:lang w:val="en-US"/>
        </w:rPr>
        <w:t>C. difficile</w:t>
      </w:r>
      <w:r>
        <w:rPr>
          <w:rFonts w:ascii="Arial" w:hAnsi="Arial"/>
          <w:sz w:val="22"/>
          <w:szCs w:val="22"/>
          <w:rtl w:val="0"/>
          <w:lang w:val="en-US"/>
        </w:rPr>
        <w:t xml:space="preserve"> is adapting differently to each environment when in competition with the resident microbiota. To test this further, we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quantified the differential expression of genes in each gene set (Fig. 4a). Among the genes classified as sugar transporters, those that are PTS transporters (Fig. 4b) were overrepresented in both clindamycin and streptomycin-treated mice, and ABC sugar transporters (Fig. 4c) were overrepresented in the cefoparazone-treated mice. Sugar alcohol catabolism genes were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w:t>
      </w:r>
      <w:r>
        <w:rPr>
          <w:rtl w:val="0"/>
          <w:lang w:val="en-US"/>
        </w:rPr>
        <w:t xml:space="preserve"> </w:t>
      </w:r>
      <w:r>
        <w:rPr>
          <w:rFonts w:ascii="Arial" w:hAnsi="Arial"/>
          <w:sz w:val="22"/>
          <w:szCs w:val="22"/>
          <w:rtl w:val="0"/>
          <w:lang w:val="en-US"/>
        </w:rPr>
        <w:t>(Fig. 4d). Monosaccharide catabolism includes genes for the steps involved in glycolysis as well as several genes that mediate entry points of a number of monosaccharides to this pathway</w:t>
      </w:r>
      <w:r>
        <w:rPr>
          <w:rtl w:val="0"/>
          <w:lang w:val="en-US"/>
        </w:rPr>
        <w:t xml:space="preserve"> </w:t>
      </w:r>
      <w:r>
        <w:rPr>
          <w:rFonts w:ascii="Arial" w:hAnsi="Arial"/>
          <w:sz w:val="22"/>
          <w:szCs w:val="22"/>
          <w:rtl w:val="0"/>
          <w:lang w:val="en-US"/>
        </w:rPr>
        <w:t>(Fig. 4e). Transcripts for several genes in glycolysis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and catalyzes the committed step of glycolysis.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under different conditions</w:t>
      </w:r>
      <w:r>
        <w:rPr>
          <w:rtl w:val="0"/>
          <w:lang w:val="en-US"/>
        </w:rPr>
        <w:t xml:space="preserve"> </w:t>
      </w:r>
      <w:r>
        <w:rPr>
          <w:rFonts w:ascii="Arial" w:hAnsi="Arial"/>
          <w:sz w:val="22"/>
          <w:szCs w:val="22"/>
          <w:rtl w:val="0"/>
          <w:lang w:val="en-US"/>
        </w:rPr>
        <w:t xml:space="preserve">(Fig. 4f).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1"/>
      <w:r>
        <w:rPr>
          <w:rFonts w:ascii="Arial" w:hAnsi="Arial"/>
          <w:i w:val="1"/>
          <w:iCs w:val="1"/>
          <w:sz w:val="22"/>
          <w:szCs w:val="22"/>
          <w:rtl w:val="0"/>
          <w:lang w:val="en-US"/>
        </w:rPr>
        <w:t>adhE</w:t>
      </w:r>
      <w:bookmarkEnd w:id="1"/>
      <w:r>
        <w:rPr>
          <w:rFonts w:ascii="Arial" w:hAnsi="Arial"/>
          <w:sz w:val="22"/>
          <w:szCs w:val="22"/>
          <w:rtl w:val="0"/>
          <w:lang w:val="en-US"/>
        </w:rPr>
        <w:t>) in addition to those for common plant polysaccharide degradation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xml:space="preserve">) were overrepresented in clindamycin-treated mice (Fig. 4g).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simple sugars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and may be expressed under any conditions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w:t>
      </w:r>
      <w:r>
        <w:rPr>
          <w:rFonts w:ascii="Arial" w:hAnsi="Arial"/>
          <w:sz w:val="22"/>
          <w:szCs w:val="22"/>
          <w:shd w:val="clear" w:color="auto" w:fill="ffffff"/>
          <w:rtl w:val="0"/>
          <w:lang w:val="en-US"/>
        </w:rPr>
        <w:t xml:space="preserve">,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C. difficile</w:t>
      </w:r>
      <w:r>
        <w:rPr>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w:t>
      </w:r>
      <w:r>
        <w:rPr>
          <w:rFonts w:ascii="Arial" w:hAnsi="Arial"/>
          <w:sz w:val="22"/>
          <w:szCs w:val="22"/>
          <w:rtl w:val="0"/>
          <w:lang w:val="en-US"/>
        </w:rPr>
        <w:t>b</w:t>
      </w:r>
      <w:r>
        <w:rPr>
          <w:rFonts w:ascii="Arial" w:hAnsi="Arial"/>
          <w:sz w:val="22"/>
          <w:szCs w:val="22"/>
          <w:rtl w:val="0"/>
          <w:lang w:val="en-US"/>
        </w:rPr>
        <w:t xml:space="preserve">).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w:t>
      </w:r>
      <w:r>
        <w:rPr>
          <w:rFonts w:ascii="Arial" w:hAnsi="Arial"/>
          <w:sz w:val="22"/>
          <w:szCs w:val="22"/>
          <w:rtl w:val="0"/>
          <w:lang w:val="en-US"/>
        </w:rPr>
        <w:t xml:space="preserve">it </w:t>
      </w:r>
      <w:r>
        <w:rPr>
          <w:rFonts w:ascii="Arial" w:hAnsi="Arial"/>
          <w:sz w:val="22"/>
          <w:szCs w:val="22"/>
          <w:rtl w:val="0"/>
          <w:lang w:val="en-US"/>
        </w:rPr>
        <w:t xml:space="preserve">has been shown </w:t>
      </w:r>
      <w:r>
        <w:rPr>
          <w:rFonts w:ascii="Arial" w:hAnsi="Arial"/>
          <w:sz w:val="22"/>
          <w:szCs w:val="22"/>
          <w:rtl w:val="0"/>
          <w:lang w:val="en-US"/>
        </w:rPr>
        <w:t xml:space="preserve">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Stickland fermentation and metabolizes it effectively to utilize in glycolysis </w:t>
      </w:r>
      <w:r>
        <w:rPr>
          <w:rFonts w:ascii="Arial" w:hAnsi="Arial"/>
          <w:sz w:val="22"/>
          <w:szCs w:val="22"/>
          <w:rtl w:val="0"/>
          <w:lang w:val="en-US"/>
        </w:rPr>
        <w:t>(</w:t>
      </w:r>
      <w:r>
        <w:rPr>
          <w:rFonts w:ascii="Arial" w:hAnsi="Arial"/>
          <w:sz w:val="22"/>
          <w:szCs w:val="22"/>
          <w:rtl w:val="0"/>
          <w:lang w:val="en-US"/>
        </w:rPr>
        <w:t>Karlsson, 2008</w:t>
      </w:r>
      <w:r>
        <w:rPr>
          <w:rFonts w:ascii="Arial" w:hAnsi="Arial"/>
          <w:sz w:val="22"/>
          <w:szCs w:val="22"/>
          <w:rtl w:val="0"/>
          <w:lang w:val="en-US"/>
        </w:rPr>
        <w:t>).</w:t>
      </w:r>
      <w:r>
        <w:rPr>
          <w:rFonts w:ascii="Arial" w:hAnsi="Arial"/>
          <w:sz w:val="22"/>
          <w:szCs w:val="22"/>
          <w:rtl w:val="0"/>
          <w:lang w:val="en-US"/>
        </w:rPr>
        <w:t xml:space="preserve"> </w:t>
      </w:r>
      <w:r>
        <w:rPr>
          <w:rFonts w:ascii="Arial" w:hAnsi="Arial"/>
          <w:sz w:val="22"/>
          <w:szCs w:val="22"/>
          <w:rtl w:val="0"/>
          <w:lang w:val="en-US"/>
        </w:rPr>
        <w:t xml:space="preserve">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w:t>
      </w:r>
      <w:r>
        <w:rPr>
          <w:rFonts w:ascii="Arial" w:hAnsi="Arial"/>
          <w:sz w:val="22"/>
          <w:szCs w:val="22"/>
          <w:rtl w:val="0"/>
          <w:lang w:val="en-US"/>
        </w:rPr>
        <w:t>a</w:t>
      </w:r>
      <w:r>
        <w:rPr>
          <w:rFonts w:ascii="Arial" w:hAnsi="Arial"/>
          <w:sz w:val="22"/>
          <w:szCs w:val="22"/>
          <w:rtl w:val="0"/>
          <w:lang w:val="en-US"/>
        </w:rPr>
        <w:t xml:space="preserve">)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from each treatment group to uncover patterns of unique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(Fig. 5</w:t>
      </w:r>
      <w:r>
        <w:rPr>
          <w:rFonts w:ascii="Arial" w:hAnsi="Arial"/>
          <w:sz w:val="22"/>
          <w:szCs w:val="22"/>
          <w:rtl w:val="0"/>
          <w:lang w:val="en-US"/>
        </w:rPr>
        <w:t>c</w:t>
      </w:r>
      <w:r>
        <w:rPr>
          <w:rFonts w:ascii="Arial" w:hAnsi="Arial"/>
          <w:sz w:val="22"/>
          <w:szCs w:val="22"/>
          <w:rtl w:val="0"/>
          <w:lang w:val="en-US"/>
        </w:rPr>
        <w:t xml:space="preserve">).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C. difficile</w:t>
      </w:r>
      <w:r>
        <w:rPr>
          <w:rFonts w:ascii="Arial" w:hAnsi="Arial"/>
          <w:sz w:val="22"/>
          <w:szCs w:val="22"/>
          <w:rtl w:val="0"/>
          <w:lang w:val="en-US"/>
        </w:rPr>
        <w:t xml:space="preserve">. This included D-fructose, mannitol, N-acetylneuraminic acid, salicin, and D-sorbitol (Ng, 2013; Theriot, 2014).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networks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w:t>
      </w:r>
      <w:r>
        <w:rPr>
          <w:rFonts w:ascii="Arial" w:hAnsi="Arial"/>
          <w:sz w:val="22"/>
          <w:szCs w:val="22"/>
          <w:rtl w:val="0"/>
          <w:lang w:val="en-US"/>
        </w:rPr>
        <w:t>d</w:t>
      </w:r>
      <w:r>
        <w:rPr>
          <w:rFonts w:ascii="Arial" w:hAnsi="Arial"/>
          <w:sz w:val="22"/>
          <w:szCs w:val="22"/>
          <w:rtl w:val="0"/>
          <w:lang w:val="en-US"/>
        </w:rPr>
        <w:t>). This included D-fructose (</w:t>
      </w:r>
      <w:r>
        <w:rPr>
          <w:rFonts w:ascii="Arial" w:hAnsi="Arial"/>
          <w:sz w:val="22"/>
          <w:szCs w:val="22"/>
          <w:rtl w:val="0"/>
          <w:lang w:val="en-US"/>
        </w:rPr>
        <w:t>s</w:t>
      </w:r>
      <w:r>
        <w:rPr>
          <w:rFonts w:ascii="Arial" w:hAnsi="Arial"/>
          <w:sz w:val="22"/>
          <w:szCs w:val="22"/>
          <w:rtl w:val="0"/>
          <w:lang w:val="en-US"/>
        </w:rPr>
        <w:t>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w:t>
      </w:r>
      <w:r>
        <w:rPr>
          <w:rFonts w:ascii="Arial" w:hAnsi="Arial"/>
          <w:sz w:val="22"/>
          <w:szCs w:val="22"/>
          <w:rtl w:val="0"/>
          <w:lang w:val="en-US"/>
        </w:rPr>
        <w:t>c</w:t>
      </w:r>
      <w:r>
        <w:rPr>
          <w:rFonts w:ascii="Arial" w:hAnsi="Arial"/>
          <w:sz w:val="22"/>
          <w:szCs w:val="22"/>
          <w:rtl w:val="0"/>
          <w:lang w:val="en-US"/>
        </w:rPr>
        <w:t>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w:t>
      </w:r>
      <w:r>
        <w:rPr>
          <w:rFonts w:ascii="Arial" w:hAnsi="Arial"/>
          <w:sz w:val="22"/>
          <w:szCs w:val="22"/>
          <w:rtl w:val="0"/>
          <w:lang w:val="en-US"/>
        </w:rPr>
        <w:t>c</w:t>
      </w:r>
      <w:r>
        <w:rPr>
          <w:rFonts w:ascii="Arial" w:hAnsi="Arial"/>
          <w:sz w:val="22"/>
          <w:szCs w:val="22"/>
          <w:rtl w:val="0"/>
          <w:lang w:val="en-US"/>
        </w:rPr>
        <w:t>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w:t>
      </w:r>
      <w:r>
        <w:rPr>
          <w:rFonts w:ascii="Arial" w:hAnsi="Arial"/>
          <w:sz w:val="22"/>
          <w:szCs w:val="22"/>
          <w:rtl w:val="0"/>
          <w:lang w:val="en-US"/>
        </w:rPr>
        <w:t>g</w:t>
      </w:r>
      <w:r>
        <w:rPr>
          <w:rFonts w:ascii="Arial" w:hAnsi="Arial"/>
          <w:sz w:val="22"/>
          <w:szCs w:val="22"/>
          <w:rtl w:val="0"/>
          <w:lang w:val="en-US"/>
        </w:rPr>
        <w:t>erm</w:t>
      </w:r>
      <w:r>
        <w:rPr>
          <w:rFonts w:ascii="Arial" w:hAnsi="Arial"/>
          <w:sz w:val="22"/>
          <w:szCs w:val="22"/>
          <w:rtl w:val="0"/>
          <w:lang w:val="en-US"/>
        </w:rPr>
        <w:t xml:space="preserve"> </w:t>
      </w:r>
      <w:r>
        <w:rPr>
          <w:rFonts w:ascii="Arial" w:hAnsi="Arial"/>
          <w:sz w:val="22"/>
          <w:szCs w:val="22"/>
          <w:rtl w:val="0"/>
          <w:lang w:val="en-US"/>
        </w:rPr>
        <w:t>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plays a role in which carbon source C. difficile metabolizes at a given time, we also grew C. difficile str. 630 in combinations of carbon sources from Fig. 5d.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J., Clare, S., Goulding, D., Faulds-Pain, A., Barquist, L., Browne, H. P., </w:t>
      </w:r>
      <w:r>
        <w:rPr>
          <w:rStyle w:val="None"/>
          <w:rFonts w:ascii="Arial" w:hAnsi="Arial"/>
          <w:sz w:val="18"/>
          <w:szCs w:val="18"/>
          <w:rtl w:val="0"/>
          <w:lang w:val="en-US"/>
        </w:rPr>
        <w:t>&amp;</w:t>
      </w:r>
      <w:r>
        <w:rPr>
          <w:rStyle w:val="None"/>
          <w:rFonts w:ascii="Arial" w:hAnsi="Arial"/>
          <w:sz w:val="18"/>
          <w:szCs w:val="18"/>
          <w:rtl w:val="0"/>
          <w:lang w:val="en-US"/>
        </w:rPr>
        <w:t xml:space="preserve">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