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color="2c2d30"/>
          <w:rtl w:val="0"/>
          <w:lang w:val="en-US"/>
        </w:rPr>
        <w:t>Clostridium difficile</w:t>
      </w:r>
      <w:r>
        <w:rPr>
          <w:rFonts w:ascii="Arial" w:hAnsi="Arial"/>
          <w:color w:val="2c2d30"/>
          <w:sz w:val="22"/>
          <w:szCs w:val="22"/>
          <w:u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shd w:val="clear" w:color="auto" w:fill="00ffff"/>
          <w:rtl w:val="0"/>
          <w:lang w:val="en-US"/>
        </w:rPr>
        <w:t>C. difficile</w:t>
      </w:r>
      <w:r>
        <w:rPr>
          <w:rFonts w:ascii="Arial" w:hAnsi="Arial"/>
          <w:b w:val="1"/>
          <w:bCs w:val="1"/>
          <w:sz w:val="22"/>
          <w:szCs w:val="22"/>
          <w:shd w:val="clear" w:color="auto" w:fill="00ffff"/>
          <w:rtl w:val="0"/>
          <w:lang w:val="en-US"/>
        </w:rPr>
        <w:t xml:space="preserve"> </w:t>
      </w:r>
      <w:r>
        <w:rPr>
          <w:rFonts w:ascii="Arial" w:hAnsi="Arial"/>
          <w:b w:val="1"/>
          <w:bCs w:val="1"/>
          <w:sz w:val="22"/>
          <w:szCs w:val="22"/>
          <w:shd w:val="clear" w:color="auto" w:fill="00ffff"/>
          <w:rtl w:val="0"/>
          <w:lang w:val="en-US"/>
        </w:rPr>
        <w:t>adapts</w:t>
      </w:r>
      <w:r>
        <w:rPr>
          <w:rFonts w:ascii="Arial" w:hAnsi="Arial"/>
          <w:b w:val="1"/>
          <w:bCs w:val="1"/>
          <w:sz w:val="22"/>
          <w:szCs w:val="22"/>
          <w:shd w:val="clear" w:color="auto" w:fill="00ffff"/>
          <w:rtl w:val="0"/>
          <w:lang w:val="en-US"/>
        </w:rPr>
        <w:t xml:space="preserve"> expression genes for </w:t>
      </w:r>
      <w:r>
        <w:rPr>
          <w:rFonts w:ascii="Arial" w:hAnsi="Arial"/>
          <w:b w:val="1"/>
          <w:bCs w:val="1"/>
          <w:sz w:val="22"/>
          <w:szCs w:val="22"/>
          <w:shd w:val="clear" w:color="auto" w:fill="00ffff"/>
          <w:rtl w:val="0"/>
          <w:lang w:val="en-US"/>
        </w:rPr>
        <w:t xml:space="preserve">key </w:t>
      </w:r>
      <w:r>
        <w:rPr>
          <w:rFonts w:ascii="Arial" w:hAnsi="Arial"/>
          <w:b w:val="1"/>
          <w:bCs w:val="1"/>
          <w:sz w:val="22"/>
          <w:szCs w:val="22"/>
          <w:shd w:val="clear" w:color="auto" w:fill="00ffff"/>
          <w:rtl w:val="0"/>
          <w:lang w:val="en-US"/>
        </w:rPr>
        <w:t xml:space="preserve">sigma factors </w:t>
      </w:r>
      <w:r>
        <w:rPr>
          <w:rFonts w:ascii="Arial" w:hAnsi="Arial"/>
          <w:b w:val="1"/>
          <w:bCs w:val="1"/>
          <w:sz w:val="22"/>
          <w:szCs w:val="22"/>
          <w:shd w:val="clear" w:color="auto" w:fill="00ffff"/>
          <w:rtl w:val="0"/>
          <w:lang w:val="en-US"/>
        </w:rPr>
        <w:t>that control</w:t>
      </w:r>
      <w:r>
        <w:rPr>
          <w:rFonts w:ascii="Arial" w:hAnsi="Arial"/>
          <w:b w:val="1"/>
          <w:bCs w:val="1"/>
          <w:sz w:val="22"/>
          <w:szCs w:val="22"/>
          <w:shd w:val="clear" w:color="auto" w:fill="00ffff"/>
          <w:rtl w:val="0"/>
          <w:lang w:val="en-US"/>
        </w:rPr>
        <w:t xml:space="preserve"> metabolism and pathogenesis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Fonts w:ascii="Arial" w:cs="Arial" w:hAnsi="Arial" w:eastAsia="Arial"/>
          <w:sz w:val="22"/>
          <w:szCs w:val="22"/>
        </w:rPr>
      </w:pPr>
      <w:r>
        <w:rPr>
          <w:rFonts w:ascii="Arial" w:hAnsi="Arial"/>
          <w:i w:val="1"/>
          <w:iCs w:val="1"/>
          <w:sz w:val="22"/>
          <w:szCs w:val="22"/>
          <w:rtl w:val="0"/>
          <w:lang w:val="en-US"/>
        </w:rPr>
        <w:t>C. difficile</w:t>
      </w:r>
      <w:r>
        <w:rPr>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expressed in each condition, despite apparent differences in toxin and spore production (Fig. 3A).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toxin production and sporulation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 xml:space="preserve">sigK, which are involved in sporulation and </w:t>
      </w:r>
      <w:r>
        <w:rPr>
          <w:rFonts w:ascii="Arial" w:hAnsi="Arial"/>
          <w:sz w:val="22"/>
          <w:szCs w:val="22"/>
          <w:rtl w:val="0"/>
          <w:lang w:val="en-US"/>
        </w:rPr>
        <w:t>were approximately 10-fold less expressed in cefoperazone than the others. This agrees with the measured differences in CFU due to spores (Fig. 2B)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3B).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r>
        <w:rPr>
          <w:rFonts w:ascii="Arial" w:hAnsi="Arial"/>
          <w:sz w:val="22"/>
          <w:szCs w:val="22"/>
          <w:rtl w:val="0"/>
          <w:lang w:val="en-US"/>
        </w:rPr>
        <w:t xml:space="preserve"> </w:t>
      </w:r>
      <w:r>
        <w:rPr>
          <w:rFonts w:ascii="Arial" w:hAnsi="Arial"/>
          <w:sz w:val="22"/>
          <w:szCs w:val="22"/>
          <w:rtl w:val="0"/>
          <w:lang w:val="en-US"/>
        </w:rPr>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3C).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the context of similar colonization, spore, and toxin levels, differential expression of genes for sigma factors and sporulation suggest that </w:t>
      </w:r>
      <w:r>
        <w:rPr>
          <w:rFonts w:ascii="Arial" w:hAnsi="Arial"/>
          <w:i w:val="1"/>
          <w:iCs w:val="1"/>
          <w:sz w:val="22"/>
          <w:szCs w:val="22"/>
          <w:rtl w:val="0"/>
          <w:lang w:val="en-US"/>
        </w:rPr>
        <w:t>C. difficile</w:t>
      </w:r>
      <w:r>
        <w:rPr>
          <w:rFonts w:ascii="Arial" w:hAnsi="Arial"/>
          <w:sz w:val="22"/>
          <w:szCs w:val="22"/>
          <w:rtl w:val="0"/>
          <w:lang w:val="en-US"/>
        </w:rPr>
        <w:t xml:space="preserve"> is adapting to environmental nutrient concentrations. To test this further, we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4H) were overrepresented in the clinda and strep-treated mice and ABC sugar transporters (Fig. 4I) were overrepresented in the cef-treated mice. Further differences in carbohydrate metabolism were visible when comparing the polysaccharide catabolism expression set (Fig. 4D) with genes associated with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being overrepresented in the clinda</w:t>
      </w:r>
      <w:r>
        <w:rPr>
          <w:rFonts w:ascii="Arial" w:hAnsi="Arial"/>
          <w:sz w:val="22"/>
          <w:szCs w:val="22"/>
          <w:rtl w:val="0"/>
          <w:lang w:val="en-US"/>
        </w:rPr>
        <w:t>mycin</w:t>
      </w:r>
      <w:r>
        <w:rPr>
          <w:rFonts w:ascii="Arial" w:hAnsi="Arial"/>
          <w:sz w:val="22"/>
          <w:szCs w:val="22"/>
          <w:rtl w:val="0"/>
          <w:lang w:val="en-US"/>
        </w:rPr>
        <w:t>-treated mice. Sugar alcohol catabolism genes were absent from clinda</w:t>
      </w:r>
      <w:r>
        <w:rPr>
          <w:rFonts w:ascii="Arial" w:hAnsi="Arial"/>
          <w:sz w:val="22"/>
          <w:szCs w:val="22"/>
          <w:rtl w:val="0"/>
          <w:lang w:val="en-US"/>
        </w:rPr>
        <w:t>mycin</w:t>
      </w:r>
      <w:r>
        <w:rPr>
          <w:rFonts w:ascii="Arial" w:hAnsi="Arial"/>
          <w:sz w:val="22"/>
          <w:szCs w:val="22"/>
          <w:rtl w:val="0"/>
          <w:lang w:val="en-US"/>
        </w:rPr>
        <w:t>-treated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w:t>
      </w:r>
      <w:r>
        <w:rPr>
          <w:rFonts w:ascii="Arial" w:hAnsi="Arial"/>
          <w:sz w:val="22"/>
          <w:szCs w:val="22"/>
          <w:rtl w:val="0"/>
          <w:lang w:val="en-US"/>
        </w:rPr>
        <w:t>o</w:t>
      </w:r>
      <w:r>
        <w:rPr>
          <w:rFonts w:ascii="Arial" w:hAnsi="Arial"/>
          <w:sz w:val="22"/>
          <w:szCs w:val="22"/>
          <w:rtl w:val="0"/>
          <w:lang w:val="en-US"/>
        </w:rPr>
        <w:t>par</w:t>
      </w:r>
      <w:r>
        <w:rPr>
          <w:rFonts w:ascii="Arial" w:hAnsi="Arial"/>
          <w:sz w:val="22"/>
          <w:szCs w:val="22"/>
          <w:rtl w:val="0"/>
          <w:lang w:val="en-US"/>
        </w:rPr>
        <w:t>a</w:t>
      </w:r>
      <w:r>
        <w:rPr>
          <w:rFonts w:ascii="Arial" w:hAnsi="Arial"/>
          <w:sz w:val="22"/>
          <w:szCs w:val="22"/>
          <w:rtl w:val="0"/>
          <w:lang w:val="en-US"/>
        </w:rPr>
        <w:t>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Conversely, the expression of genes associated with amino acid catabolism were consistently expressed at relatively equal levels across the conditions (Fig. 4F). Short chain fatty acids (SCFAs) are the product of </w:t>
      </w:r>
      <w:r>
        <w:rPr>
          <w:rFonts w:ascii="Arial" w:hAnsi="Arial"/>
          <w:sz w:val="22"/>
          <w:szCs w:val="22"/>
          <w:rtl w:val="0"/>
          <w:lang w:val="en-US"/>
        </w:rPr>
        <w:t xml:space="preserve">both </w:t>
      </w:r>
      <w:r>
        <w:rPr>
          <w:rFonts w:ascii="Arial" w:hAnsi="Arial"/>
          <w:sz w:val="22"/>
          <w:szCs w:val="22"/>
          <w:rtl w:val="0"/>
          <w:lang w:val="en-US"/>
        </w:rPr>
        <w:t xml:space="preserve">amino acid and carbohydrate fermentation in </w:t>
      </w:r>
      <w:r>
        <w:rPr>
          <w:rFonts w:ascii="Arial" w:hAnsi="Arial"/>
          <w:i w:val="1"/>
          <w:iCs w:val="1"/>
          <w:sz w:val="22"/>
          <w:szCs w:val="22"/>
          <w:rtl w:val="0"/>
          <w:lang w:val="en-US"/>
        </w:rPr>
        <w:t>C. difficile</w:t>
      </w:r>
      <w:r>
        <w:rPr>
          <w:rFonts w:ascii="Arial" w:hAnsi="Arial"/>
          <w:sz w:val="22"/>
          <w:szCs w:val="22"/>
          <w:rtl w:val="0"/>
          <w:lang w:val="en-US"/>
        </w:rPr>
        <w:t>. Gene for XXXX were overrepresented in clinda</w:t>
      </w:r>
      <w:r>
        <w:rPr>
          <w:rFonts w:ascii="Arial" w:hAnsi="Arial"/>
          <w:sz w:val="22"/>
          <w:szCs w:val="22"/>
          <w:rtl w:val="0"/>
          <w:lang w:val="en-US"/>
        </w:rPr>
        <w:t>mycin</w:t>
      </w:r>
      <w:r>
        <w:rPr>
          <w:rFonts w:ascii="Arial" w:hAnsi="Arial"/>
          <w:sz w:val="22"/>
          <w:szCs w:val="22"/>
          <w:rtl w:val="0"/>
          <w:lang w:val="en-US"/>
        </w:rPr>
        <w:t>-treated mice, while a gene for XXXX was not expressed in clinda</w:t>
      </w:r>
      <w:r>
        <w:rPr>
          <w:rFonts w:ascii="Arial" w:hAnsi="Arial"/>
          <w:sz w:val="22"/>
          <w:szCs w:val="22"/>
          <w:rtl w:val="0"/>
          <w:lang w:val="en-US"/>
        </w:rPr>
        <w:t>mycin</w:t>
      </w:r>
      <w:r>
        <w:rPr>
          <w:rFonts w:ascii="Arial" w:hAnsi="Arial"/>
          <w:sz w:val="22"/>
          <w:szCs w:val="22"/>
          <w:rtl w:val="0"/>
          <w:lang w:val="en-US"/>
        </w:rPr>
        <w:t>-treated mice.</w:t>
      </w:r>
      <w:r>
        <w:rPr>
          <w:rFonts w:ascii="Arial" w:hAnsi="Arial"/>
          <w:sz w:val="22"/>
          <w:szCs w:val="22"/>
          <w:rtl w:val="0"/>
          <w:lang w:val="en-US"/>
        </w:rPr>
        <w:t xml:space="preserve"> </w:t>
      </w:r>
      <w:r>
        <w:rPr>
          <w:rFonts w:ascii="Arial" w:hAnsi="Arial"/>
          <w:sz w:val="22"/>
          <w:szCs w:val="22"/>
          <w:rtl w:val="0"/>
          <w:lang w:val="en-US"/>
        </w:rPr>
        <w:t>Overall, these results support the hypothesis that C. difficile is able to adapt its metabolism to fit the nutrient</w:t>
      </w:r>
      <w:r>
        <w:rPr>
          <w:rFonts w:ascii="Arial" w:hAnsi="Arial"/>
          <w:sz w:val="22"/>
          <w:szCs w:val="22"/>
          <w:rtl w:val="0"/>
          <w:lang w:val="en-US"/>
        </w:rPr>
        <w:t>s present in different susceptible environments.</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cdf:CD630_03340</w:t>
        <w:tab/>
        <w:t>adhE; bifunctional acetaldehyde-CoA/alcohol dehydrogenase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cdf:CD630_24250</w:t>
        <w:tab/>
        <w:t>ptb; phosphate butyryltransferase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cdf:CD630_24260</w:t>
        <w:tab/>
        <w:t>buk1; butyrate kinase</w:t>
      </w:r>
    </w:p>
    <w:p>
      <w:pPr>
        <w:pStyle w:val="Default"/>
        <w:shd w:val="clear" w:color="auto" w:fill="ffffff"/>
        <w:spacing w:line="480" w:lineRule="auto"/>
        <w:rPr>
          <w:rFonts w:ascii="Arial" w:cs="Arial" w:hAnsi="Arial" w:eastAsia="Arial"/>
          <w:sz w:val="22"/>
          <w:szCs w:val="22"/>
        </w:rPr>
      </w:pPr>
      <w:r>
        <w:rPr>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trike w:val="1"/>
          <w:dstrike w:val="0"/>
          <w:sz w:val="22"/>
          <w:szCs w:val="22"/>
        </w:rPr>
      </w:pPr>
      <w:r>
        <w:rPr>
          <w:rFonts w:ascii="Arial" w:hAnsi="Arial"/>
          <w:strike w:val="1"/>
          <w:dstrike w:val="0"/>
          <w:sz w:val="22"/>
          <w:szCs w:val="22"/>
          <w:rtl w:val="0"/>
          <w:lang w:val="en-US"/>
        </w:rPr>
        <w:t>These points all trend toward the center of the plotting area and show no apparent differences between any treatment group. This gene category includes those enzymes involved in Stickland fermentation (</w:t>
      </w:r>
      <w:r>
        <w:rPr>
          <w:rFonts w:ascii="Arial" w:hAnsi="Arial"/>
          <w:i w:val="1"/>
          <w:iCs w:val="1"/>
          <w:strike w:val="1"/>
          <w:dstrike w:val="0"/>
          <w:sz w:val="22"/>
          <w:szCs w:val="22"/>
          <w:rtl w:val="0"/>
          <w:lang w:val="en-US"/>
        </w:rPr>
        <w:t>arg</w:t>
      </w:r>
      <w:r>
        <w:rPr>
          <w:rFonts w:ascii="Arial" w:hAnsi="Arial"/>
          <w:strike w:val="1"/>
          <w:dstrike w:val="0"/>
          <w:sz w:val="22"/>
          <w:szCs w:val="22"/>
          <w:rtl w:val="0"/>
          <w:lang w:val="en-US"/>
        </w:rPr>
        <w:t xml:space="preserve">, </w:t>
      </w:r>
      <w:r>
        <w:rPr>
          <w:rFonts w:ascii="Arial" w:hAnsi="Arial"/>
          <w:i w:val="1"/>
          <w:iCs w:val="1"/>
          <w:strike w:val="1"/>
          <w:dstrike w:val="0"/>
          <w:sz w:val="22"/>
          <w:szCs w:val="22"/>
          <w:rtl w:val="0"/>
          <w:lang w:val="en-US"/>
        </w:rPr>
        <w:t>fdh</w:t>
      </w:r>
      <w:r>
        <w:rPr>
          <w:rFonts w:ascii="Arial" w:hAnsi="Arial"/>
          <w:strike w:val="1"/>
          <w:dstrike w:val="0"/>
          <w:sz w:val="22"/>
          <w:szCs w:val="22"/>
          <w:rtl w:val="0"/>
          <w:lang w:val="en-US"/>
        </w:rPr>
        <w:t xml:space="preserve">, </w:t>
      </w:r>
      <w:r>
        <w:rPr>
          <w:rFonts w:ascii="Arial" w:hAnsi="Arial"/>
          <w:i w:val="1"/>
          <w:iCs w:val="1"/>
          <w:strike w:val="1"/>
          <w:dstrike w:val="0"/>
          <w:sz w:val="22"/>
          <w:szCs w:val="22"/>
          <w:rtl w:val="0"/>
          <w:lang w:val="en-US"/>
        </w:rPr>
        <w:t>grd</w:t>
      </w:r>
      <w:r>
        <w:rPr>
          <w:rFonts w:ascii="Arial" w:hAnsi="Arial"/>
          <w:strike w:val="1"/>
          <w:dstrike w:val="0"/>
          <w:sz w:val="22"/>
          <w:szCs w:val="22"/>
          <w:rtl w:val="0"/>
          <w:lang w:val="en-US"/>
        </w:rPr>
        <w:t xml:space="preserve">, </w:t>
      </w:r>
      <w:r>
        <w:rPr>
          <w:rFonts w:ascii="Arial" w:hAnsi="Arial"/>
          <w:i w:val="1"/>
          <w:iCs w:val="1"/>
          <w:strike w:val="1"/>
          <w:dstrike w:val="0"/>
          <w:sz w:val="22"/>
          <w:szCs w:val="22"/>
          <w:rtl w:val="0"/>
          <w:lang w:val="en-US"/>
        </w:rPr>
        <w:t>had</w:t>
      </w:r>
      <w:r>
        <w:rPr>
          <w:rFonts w:ascii="Arial" w:hAnsi="Arial"/>
          <w:strike w:val="1"/>
          <w:dstrike w:val="0"/>
          <w:sz w:val="22"/>
          <w:szCs w:val="22"/>
          <w:rtl w:val="0"/>
          <w:lang w:val="en-US"/>
        </w:rPr>
        <w:t>,</w:t>
      </w:r>
      <w:r>
        <w:rPr>
          <w:rFonts w:ascii="Arial" w:hAnsi="Arial"/>
          <w:i w:val="1"/>
          <w:iCs w:val="1"/>
          <w:strike w:val="1"/>
          <w:dstrike w:val="0"/>
          <w:sz w:val="22"/>
          <w:szCs w:val="22"/>
          <w:rtl w:val="0"/>
          <w:lang w:val="en-US"/>
        </w:rPr>
        <w:t xml:space="preserve"> </w:t>
      </w:r>
      <w:r>
        <w:rPr>
          <w:rFonts w:ascii="Arial" w:hAnsi="Arial"/>
          <w:strike w:val="1"/>
          <w:dstrike w:val="0"/>
          <w:sz w:val="22"/>
          <w:szCs w:val="22"/>
          <w:rtl w:val="0"/>
          <w:lang w:val="en-US"/>
        </w:rPr>
        <w:t xml:space="preserve">and </w:t>
      </w:r>
      <w:r>
        <w:rPr>
          <w:rFonts w:ascii="Arial" w:hAnsi="Arial"/>
          <w:i w:val="1"/>
          <w:iCs w:val="1"/>
          <w:strike w:val="1"/>
          <w:dstrike w:val="0"/>
          <w:sz w:val="22"/>
          <w:szCs w:val="22"/>
          <w:rtl w:val="0"/>
          <w:lang w:val="en-US"/>
        </w:rPr>
        <w:t xml:space="preserve">prd </w:t>
      </w:r>
      <w:r>
        <w:rPr>
          <w:rFonts w:ascii="Arial" w:hAnsi="Arial"/>
          <w:strike w:val="1"/>
          <w:dstrike w:val="0"/>
          <w:sz w:val="22"/>
          <w:szCs w:val="22"/>
          <w:rtl w:val="0"/>
          <w:lang w:val="en-US"/>
        </w:rPr>
        <w:t>operons) as well as several general peptidases (</w:t>
      </w:r>
      <w:r>
        <w:rPr>
          <w:rFonts w:ascii="Arial" w:hAnsi="Arial"/>
          <w:i w:val="1"/>
          <w:iCs w:val="1"/>
          <w:strike w:val="1"/>
          <w:dstrike w:val="0"/>
          <w:sz w:val="22"/>
          <w:szCs w:val="22"/>
          <w:rtl w:val="0"/>
          <w:lang w:val="en-US"/>
        </w:rPr>
        <w:t>pep</w:t>
      </w:r>
      <w:r>
        <w:rPr>
          <w:rFonts w:ascii="Arial" w:hAnsi="Arial"/>
          <w:strike w:val="1"/>
          <w:dstrike w:val="0"/>
          <w:sz w:val="22"/>
          <w:szCs w:val="22"/>
          <w:rtl w:val="0"/>
          <w:lang w:val="en-US"/>
        </w:rPr>
        <w:t xml:space="preserve"> family). The known Stickland fermentation pathway in </w:t>
      </w:r>
      <w:r>
        <w:rPr>
          <w:rFonts w:ascii="Arial" w:hAnsi="Arial"/>
          <w:i w:val="1"/>
          <w:iCs w:val="1"/>
          <w:strike w:val="1"/>
          <w:dstrike w:val="0"/>
          <w:sz w:val="22"/>
          <w:szCs w:val="22"/>
          <w:rtl w:val="0"/>
          <w:lang w:val="en-US"/>
        </w:rPr>
        <w:t>C. difficile</w:t>
      </w:r>
      <w:r>
        <w:rPr>
          <w:rFonts w:ascii="Arial" w:hAnsi="Arial"/>
          <w:strike w:val="1"/>
          <w:dstrike w:val="0"/>
          <w:sz w:val="22"/>
          <w:szCs w:val="22"/>
          <w:rtl w:val="0"/>
          <w:lang w:val="en-US"/>
        </w:rPr>
        <w:t xml:space="preserve"> couples the oxidation and reduction of proline an glycine to generate ATP (Neumann-Schaal, 2015). Transcription of specifically the </w:t>
      </w:r>
      <w:r>
        <w:rPr>
          <w:rFonts w:ascii="Arial" w:hAnsi="Arial"/>
          <w:i w:val="1"/>
          <w:iCs w:val="1"/>
          <w:strike w:val="1"/>
          <w:dstrike w:val="0"/>
          <w:sz w:val="22"/>
          <w:szCs w:val="22"/>
          <w:rtl w:val="0"/>
          <w:lang w:val="en-US"/>
        </w:rPr>
        <w:t>grd</w:t>
      </w:r>
      <w:r>
        <w:rPr>
          <w:rFonts w:ascii="Arial" w:hAnsi="Arial"/>
          <w:strike w:val="1"/>
          <w:dstrike w:val="0"/>
          <w:sz w:val="22"/>
          <w:szCs w:val="22"/>
          <w:rtl w:val="0"/>
          <w:lang w:val="en-US"/>
        </w:rPr>
        <w:t xml:space="preserve"> and </w:t>
      </w:r>
      <w:r>
        <w:rPr>
          <w:rFonts w:ascii="Arial" w:hAnsi="Arial"/>
          <w:i w:val="1"/>
          <w:iCs w:val="1"/>
          <w:strike w:val="1"/>
          <w:dstrike w:val="0"/>
          <w:sz w:val="22"/>
          <w:szCs w:val="22"/>
          <w:rtl w:val="0"/>
          <w:lang w:val="en-US"/>
        </w:rPr>
        <w:t>prd</w:t>
      </w:r>
      <w:r>
        <w:rPr>
          <w:rFonts w:ascii="Arial" w:hAnsi="Arial"/>
          <w:strike w:val="1"/>
          <w:dstrike w:val="0"/>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trike w:val="1"/>
          <w:dstrike w:val="0"/>
          <w:sz w:val="22"/>
          <w:szCs w:val="22"/>
          <w:rtl w:val="0"/>
          <w:lang w:val="en-US"/>
        </w:rPr>
        <w:t>C. difficile</w:t>
      </w:r>
      <w:r>
        <w:rPr>
          <w:rFonts w:ascii="Arial" w:hAnsi="Arial"/>
          <w:strike w:val="1"/>
          <w:dstrike w:val="0"/>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trike w:val="1"/>
          <w:dstrike w:val="0"/>
          <w:sz w:val="22"/>
          <w:szCs w:val="22"/>
        </w:rPr>
      </w:pPr>
      <w:r>
        <w:rPr>
          <w:rFonts w:ascii="Arial" w:hAnsi="Arial"/>
          <w:strike w:val="1"/>
          <w:dstrike w:val="0"/>
          <w:sz w:val="22"/>
          <w:szCs w:val="22"/>
          <w:rtl w:val="0"/>
          <w:lang w:val="en-US"/>
        </w:rPr>
        <w:t xml:space="preserve">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Many enzymes encoded in an organism's genome,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5A),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(Fig. 5A). This is done in order to understand the relative importance of substrate nodes based on local enzyme transcription. Furthermore, we applied a Monte-Carlo simulation style transcript assignment randomization in create a comparator for each substrate's computed importance score. Applying this method, we extracted the relative importance values of the 758 unique compounds in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after 18 hours of infection in each treatment group. We included the transcriptome of </w:t>
      </w:r>
      <w:r>
        <w:rPr>
          <w:rFonts w:ascii="Arial" w:hAnsi="Arial"/>
          <w:i w:val="1"/>
          <w:iCs w:val="1"/>
          <w:sz w:val="22"/>
          <w:szCs w:val="22"/>
          <w:rtl w:val="0"/>
          <w:lang w:val="en-US"/>
        </w:rPr>
        <w:t>C. difficile</w:t>
      </w:r>
      <w:r>
        <w:rPr>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Fonts w:ascii="Arial" w:hAnsi="Arial"/>
          <w:i w:val="1"/>
          <w:iCs w:val="1"/>
          <w:sz w:val="22"/>
          <w:szCs w:val="22"/>
          <w:rtl w:val="0"/>
          <w:lang w:val="en-US"/>
        </w:rPr>
        <w:t>C. difficile</w:t>
      </w:r>
      <w:r>
        <w:rPr>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Fonts w:ascii="Arial" w:hAnsi="Arial"/>
          <w:i w:val="1"/>
          <w:iCs w:val="1"/>
          <w:sz w:val="22"/>
          <w:szCs w:val="22"/>
          <w:rtl w:val="0"/>
          <w:lang w:val="en-US"/>
        </w:rPr>
        <w:t>C. difficile</w:t>
      </w:r>
      <w:r>
        <w:rPr>
          <w:rFonts w:ascii="Arial" w:hAnsi="Arial"/>
          <w:sz w:val="22"/>
          <w:szCs w:val="22"/>
          <w:rtl w:val="0"/>
          <w:lang w:val="en-US"/>
        </w:rPr>
        <w:t xml:space="preserve"> is most likely to behave when it colonizes a susceptible host. With this in mind, we then sought to identify core metabolites that are essential to </w:t>
      </w:r>
      <w:r>
        <w:rPr>
          <w:rFonts w:ascii="Arial" w:hAnsi="Arial"/>
          <w:i w:val="1"/>
          <w:iCs w:val="1"/>
          <w:sz w:val="22"/>
          <w:szCs w:val="22"/>
          <w:rtl w:val="0"/>
          <w:lang w:val="en-US"/>
        </w:rPr>
        <w:t>C. difficile</w:t>
      </w:r>
      <w:r>
        <w:rPr>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Fonts w:ascii="Arial" w:hAnsi="Arial"/>
          <w:i w:val="1"/>
          <w:iCs w:val="1"/>
          <w:sz w:val="22"/>
          <w:szCs w:val="22"/>
          <w:rtl w:val="0"/>
          <w:lang w:val="en-US"/>
        </w:rPr>
        <w:t>C. difficile</w:t>
      </w:r>
      <w:r>
        <w:rPr>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Fonts w:ascii="Arial" w:hAnsi="Arial"/>
          <w:i w:val="1"/>
          <w:iCs w:val="1"/>
          <w:sz w:val="22"/>
          <w:szCs w:val="22"/>
          <w:rtl w:val="0"/>
          <w:lang w:val="en-US"/>
        </w:rPr>
        <w:t>C. difficile</w:t>
      </w:r>
      <w:r>
        <w:rPr>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Fonts w:ascii="Arial" w:hAnsi="Arial"/>
          <w:i w:val="1"/>
          <w:iCs w:val="1"/>
          <w:sz w:val="22"/>
          <w:szCs w:val="22"/>
          <w:rtl w:val="0"/>
          <w:lang w:val="en-US"/>
        </w:rPr>
        <w:t>C. difficile</w:t>
      </w:r>
      <w:r>
        <w:rPr>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between environments. Results from this comparison left only a few substrates in each group (Fig. 5B). All substrates identified this way scored the comparator mean generated through Monte Carlo simulation (black vertical lines). Each group of substrates contained at least one known carbohydrate growth substrate of </w:t>
      </w:r>
      <w:r>
        <w:rPr>
          <w:rFonts w:ascii="Arial" w:hAnsi="Arial"/>
          <w:i w:val="1"/>
          <w:iCs w:val="1"/>
          <w:sz w:val="22"/>
          <w:szCs w:val="22"/>
          <w:rtl w:val="0"/>
          <w:lang w:val="en-US"/>
        </w:rPr>
        <w:t>C. difficile</w:t>
      </w:r>
      <w:r>
        <w:rPr>
          <w:rFonts w:ascii="Arial" w:hAnsi="Arial"/>
          <w:sz w:val="22"/>
          <w:szCs w:val="22"/>
          <w:rtl w:val="0"/>
          <w:lang w:val="en-US"/>
        </w:rPr>
        <w:t xml:space="preserve">;  including D-fructose, mannitol, N-acetylneuraminic acid, salicin, and D-sorbitol (Ng, 2013; Theriot, 2014). These data support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networks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order to validate the biological relevance of substrates identified in the previous network-based analysis, we went on to observe whether </w:t>
      </w:r>
      <w:r>
        <w:rPr>
          <w:rFonts w:ascii="Arial" w:hAnsi="Arial"/>
          <w:i w:val="1"/>
          <w:iCs w:val="1"/>
          <w:sz w:val="22"/>
          <w:szCs w:val="22"/>
          <w:rtl w:val="0"/>
          <w:lang w:val="en-US"/>
        </w:rPr>
        <w:t>C. difficile</w:t>
      </w:r>
      <w:r>
        <w:rPr>
          <w:rFonts w:ascii="Arial" w:hAnsi="Arial"/>
          <w:sz w:val="22"/>
          <w:szCs w:val="22"/>
          <w:rtl w:val="0"/>
          <w:lang w:val="en-US"/>
        </w:rPr>
        <w:t xml:space="preserve"> str. 630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As </w:t>
      </w:r>
      <w:r>
        <w:rPr>
          <w:rFonts w:ascii="Arial" w:hAnsi="Arial"/>
          <w:i w:val="1"/>
          <w:iCs w:val="1"/>
          <w:sz w:val="22"/>
          <w:szCs w:val="22"/>
          <w:rtl w:val="0"/>
          <w:lang w:val="en-US"/>
        </w:rPr>
        <w:t>C. difficile</w:t>
      </w:r>
      <w:r>
        <w:rPr>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Fonts w:ascii="Arial" w:hAnsi="Arial"/>
          <w:i w:val="1"/>
          <w:iCs w:val="1"/>
          <w:sz w:val="22"/>
          <w:szCs w:val="22"/>
          <w:rtl w:val="0"/>
          <w:lang w:val="en-US"/>
        </w:rPr>
        <w:t>C. difficile,</w:t>
      </w:r>
      <w:r>
        <w:rPr>
          <w:rFonts w:ascii="Arial" w:hAnsi="Arial"/>
          <w:sz w:val="22"/>
          <w:szCs w:val="22"/>
          <w:rtl w:val="0"/>
          <w:lang w:val="en-US"/>
        </w:rPr>
        <w:t xml:space="preserve"> however this analysis does not preclude the possibility that </w:t>
      </w:r>
      <w:r>
        <w:rPr>
          <w:rFonts w:ascii="Arial" w:hAnsi="Arial"/>
          <w:i w:val="1"/>
          <w:iCs w:val="1"/>
          <w:sz w:val="22"/>
          <w:szCs w:val="22"/>
          <w:rtl w:val="0"/>
          <w:lang w:val="en-US"/>
        </w:rPr>
        <w:t>C. difficile</w:t>
      </w:r>
      <w:r>
        <w:rPr>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At least one carbohydrate highlighted as important in each of the antibiotic treatments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(Fig. 5C). This included D-fructose (OD</w:t>
      </w:r>
      <w:r>
        <w:rPr>
          <w:rFonts w:ascii="Arial" w:hAnsi="Arial"/>
          <w:sz w:val="22"/>
          <w:szCs w:val="22"/>
          <w:vertAlign w:val="subscript"/>
          <w:rtl w:val="0"/>
          <w:lang w:val="en-US"/>
        </w:rPr>
        <w:t xml:space="preserve">600 </w:t>
      </w:r>
      <w:r>
        <w:rPr>
          <w:rFonts w:ascii="Arial" w:hAnsi="Arial"/>
          <w:sz w:val="22"/>
          <w:szCs w:val="22"/>
          <w:rtl w:val="0"/>
          <w:lang w:val="en-US"/>
        </w:rPr>
        <w:t>= 0.671), mannitol (OD</w:t>
      </w:r>
      <w:r>
        <w:rPr>
          <w:rFonts w:ascii="Arial" w:hAnsi="Arial"/>
          <w:sz w:val="22"/>
          <w:szCs w:val="22"/>
          <w:vertAlign w:val="subscript"/>
          <w:rtl w:val="0"/>
          <w:lang w:val="en-US"/>
        </w:rPr>
        <w:t xml:space="preserve">600 </w:t>
      </w:r>
      <w:r>
        <w:rPr>
          <w:rFonts w:ascii="Arial" w:hAnsi="Arial"/>
          <w:sz w:val="22"/>
          <w:szCs w:val="22"/>
          <w:rtl w:val="0"/>
          <w:lang w:val="en-US"/>
        </w:rPr>
        <w:t>= 0.464), and salicin (OD</w:t>
      </w:r>
      <w:r>
        <w:rPr>
          <w:rFonts w:ascii="Arial" w:hAnsi="Arial"/>
          <w:sz w:val="22"/>
          <w:szCs w:val="22"/>
          <w:vertAlign w:val="subscript"/>
          <w:rtl w:val="0"/>
          <w:lang w:val="en-US"/>
        </w:rPr>
        <w:t xml:space="preserve">600 </w:t>
      </w:r>
      <w:r>
        <w:rPr>
          <w:rFonts w:ascii="Arial" w:hAnsi="Arial"/>
          <w:sz w:val="22"/>
          <w:szCs w:val="22"/>
          <w:rtl w:val="0"/>
          <w:lang w:val="en-US"/>
        </w:rPr>
        <w:t xml:space="preserve">= 0.888). Each resulted in significantly more growth (corrected </w:t>
      </w:r>
      <w:r>
        <w:rPr>
          <w:rFonts w:ascii="Arial" w:hAnsi="Arial"/>
          <w:i w:val="1"/>
          <w:iCs w:val="1"/>
          <w:sz w:val="22"/>
          <w:szCs w:val="22"/>
          <w:rtl w:val="0"/>
          <w:lang w:val="en-US"/>
        </w:rPr>
        <w:t>p</w:t>
      </w:r>
      <w:r>
        <w:rPr>
          <w:rFonts w:ascii="Arial" w:hAnsi="Arial"/>
          <w:sz w:val="22"/>
          <w:szCs w:val="22"/>
          <w:rtl w:val="0"/>
          <w:lang w:val="en-US"/>
        </w:rPr>
        <w:t>-values &lt;&lt; 0.001) than AA-only control (OD</w:t>
      </w:r>
      <w:r>
        <w:rPr>
          <w:rFonts w:ascii="Arial" w:hAnsi="Arial"/>
          <w:sz w:val="22"/>
          <w:szCs w:val="22"/>
          <w:vertAlign w:val="subscript"/>
          <w:rtl w:val="0"/>
          <w:lang w:val="en-US"/>
        </w:rPr>
        <w:t xml:space="preserve">600 </w:t>
      </w:r>
      <w:r>
        <w:rPr>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Fonts w:ascii="Arial" w:hAnsi="Arial"/>
          <w:sz w:val="22"/>
          <w:szCs w:val="22"/>
          <w:vertAlign w:val="subscript"/>
          <w:rtl w:val="0"/>
          <w:lang w:val="en-US"/>
        </w:rPr>
        <w:t xml:space="preserve">600 </w:t>
      </w:r>
      <w:r>
        <w:rPr>
          <w:rFonts w:ascii="Arial" w:hAnsi="Arial"/>
          <w:sz w:val="22"/>
          <w:szCs w:val="22"/>
          <w:rtl w:val="0"/>
          <w:lang w:val="en-US"/>
        </w:rPr>
        <w:t xml:space="preserve">= 0.556) than AA-only control wells (corrected </w:t>
      </w:r>
      <w:r>
        <w:rPr>
          <w:rFonts w:ascii="Arial" w:hAnsi="Arial"/>
          <w:i w:val="1"/>
          <w:iCs w:val="1"/>
          <w:sz w:val="22"/>
          <w:szCs w:val="22"/>
          <w:rtl w:val="0"/>
          <w:lang w:val="en-US"/>
        </w:rPr>
        <w:t>p</w:t>
      </w:r>
      <w:r>
        <w:rPr>
          <w:rFonts w:ascii="Arial" w:hAnsi="Arial"/>
          <w:sz w:val="22"/>
          <w:szCs w:val="22"/>
          <w:rtl w:val="0"/>
          <w:lang w:val="en-US"/>
        </w:rPr>
        <w:t xml:space="preserve">-value &lt;&lt; 0.001). These results indicate potential efficiency or preferences by </w:t>
      </w:r>
      <w:r>
        <w:rPr>
          <w:rFonts w:ascii="Arial" w:hAnsi="Arial"/>
          <w:i w:val="1"/>
          <w:iCs w:val="1"/>
          <w:sz w:val="22"/>
          <w:szCs w:val="22"/>
          <w:rtl w:val="0"/>
          <w:lang w:val="en-US"/>
        </w:rPr>
        <w:t>C. difficile</w:t>
      </w:r>
      <w:r>
        <w:rPr>
          <w:rFonts w:ascii="Arial" w:hAnsi="Arial"/>
          <w:sz w:val="22"/>
          <w:szCs w:val="22"/>
          <w:rtl w:val="0"/>
          <w:lang w:val="en-US"/>
        </w:rPr>
        <w:t xml:space="preserve"> for the each carbohydrate source tested.</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Fonts w:ascii="Arial" w:hAnsi="Arial"/>
          <w:i w:val="1"/>
          <w:iCs w:val="1"/>
          <w:sz w:val="22"/>
          <w:szCs w:val="22"/>
          <w:rtl w:val="0"/>
          <w:lang w:val="en-US"/>
        </w:rPr>
        <w:t>m</w:t>
      </w:r>
      <w:r>
        <w:rPr>
          <w:rFonts w:ascii="Arial" w:hAnsi="Arial"/>
          <w:sz w:val="22"/>
          <w:szCs w:val="22"/>
          <w:rtl w:val="0"/>
          <w:lang w:val="en-US"/>
        </w:rPr>
        <w:t xml:space="preserve"> = 0.089). Mannitol was second at 7 hours (</w:t>
      </w:r>
      <w:r>
        <w:rPr>
          <w:rFonts w:ascii="Arial" w:hAnsi="Arial"/>
          <w:i w:val="1"/>
          <w:iCs w:val="1"/>
          <w:sz w:val="22"/>
          <w:szCs w:val="22"/>
          <w:rtl w:val="0"/>
          <w:lang w:val="en-US"/>
        </w:rPr>
        <w:t>m</w:t>
      </w:r>
      <w:r>
        <w:rPr>
          <w:rFonts w:ascii="Arial" w:hAnsi="Arial"/>
          <w:sz w:val="22"/>
          <w:szCs w:val="22"/>
          <w:rtl w:val="0"/>
          <w:lang w:val="en-US"/>
        </w:rPr>
        <w:t xml:space="preserve"> = 0.044), and salicin was third at 13.5 hours (</w:t>
      </w:r>
      <w:r>
        <w:rPr>
          <w:rFonts w:ascii="Arial" w:hAnsi="Arial"/>
          <w:i w:val="1"/>
          <w:iCs w:val="1"/>
          <w:sz w:val="22"/>
          <w:szCs w:val="22"/>
          <w:rtl w:val="0"/>
          <w:lang w:val="en-US"/>
        </w:rPr>
        <w:t>m</w:t>
      </w:r>
      <w:r>
        <w:rPr>
          <w:rFonts w:ascii="Arial" w:hAnsi="Arial"/>
          <w:sz w:val="22"/>
          <w:szCs w:val="22"/>
          <w:rtl w:val="0"/>
          <w:lang w:val="en-US"/>
        </w:rPr>
        <w:t xml:space="preserve"> = 0.076). Interestingly, the salicin growth curve was still near its maximum growth rate at the 12 hour time point, while the D-fructose (</w:t>
      </w:r>
      <w:r>
        <w:rPr>
          <w:rFonts w:ascii="Arial" w:hAnsi="Arial"/>
          <w:i w:val="1"/>
          <w:iCs w:val="1"/>
          <w:sz w:val="22"/>
          <w:szCs w:val="22"/>
          <w:rtl w:val="0"/>
          <w:lang w:val="en-US"/>
        </w:rPr>
        <w:t>m</w:t>
      </w:r>
      <w:r>
        <w:rPr>
          <w:rFonts w:ascii="Arial" w:hAnsi="Arial"/>
          <w:sz w:val="22"/>
          <w:szCs w:val="22"/>
          <w:rtl w:val="0"/>
          <w:lang w:val="en-US"/>
        </w:rPr>
        <w:t xml:space="preserve"> = 0.006) and mannitol (</w:t>
      </w:r>
      <w:r>
        <w:rPr>
          <w:rFonts w:ascii="Arial" w:hAnsi="Arial"/>
          <w:i w:val="1"/>
          <w:iCs w:val="1"/>
          <w:sz w:val="22"/>
          <w:szCs w:val="22"/>
          <w:rtl w:val="0"/>
          <w:lang w:val="en-US"/>
        </w:rPr>
        <w:t>m</w:t>
      </w:r>
      <w:r>
        <w:rPr>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Fonts w:ascii="Arial" w:hAnsi="Arial"/>
          <w:sz w:val="22"/>
          <w:szCs w:val="22"/>
          <w:vertAlign w:val="subscript"/>
          <w:rtl w:val="0"/>
          <w:lang w:val="en-US"/>
        </w:rPr>
        <w:t xml:space="preserve">600 </w:t>
      </w:r>
      <w:r>
        <w:rPr>
          <w:rFonts w:ascii="Arial" w:hAnsi="Arial"/>
          <w:sz w:val="22"/>
          <w:szCs w:val="22"/>
          <w:rtl w:val="0"/>
          <w:lang w:val="en-US"/>
        </w:rPr>
        <w:t xml:space="preserve"> (OD</w:t>
      </w:r>
      <w:r>
        <w:rPr>
          <w:rFonts w:ascii="Arial" w:hAnsi="Arial"/>
          <w:sz w:val="22"/>
          <w:szCs w:val="22"/>
          <w:vertAlign w:val="subscript"/>
          <w:rtl w:val="0"/>
          <w:lang w:val="en-US"/>
        </w:rPr>
        <w:t xml:space="preserve">600 </w:t>
      </w:r>
      <w:r>
        <w:rPr>
          <w:rFonts w:ascii="Arial" w:hAnsi="Arial"/>
          <w:sz w:val="22"/>
          <w:szCs w:val="22"/>
          <w:rtl w:val="0"/>
          <w:lang w:val="en-US"/>
        </w:rPr>
        <w:t xml:space="preserve"> = 0.888) than BHI rich media control (OD</w:t>
      </w:r>
      <w:r>
        <w:rPr>
          <w:rFonts w:ascii="Arial" w:hAnsi="Arial"/>
          <w:sz w:val="22"/>
          <w:szCs w:val="22"/>
          <w:vertAlign w:val="subscript"/>
          <w:rtl w:val="0"/>
          <w:lang w:val="en-US"/>
        </w:rPr>
        <w:t xml:space="preserve">600 </w:t>
      </w:r>
      <w:r>
        <w:rPr>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Fonts w:ascii="Arial" w:hAnsi="Arial"/>
          <w:sz w:val="22"/>
          <w:szCs w:val="22"/>
          <w:vertAlign w:val="subscript"/>
          <w:rtl w:val="0"/>
          <w:lang w:val="en-US"/>
        </w:rPr>
        <w:t>600</w:t>
      </w:r>
      <w:r>
        <w:rPr>
          <w:rFonts w:ascii="Arial" w:hAnsi="Arial"/>
          <w:sz w:val="22"/>
          <w:szCs w:val="22"/>
          <w:rtl w:val="0"/>
          <w:lang w:val="en-US"/>
        </w:rPr>
        <w:t xml:space="preserve"> of some curves is most likely due to </w:t>
      </w:r>
      <w:r>
        <w:rPr>
          <w:rFonts w:ascii="Arial" w:hAnsi="Arial"/>
          <w:i w:val="1"/>
          <w:iCs w:val="1"/>
          <w:sz w:val="22"/>
          <w:szCs w:val="22"/>
          <w:rtl w:val="0"/>
          <w:lang w:val="en-US"/>
        </w:rPr>
        <w:t>C. difficile</w:t>
      </w:r>
      <w:r>
        <w:rPr>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Fonts w:ascii="Arial" w:hAnsi="Arial"/>
          <w:i w:val="1"/>
          <w:iCs w:val="1"/>
          <w:sz w:val="22"/>
          <w:szCs w:val="22"/>
          <w:rtl w:val="0"/>
          <w:lang w:val="en-US"/>
        </w:rPr>
        <w:t>m</w:t>
      </w:r>
      <w:r>
        <w:rPr>
          <w:rFonts w:ascii="Arial" w:hAnsi="Arial"/>
          <w:sz w:val="22"/>
          <w:szCs w:val="22"/>
          <w:rtl w:val="0"/>
          <w:lang w:val="en-US"/>
        </w:rPr>
        <w:t xml:space="preserve"> = 0.095 at 6.5 hours) is the highest reached by any media tested, yet the maximum OD</w:t>
      </w:r>
      <w:r>
        <w:rPr>
          <w:rFonts w:ascii="Arial" w:hAnsi="Arial"/>
          <w:sz w:val="22"/>
          <w:szCs w:val="22"/>
          <w:vertAlign w:val="subscript"/>
          <w:rtl w:val="0"/>
          <w:lang w:val="en-US"/>
        </w:rPr>
        <w:t>600</w:t>
      </w:r>
      <w:r>
        <w:rPr>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Fonts w:ascii="Arial" w:hAnsi="Arial"/>
          <w:i w:val="1"/>
          <w:iCs w:val="1"/>
          <w:sz w:val="22"/>
          <w:szCs w:val="22"/>
          <w:rtl w:val="0"/>
          <w:lang w:val="en-US"/>
        </w:rPr>
        <w:t>p</w:t>
      </w:r>
      <w:r>
        <w:rPr>
          <w:rFonts w:ascii="Arial" w:hAnsi="Arial"/>
          <w:sz w:val="22"/>
          <w:szCs w:val="22"/>
          <w:rtl w:val="0"/>
          <w:lang w:val="en-US"/>
        </w:rPr>
        <w:t xml:space="preserve">-value &lt;&lt; 0.001) than D-sorbitol alone. This could suggest a combinatorial effect of D-fructose and D-sorbitol together on the growth of </w:t>
      </w:r>
      <w:r>
        <w:rPr>
          <w:rFonts w:ascii="Arial" w:hAnsi="Arial"/>
          <w:i w:val="1"/>
          <w:iCs w:val="1"/>
          <w:sz w:val="22"/>
          <w:szCs w:val="22"/>
          <w:rtl w:val="0"/>
          <w:lang w:val="en-US"/>
        </w:rPr>
        <w:t>C. difficile</w:t>
      </w:r>
      <w:r>
        <w:rPr>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3D).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Materials and Methods</w:t>
      </w:r>
    </w:p>
    <w:p>
      <w:pPr>
        <w:pStyle w:val="Default"/>
        <w:shd w:val="clear" w:color="auto" w:fill="ffffff"/>
        <w:spacing w:line="480" w:lineRule="auto"/>
        <w:jc w:val="both"/>
      </w:pPr>
      <w:r>
        <w:rPr>
          <w:rFonts w:ascii="Arial" w:hAnsi="Arial"/>
          <w:b w:val="1"/>
          <w:bCs w:val="1"/>
          <w:sz w:val="22"/>
          <w:szCs w:val="22"/>
          <w:rtl w:val="0"/>
          <w:lang w:val="en-US"/>
        </w:rPr>
        <w:t xml:space="preserve">Animal care and antibiotic administration. </w:t>
      </w:r>
      <w:r>
        <w:rPr>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infection and necropsy. </w:t>
      </w:r>
      <w:r>
        <w:rPr>
          <w:rFonts w:ascii="Arial" w:hAnsi="Arial"/>
          <w:i w:val="1"/>
          <w:iCs w:val="1"/>
          <w:sz w:val="22"/>
          <w:szCs w:val="22"/>
          <w:rtl w:val="0"/>
          <w:lang w:val="en-US"/>
        </w:rPr>
        <w:t>C. difficile</w:t>
      </w:r>
      <w:r>
        <w:rPr>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3</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spores were administered to mice via oral gavage in </w:t>
      </w:r>
      <w:r>
        <w:rPr>
          <w:rFonts w:ascii="Arial" w:hAnsi="Arial" w:hint="default"/>
          <w:sz w:val="22"/>
          <w:szCs w:val="22"/>
          <w:rtl w:val="0"/>
          <w:lang w:val="en-US"/>
        </w:rPr>
        <w:t>×</w:t>
      </w:r>
      <w:r>
        <w:rPr>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Fonts w:ascii="Arial" w:hAnsi="Arial" w:hint="default"/>
          <w:sz w:val="22"/>
          <w:szCs w:val="22"/>
          <w:rtl w:val="0"/>
          <w:lang w:val="en-US"/>
        </w:rPr>
        <w:t>μ</w:t>
      </w:r>
      <w:r>
        <w:rPr>
          <w:rFonts w:ascii="Arial" w:hAnsi="Arial"/>
          <w:sz w:val="22"/>
          <w:szCs w:val="22"/>
          <w:rtl w:val="0"/>
          <w:lang w:val="en-US"/>
        </w:rPr>
        <w:t xml:space="preserve">l </w:t>
      </w:r>
      <w:r>
        <w:rPr>
          <w:rFonts w:ascii="Arial" w:hAnsi="Arial" w:hint="default"/>
          <w:sz w:val="22"/>
          <w:szCs w:val="22"/>
          <w:rtl w:val="0"/>
          <w:lang w:val="en-US"/>
        </w:rPr>
        <w:t>×</w:t>
      </w:r>
      <w:r>
        <w:rPr>
          <w:rFonts w:ascii="Arial" w:hAnsi="Arial"/>
          <w:sz w:val="22"/>
          <w:szCs w:val="22"/>
          <w:rtl w:val="0"/>
          <w:lang w:val="en-US"/>
        </w:rPr>
        <w:t xml:space="preserve">1 PBS at the same time as those mice administered </w:t>
      </w:r>
      <w:r>
        <w:rPr>
          <w:rFonts w:ascii="Arial" w:hAnsi="Arial"/>
          <w:i w:val="1"/>
          <w:iCs w:val="1"/>
          <w:sz w:val="22"/>
          <w:szCs w:val="22"/>
          <w:rtl w:val="0"/>
          <w:lang w:val="en-US"/>
        </w:rPr>
        <w:t>C. difficile</w:t>
      </w:r>
      <w:r>
        <w:rPr>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Fonts w:ascii="Arial" w:hAnsi="Arial" w:hint="default"/>
          <w:sz w:val="22"/>
          <w:szCs w:val="22"/>
          <w:rtl w:val="0"/>
          <w:lang w:val="en-US"/>
        </w:rPr>
        <w:t>μ</w:t>
      </w:r>
      <w:r>
        <w:rPr>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Fonts w:ascii="Arial" w:hAnsi="Arial" w:hint="default"/>
          <w:sz w:val="22"/>
          <w:szCs w:val="22"/>
          <w:rtl w:val="0"/>
          <w:lang w:val="en-US"/>
        </w:rPr>
        <w:t xml:space="preserve">° </w:t>
      </w:r>
      <w:r>
        <w:rPr>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cultivation and quantification. </w:t>
      </w:r>
      <w:r>
        <w:rPr>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Fonts w:ascii="Arial" w:hAnsi="Arial" w:hint="default"/>
          <w:sz w:val="22"/>
          <w:szCs w:val="22"/>
          <w:rtl w:val="0"/>
          <w:lang w:val="en-US"/>
        </w:rPr>
        <w:t xml:space="preserve">° </w:t>
      </w:r>
      <w:r>
        <w:rPr>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Fonts w:ascii="Arial" w:hAnsi="Arial" w:hint="default"/>
          <w:sz w:val="22"/>
          <w:szCs w:val="22"/>
          <w:rtl w:val="0"/>
          <w:lang w:val="en-US"/>
        </w:rPr>
        <w:t xml:space="preserve">° </w:t>
      </w:r>
      <w:r>
        <w:rPr>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Fonts w:ascii="Arial" w:hAnsi="Arial" w:hint="default"/>
          <w:sz w:val="22"/>
          <w:szCs w:val="22"/>
          <w:rtl w:val="0"/>
          <w:lang w:val="en-US"/>
        </w:rPr>
        <w:t xml:space="preserve">° </w:t>
      </w:r>
      <w:r>
        <w:rPr>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Measurement of residual antibiotics in cecal content.</w:t>
      </w:r>
      <w:r>
        <w:rPr>
          <w:rFonts w:ascii="Arial" w:hAnsi="Arial"/>
          <w:sz w:val="22"/>
          <w:szCs w:val="22"/>
          <w:rtl w:val="0"/>
          <w:lang w:val="en-US"/>
        </w:rPr>
        <w:t xml:space="preserve">  Disk diffusion assays were performed using separate, newly plated lawns of </w:t>
      </w:r>
      <w:r>
        <w:rPr>
          <w:rFonts w:ascii="Arial" w:hAnsi="Arial"/>
          <w:i w:val="1"/>
          <w:iCs w:val="1"/>
          <w:sz w:val="22"/>
          <w:szCs w:val="22"/>
          <w:rtl w:val="0"/>
          <w:lang w:val="en-US"/>
        </w:rPr>
        <w:t>Clostridium difficile</w:t>
      </w:r>
      <w:r>
        <w:rPr>
          <w:rFonts w:ascii="Arial" w:hAnsi="Arial"/>
          <w:sz w:val="22"/>
          <w:szCs w:val="22"/>
          <w:rtl w:val="0"/>
          <w:lang w:val="en-US"/>
        </w:rPr>
        <w:t xml:space="preserve"> str. 630 and </w:t>
      </w:r>
      <w:r>
        <w:rPr>
          <w:rFonts w:ascii="Arial" w:hAnsi="Arial"/>
          <w:i w:val="1"/>
          <w:iCs w:val="1"/>
          <w:sz w:val="22"/>
          <w:szCs w:val="22"/>
          <w:rtl w:val="0"/>
          <w:lang w:val="en-US"/>
        </w:rPr>
        <w:t>Bifidobacterium longum</w:t>
      </w:r>
      <w:r>
        <w:rPr>
          <w:rFonts w:ascii="Arial" w:hAnsi="Arial"/>
          <w:sz w:val="22"/>
          <w:szCs w:val="22"/>
          <w:rtl w:val="0"/>
          <w:lang w:val="en-US"/>
        </w:rPr>
        <w:t xml:space="preserve"> subspec. </w:t>
      </w:r>
      <w:r>
        <w:rPr>
          <w:rFonts w:ascii="Arial" w:hAnsi="Arial"/>
          <w:i w:val="1"/>
          <w:iCs w:val="1"/>
          <w:sz w:val="22"/>
          <w:szCs w:val="22"/>
          <w:rtl w:val="0"/>
          <w:lang w:val="en-US"/>
        </w:rPr>
        <w:t>longum</w:t>
      </w:r>
      <w:r>
        <w:rPr>
          <w:rFonts w:ascii="Arial" w:hAnsi="Arial"/>
          <w:sz w:val="22"/>
          <w:szCs w:val="22"/>
          <w:rtl w:val="0"/>
          <w:lang w:val="en-US"/>
        </w:rPr>
        <w:t xml:space="preserve"> on BHIS agar. 500 </w:t>
      </w:r>
      <w:r>
        <w:rPr>
          <w:rFonts w:ascii="Arial" w:hAnsi="Arial" w:hint="default"/>
          <w:sz w:val="22"/>
          <w:szCs w:val="22"/>
          <w:rtl w:val="0"/>
          <w:lang w:val="en-US"/>
        </w:rPr>
        <w:t>μ</w:t>
      </w:r>
      <w:r>
        <w:rPr>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Fonts w:ascii="Arial" w:hAnsi="Arial" w:hint="default"/>
          <w:sz w:val="22"/>
          <w:szCs w:val="22"/>
          <w:rtl w:val="0"/>
          <w:lang w:val="en-US"/>
        </w:rPr>
        <w:t>μ</w:t>
      </w:r>
      <w:r>
        <w:rPr>
          <w:rFonts w:ascii="Arial" w:hAnsi="Arial"/>
          <w:sz w:val="22"/>
          <w:szCs w:val="22"/>
          <w:rtl w:val="0"/>
          <w:lang w:val="en-US"/>
        </w:rPr>
        <w:t>l supernatant from spun cecal content and added to plated bacteria in triplicate. Plates were anaerobically incubated overnight at 37</w:t>
      </w:r>
      <w:r>
        <w:rPr>
          <w:rFonts w:ascii="Arial" w:hAnsi="Arial" w:hint="default"/>
          <w:sz w:val="22"/>
          <w:szCs w:val="22"/>
          <w:rtl w:val="0"/>
          <w:lang w:val="en-US"/>
        </w:rPr>
        <w:t xml:space="preserve">° </w:t>
      </w:r>
      <w:r>
        <w:rPr>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toxin titer assay.</w:t>
      </w:r>
      <w:r>
        <w:rPr>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5</w:t>
      </w:r>
      <w:r>
        <w:rPr>
          <w:rFonts w:ascii="Arial" w:hAnsi="Arial"/>
          <w:sz w:val="22"/>
          <w:szCs w:val="22"/>
          <w:rtl w:val="0"/>
          <w:lang w:val="en-US"/>
        </w:rPr>
        <w:t xml:space="preserve"> cells were seeded in each well of a 96-well plate and incubated for 4 hours. Filtered cecal content was serially diluted 1:10 in </w:t>
      </w:r>
      <w:r>
        <w:rPr>
          <w:rFonts w:ascii="Arial" w:hAnsi="Arial" w:hint="default"/>
          <w:sz w:val="22"/>
          <w:szCs w:val="22"/>
          <w:rtl w:val="0"/>
          <w:lang w:val="en-US"/>
        </w:rPr>
        <w:t>×</w:t>
      </w:r>
      <w:r>
        <w:rPr>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Fonts w:ascii="Arial" w:hAnsi="Arial" w:hint="default"/>
          <w:sz w:val="22"/>
          <w:szCs w:val="22"/>
          <w:rtl w:val="0"/>
          <w:lang w:val="en-US"/>
        </w:rPr>
        <w:t xml:space="preserve">° </w:t>
      </w:r>
      <w:r>
        <w:rPr>
          <w:rFonts w:ascii="Arial" w:hAnsi="Arial"/>
          <w:sz w:val="22"/>
          <w:szCs w:val="22"/>
          <w:rtl w:val="0"/>
          <w:lang w:val="en-US"/>
        </w:rPr>
        <w:t xml:space="preserve">C. Plates were viewed after 24 hours at </w:t>
      </w:r>
      <w:r>
        <w:rPr>
          <w:rFonts w:ascii="Arial" w:hAnsi="Arial" w:hint="default"/>
          <w:sz w:val="22"/>
          <w:szCs w:val="22"/>
          <w:rtl w:val="0"/>
          <w:lang w:val="en-US"/>
        </w:rPr>
        <w:t>×</w:t>
      </w:r>
      <w:r>
        <w:rPr>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 xml:space="preserve">This procedure was adapted from the RNA isolation protocol defined by Lopez-Medina et. al., 2011. </w:t>
      </w:r>
      <w:r>
        <w:rPr>
          <w:rStyle w:val="None"/>
          <w:rFonts w:ascii="Arial" w:hAnsi="Arial"/>
          <w:sz w:val="22"/>
          <w:szCs w:val="22"/>
          <w:shd w:val="clear" w:color="auto" w:fill="ffff00"/>
          <w:rtl w:val="0"/>
          <w:lang w:val="en-US"/>
        </w:rPr>
        <w:t xml:space="preserve">In order to generate enough mRNA biomass contributed by </w:t>
      </w:r>
      <w:r>
        <w:rPr>
          <w:rStyle w:val="None"/>
          <w:rFonts w:ascii="Arial" w:hAnsi="Arial"/>
          <w:i w:val="1"/>
          <w:iCs w:val="1"/>
          <w:sz w:val="22"/>
          <w:szCs w:val="22"/>
          <w:shd w:val="clear" w:color="auto" w:fill="ffff00"/>
          <w:rtl w:val="0"/>
          <w:lang w:val="en-US"/>
        </w:rPr>
        <w:t>C. difficile</w:t>
      </w:r>
      <w:r>
        <w:rPr>
          <w:rStyle w:val="None"/>
          <w:rFonts w:ascii="Arial" w:hAnsi="Arial"/>
          <w:sz w:val="22"/>
          <w:szCs w:val="22"/>
          <w:shd w:val="clear" w:color="auto" w:fill="ffff00"/>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w:t>
      </w:r>
      <w:r>
        <w:rPr>
          <w:rStyle w:val="None"/>
          <w:rFonts w:ascii="Arial" w:hAnsi="Arial"/>
          <w:sz w:val="22"/>
          <w:szCs w:val="22"/>
          <w:rtl w:val="0"/>
          <w:lang w:val="en-US"/>
        </w:rPr>
        <w:t xml:space="preserv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ffff00"/>
          <w:rtl w:val="0"/>
          <w:lang w:val="en-US"/>
        </w:rPr>
        <w:t>Fully curated reads were the mapped to C</w:t>
      </w:r>
      <w:r>
        <w:rPr>
          <w:rStyle w:val="None"/>
          <w:rFonts w:ascii="Arial" w:hAnsi="Arial"/>
          <w:i w:val="1"/>
          <w:iCs w:val="1"/>
          <w:sz w:val="22"/>
          <w:szCs w:val="22"/>
          <w:shd w:val="clear" w:color="auto" w:fill="ffff00"/>
          <w:rtl w:val="0"/>
          <w:lang w:val="en-US"/>
        </w:rPr>
        <w:t>lostridium difficile</w:t>
      </w:r>
      <w:r>
        <w:rPr>
          <w:rStyle w:val="None"/>
          <w:rFonts w:ascii="Arial" w:hAnsi="Arial"/>
          <w:sz w:val="22"/>
          <w:szCs w:val="22"/>
          <w:shd w:val="clear" w:color="auto" w:fill="ffff00"/>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package in R.</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 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r>
        <w:rPr>
          <w:rStyle w:val="None"/>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color="323232"/>
          <w:rtl w:val="0"/>
          <w:lang w:val="de-DE"/>
        </w:rPr>
        <w:t>PLoS ONE</w:t>
      </w:r>
      <w:r>
        <w:rPr>
          <w:rStyle w:val="None"/>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w:next w:val="Hyperlink.1"/>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ff"/>
      <w:sz w:val="18"/>
      <w:szCs w:val="18"/>
      <w:u w:val="single" w:color="0000ff"/>
      <w:lang w:val="en-US"/>
    </w:rPr>
  </w:style>
  <w:style w:type="character" w:styleId="Hyperlink.3">
    <w:name w:val="Hyperlink.3"/>
    <w:basedOn w:val="None"/>
    <w:next w:val="Hyperlink.3"/>
    <w:rPr>
      <w:rFonts w:ascii="Arial" w:cs="Arial" w:hAnsi="Arial" w:eastAsia="Arial"/>
      <w:color w:val="0000ff"/>
      <w:sz w:val="18"/>
      <w:szCs w:val="18"/>
      <w:u w:val="single" w:color="0000ff"/>
    </w:rPr>
  </w:style>
  <w:style w:type="character" w:styleId="Hyperlink.4">
    <w:name w:val="Hyperlink.4"/>
    <w:basedOn w:val="None"/>
    <w:next w:val="Hyperlink.4"/>
    <w:rPr>
      <w:rFonts w:ascii="Arial" w:cs="Arial" w:hAnsi="Arial" w:eastAsia="Arial"/>
      <w:color w:val="000080"/>
      <w:sz w:val="18"/>
      <w:szCs w:val="18"/>
      <w:u w:val="single" w:color="000080"/>
    </w:rPr>
  </w:style>
  <w:style w:type="character" w:styleId="Hyperlink.5">
    <w:name w:val="Hyperlink.5"/>
    <w:basedOn w:val="None"/>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