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i/>
          <w:i/>
          <w:iCs/>
          <w:color w:val="2C2D30"/>
          <w:sz w:val="22"/>
          <w:szCs w:val="22"/>
          <w:u w:val="none" w:color="2C2D30"/>
        </w:rPr>
      </w:pPr>
      <w:r>
        <w:rPr>
          <w:rFonts w:ascii="Arial" w:hAnsi="Arial"/>
          <w:b/>
          <w:bCs/>
          <w:sz w:val="22"/>
          <w:szCs w:val="22"/>
          <w:lang w:val="en-US"/>
        </w:rPr>
        <w:t>Title</w:t>
      </w:r>
    </w:p>
    <w:p>
      <w:pPr>
        <w:pStyle w:val="Default"/>
        <w:shd w:val="clear" w:color="auto" w:fill="FFFFFF"/>
        <w:spacing w:lineRule="auto" w:line="480"/>
        <w:jc w:val="both"/>
        <w:rPr>
          <w:rFonts w:ascii="Arial" w:hAnsi="Arial" w:eastAsia="Arial" w:cs="Arial"/>
          <w:b/>
          <w:b/>
          <w:bCs/>
          <w:sz w:val="22"/>
          <w:szCs w:val="22"/>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Authors</w:t>
      </w:r>
    </w:p>
    <w:p>
      <w:pPr>
        <w:pStyle w:val="Default"/>
        <w:shd w:val="clear" w:color="auto" w:fill="FFFFFF"/>
        <w:spacing w:lineRule="auto" w:line="480"/>
        <w:jc w:val="both"/>
        <w:rPr>
          <w:rFonts w:ascii="Arial" w:hAnsi="Arial" w:eastAsia="Arial" w:cs="Arial"/>
          <w:b/>
          <w:b/>
          <w:bCs/>
          <w:sz w:val="22"/>
          <w:szCs w:val="22"/>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Affiliations</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Abstract</w:t>
      </w:r>
    </w:p>
    <w:p>
      <w:pPr>
        <w:pStyle w:val="Default"/>
        <w:shd w:val="clear" w:color="auto"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Introduction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color="auto"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C.f.u./g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Bipartite metabolic models underscore known bacterial metabolism and reveal adaptive nutritional strategies of </w:t>
      </w:r>
      <w:r>
        <w:rPr>
          <w:rFonts w:ascii="Arial" w:hAnsi="Arial"/>
          <w:b/>
          <w:bCs/>
          <w:i/>
          <w:iCs/>
          <w:sz w:val="22"/>
          <w:szCs w:val="22"/>
          <w:lang w:val="en-US"/>
        </w:rPr>
        <w:t xml:space="preserve">C. difficile </w:t>
      </w:r>
      <w:r>
        <w:rPr>
          <w:rFonts w:ascii="Arial" w:hAnsi="Arial"/>
          <w:b/>
          <w:bCs/>
          <w:sz w:val="22"/>
          <w:szCs w:val="22"/>
          <w:lang w:val="en-US"/>
        </w:rPr>
        <w:t>during infection.</w:t>
      </w:r>
    </w:p>
    <w:p>
      <w:pPr>
        <w:pStyle w:val="Default"/>
        <w:shd w:val="clear" w:color="auto" w:fill="FFFFFF"/>
        <w:spacing w:lineRule="auto" w:line="480"/>
        <w:ind w:left="0" w:right="0" w:firstLine="709"/>
        <w:jc w:val="both"/>
        <w:rPr/>
      </w:pPr>
      <w:r>
        <w:rPr>
          <w:rFonts w:ascii="Arial" w:hAnsi="Arial"/>
          <w:sz w:val="22"/>
          <w:szCs w:val="22"/>
          <w:lang w:val="en-US"/>
        </w:rPr>
        <w:t xml:space="preserve">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S7a)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color="auto"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Important carbon sources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growth </w:t>
      </w:r>
      <w:r>
        <w:rPr>
          <w:rFonts w:ascii="Arial" w:hAnsi="Arial"/>
          <w:b/>
          <w:bCs/>
          <w:i/>
          <w:iCs/>
          <w:sz w:val="22"/>
          <w:szCs w:val="22"/>
          <w:lang w:val="en-US"/>
        </w:rPr>
        <w:t>in vitro</w:t>
      </w:r>
      <w:r>
        <w:rPr>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the most effective negative control is growth in media lacking carbohydrates but containing amino acids. </w:t>
      </w:r>
    </w:p>
    <w:p>
      <w:pPr>
        <w:pStyle w:val="Default"/>
        <w:shd w:val="clear" w:color="auto" w:fill="FFFFFF"/>
        <w:spacing w:lineRule="auto" w:line="480"/>
        <w:ind w:left="0" w:right="0" w:firstLine="709"/>
        <w:jc w:val="both"/>
        <w:rPr/>
      </w:pPr>
      <w:r>
        <w:rPr>
          <w:rFonts w:ascii="Arial" w:hAnsi="Arial"/>
          <w:sz w:val="22"/>
          <w:szCs w:val="22"/>
          <w:lang w:val="en-US"/>
        </w:rPr>
        <w:t>Shared metabolites tested for growth…</w:t>
      </w:r>
      <w:r>
        <w:rPr>
          <w:rFonts w:eastAsia="Arial" w:cs="Arial" w:ascii="Arial" w:hAnsi="Arial"/>
          <w:sz w:val="22"/>
          <w:szCs w:val="22"/>
          <w:lang w:val="en-US"/>
        </w:rPr>
        <w:t>need a new color for shared (purple?)</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At least one carbohydrate highlighted as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the negative control (corrected </w:t>
      </w:r>
      <w:r>
        <w:rPr>
          <w:rFonts w:ascii="Arial" w:hAnsi="Arial"/>
          <w:i/>
          <w:iCs/>
          <w:sz w:val="22"/>
          <w:szCs w:val="22"/>
          <w:lang w:val="en-US"/>
        </w:rPr>
        <w:t>p</w:t>
      </w:r>
      <w:r>
        <w:rPr>
          <w:rFonts w:ascii="Arial" w:hAnsi="Arial"/>
          <w:sz w:val="22"/>
          <w:szCs w:val="22"/>
          <w:lang w:val="en-US"/>
        </w:rPr>
        <w:t>-values &lt;&lt; 0.001) (Fig. 6b). This included D-fructose (streptomycin; OD</w:t>
      </w:r>
      <w:r>
        <w:rPr>
          <w:rFonts w:ascii="Arial" w:hAnsi="Arial"/>
          <w:sz w:val="22"/>
          <w:szCs w:val="22"/>
          <w:vertAlign w:val="subscript"/>
          <w:lang w:val="en-US"/>
        </w:rPr>
        <w:t xml:space="preserve">600 </w:t>
      </w:r>
      <w:r>
        <w:rPr>
          <w:rFonts w:ascii="Arial" w:hAnsi="Arial"/>
          <w:sz w:val="22"/>
          <w:szCs w:val="22"/>
          <w:lang w:val="en-US"/>
        </w:rPr>
        <w:t>= 0.671), mannitol (cefoperazone; OD</w:t>
      </w:r>
      <w:r>
        <w:rPr>
          <w:rFonts w:ascii="Arial" w:hAnsi="Arial"/>
          <w:sz w:val="22"/>
          <w:szCs w:val="22"/>
          <w:vertAlign w:val="subscript"/>
          <w:lang w:val="en-US"/>
        </w:rPr>
        <w:t xml:space="preserve">600 </w:t>
      </w:r>
      <w:r>
        <w:rPr>
          <w:rFonts w:ascii="Arial" w:hAnsi="Arial"/>
          <w:sz w:val="22"/>
          <w:szCs w:val="22"/>
          <w:lang w:val="en-US"/>
        </w:rPr>
        <w:t>= 0.464), salicin (clindamycin; OD</w:t>
      </w:r>
      <w:r>
        <w:rPr>
          <w:rFonts w:ascii="Arial" w:hAnsi="Arial"/>
          <w:sz w:val="22"/>
          <w:szCs w:val="22"/>
          <w:vertAlign w:val="subscript"/>
          <w:lang w:val="en-US"/>
        </w:rPr>
        <w:t xml:space="preserve">600 </w:t>
      </w:r>
      <w:r>
        <w:rPr>
          <w:rFonts w:ascii="Arial" w:hAnsi="Arial"/>
          <w:sz w:val="22"/>
          <w:szCs w:val="22"/>
          <w:lang w:val="en-US"/>
        </w:rPr>
        <w:t>= 0.888), N-acetylneuraminate (GF; OD</w:t>
      </w:r>
      <w:r>
        <w:rPr>
          <w:rFonts w:ascii="Arial" w:hAnsi="Arial"/>
          <w:sz w:val="22"/>
          <w:szCs w:val="22"/>
          <w:vertAlign w:val="subscript"/>
          <w:lang w:val="en-US"/>
        </w:rPr>
        <w:t xml:space="preserve">600 </w:t>
      </w:r>
      <w:r>
        <w:rPr>
          <w:rFonts w:ascii="Arial" w:hAnsi="Arial"/>
          <w:sz w:val="22"/>
          <w:szCs w:val="22"/>
          <w:lang w:val="en-US"/>
        </w:rPr>
        <w:t xml:space="preserve">= 0.556). Interestingly, the growth curve for D-sorbitol showed no difference over the negative controls. These results further support the importance scores and the hypothesis that </w:t>
      </w:r>
      <w:r>
        <w:rPr>
          <w:rFonts w:ascii="Arial" w:hAnsi="Arial"/>
          <w:i/>
          <w:iCs/>
          <w:sz w:val="22"/>
          <w:szCs w:val="22"/>
          <w:lang w:val="en-US"/>
        </w:rPr>
        <w:t>C. difficile</w:t>
      </w:r>
      <w:r>
        <w:rPr>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further investigate if preference and not just availability could play a role in which carbon source </w:t>
      </w:r>
      <w:r>
        <w:rPr>
          <w:rFonts w:ascii="Arial" w:hAnsi="Arial"/>
          <w:i/>
          <w:iCs/>
          <w:sz w:val="22"/>
          <w:szCs w:val="22"/>
          <w:lang w:val="en-US"/>
        </w:rPr>
        <w:t>C. difficile</w:t>
      </w:r>
      <w:r>
        <w:rPr>
          <w:rFonts w:ascii="Arial" w:hAnsi="Arial"/>
          <w:sz w:val="22"/>
          <w:szCs w:val="22"/>
          <w:lang w:val="en-US"/>
        </w:rPr>
        <w:t xml:space="preserve"> metabolizes at a given time, we also grew </w:t>
      </w:r>
      <w:r>
        <w:rPr>
          <w:rFonts w:ascii="Arial" w:hAnsi="Arial"/>
          <w:i/>
          <w:iCs/>
          <w:sz w:val="22"/>
          <w:szCs w:val="22"/>
          <w:lang w:val="en-US"/>
        </w:rPr>
        <w:t>C. difficile</w:t>
      </w:r>
      <w:r>
        <w:rPr>
          <w:rFonts w:ascii="Arial" w:hAnsi="Arial"/>
          <w:sz w:val="22"/>
          <w:szCs w:val="22"/>
          <w:lang w:val="en-US"/>
        </w:rPr>
        <w:t xml:space="preserve"> str. 630 in combinations of carbon sources from Fig. 5d. (Fig. 6c)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sz w:val="22"/>
          <w:szCs w:val="22"/>
          <w:lang w:val="en-US"/>
        </w:rPr>
        <w:t>Discussion</w:t>
      </w:r>
    </w:p>
    <w:p>
      <w:pPr>
        <w:pStyle w:val="Default"/>
        <w:shd w:val="clear" w:color="auto" w:fill="FFFFFF"/>
        <w:spacing w:lineRule="auto" w:line="480"/>
        <w:jc w:val="both"/>
        <w:rPr/>
      </w:pPr>
      <w:r>
        <w:rPr>
          <w:rFonts w:eastAsia="Arial" w:cs="Arial" w:ascii="Arial" w:hAnsi="Arial"/>
          <w:sz w:val="22"/>
          <w:szCs w:val="22"/>
        </w:rPr>
        <w:tab/>
        <w:t xml:space="preserve">Collectively, our results support our hypothesis that </w:t>
      </w:r>
      <w:r>
        <w:rPr>
          <w:rFonts w:ascii="Arial" w:hAnsi="Arial"/>
          <w:i/>
          <w:iCs/>
          <w:sz w:val="22"/>
          <w:szCs w:val="22"/>
          <w:lang w:val="en-US"/>
        </w:rPr>
        <w:t>C. difficile</w:t>
      </w:r>
      <w:r>
        <w:rPr>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w:t>
      </w:r>
      <w:r>
        <w:rPr>
          <w:rFonts w:eastAsia="Arial" w:cs="Arial" w:ascii="Arial" w:hAnsi="Arial"/>
          <w:sz w:val="22"/>
          <w:szCs w:val="22"/>
          <w:lang w:val="en-US"/>
        </w:rPr>
        <w:t xml:space="preserve">Several previous mass spectrometry-based efforts have been made to study intestinal content obtained from either SPF mice </w:t>
      </w:r>
      <w:r>
        <w:rPr>
          <w:rFonts w:ascii="Arial" w:hAnsi="Arial"/>
          <w:sz w:val="22"/>
          <w:szCs w:val="22"/>
          <w:lang w:val="en-US"/>
        </w:rPr>
        <w:t xml:space="preserve">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Fonts w:ascii="Arial" w:hAnsi="Arial"/>
          <w:sz w:val="22"/>
          <w:szCs w:val="22"/>
          <w:lang w:val="en-US"/>
        </w:rPr>
        <w:t xml:space="preserve">Sporulation and toxin production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Fonts w:ascii="Arial" w:hAnsi="Arial"/>
          <w:i/>
          <w:iCs/>
          <w:sz w:val="22"/>
          <w:szCs w:val="22"/>
          <w:lang w:val="en-US"/>
        </w:rPr>
        <w:t>C. difficile</w:t>
      </w:r>
      <w:r>
        <w:rPr>
          <w:rFonts w:ascii="Arial" w:hAnsi="Arial"/>
          <w:sz w:val="22"/>
          <w:szCs w:val="22"/>
          <w:lang w:val="en-US"/>
        </w:rPr>
        <w:t xml:space="preserve"> in each of condition. By directly examining the transcription of specific metabolic pathways, we were able to gain a greater understanding of the plasticity that </w:t>
      </w:r>
      <w:r>
        <w:rPr>
          <w:rFonts w:ascii="Arial" w:hAnsi="Arial"/>
          <w:i/>
          <w:iCs/>
          <w:sz w:val="22"/>
          <w:szCs w:val="22"/>
          <w:lang w:val="en-US"/>
        </w:rPr>
        <w:t>C. difficile</w:t>
      </w:r>
      <w:r>
        <w:rPr>
          <w:rFonts w:ascii="Arial" w:hAnsi="Arial"/>
          <w:sz w:val="22"/>
          <w:szCs w:val="22"/>
          <w:lang w:val="en-US"/>
        </w:rPr>
        <w:t xml:space="preserve"> possesses for nutrient utilization.</w:t>
      </w:r>
    </w:p>
    <w:p>
      <w:pPr>
        <w:pStyle w:val="Default"/>
        <w:shd w:val="clear" w:color="auto"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sz w:val="22"/>
          <w:szCs w:val="22"/>
          <w:lang w:val="en-US"/>
        </w:rPr>
        <w:t xml:space="preserve">This relationship has long been known to exist at least </w:t>
      </w:r>
      <w:r>
        <w:rPr>
          <w:rFonts w:ascii="Arial" w:hAnsi="Arial"/>
          <w:i/>
          <w:iCs/>
          <w:sz w:val="22"/>
          <w:szCs w:val="22"/>
          <w:lang w:val="en-US"/>
        </w:rPr>
        <w:t>in vitro</w:t>
      </w:r>
      <w:r>
        <w:rPr>
          <w:rFonts w:ascii="Arial" w:hAnsi="Arial"/>
          <w:sz w:val="22"/>
          <w:szCs w:val="22"/>
          <w:lang w:val="en-US"/>
        </w:rPr>
        <w:t xml:space="preserve"> with another strain of </w:t>
      </w:r>
      <w:r>
        <w:rPr>
          <w:rFonts w:ascii="Arial" w:hAnsi="Arial"/>
          <w:i/>
          <w:iCs/>
          <w:sz w:val="22"/>
          <w:szCs w:val="22"/>
          <w:lang w:val="en-US"/>
        </w:rPr>
        <w:t>C. difficile</w:t>
      </w:r>
      <w:r>
        <w:rPr>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i/>
          <w:iCs/>
          <w:sz w:val="22"/>
          <w:szCs w:val="22"/>
          <w:lang w:val="en-US"/>
        </w:rPr>
        <w:t>Makes sense with alyx’s clearance data – clinda sporulation gene expression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N-acetylneuraminic acid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iCs/>
          <w:sz w:val="22"/>
          <w:szCs w:val="22"/>
          <w:lang w:val="en-US"/>
        </w:rPr>
        <w:t>C. difficile</w:t>
      </w:r>
      <w:r>
        <w:rPr>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Many of the top scoring compounds appear to be associated with both fermentation and glycolysis, suggesting that these forms of </w:t>
      </w:r>
      <w:r>
        <w:rPr>
          <w:rFonts w:ascii="Arial" w:hAnsi="Arial"/>
          <w:i/>
          <w:iCs/>
          <w:sz w:val="22"/>
          <w:szCs w:val="22"/>
          <w:lang w:val="en-US"/>
        </w:rPr>
        <w:t>C. difficile</w:t>
      </w:r>
      <w:r>
        <w:rPr>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Fonts w:ascii="Arial" w:hAnsi="Arial"/>
          <w:sz w:val="22"/>
          <w:szCs w:val="22"/>
          <w:lang w:val="en-US"/>
        </w:rPr>
        <w:t xml:space="preserve">The known Stickland fermentation pathway in </w:t>
      </w:r>
      <w:r>
        <w:rPr>
          <w:rFonts w:ascii="Arial" w:hAnsi="Arial"/>
          <w:i/>
          <w:iCs/>
          <w:sz w:val="22"/>
          <w:szCs w:val="22"/>
          <w:lang w:val="en-US"/>
        </w:rPr>
        <w:t>C. difficile</w:t>
      </w:r>
      <w:r>
        <w:rPr>
          <w:rFonts w:ascii="Arial" w:hAnsi="Arial"/>
          <w:sz w:val="22"/>
          <w:szCs w:val="22"/>
          <w:lang w:val="en-US"/>
        </w:rPr>
        <w:t xml:space="preserve"> couples the oxidation and reduction of proline an glycine to generate ATP (Neumann-Schaal, 2015). Transcription of specifically the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prd</w:t>
      </w:r>
      <w:r>
        <w:rPr>
          <w:rFonts w:ascii="Arial" w:hAnsi="Arial"/>
          <w:sz w:val="22"/>
          <w:szCs w:val="22"/>
          <w:lang w:val="en-US"/>
        </w:rPr>
        <w:t xml:space="preserve"> operons indicates that both proline and glycine are present and the associated metabolic pathways have most likely been activated (Bouillaut, 2013).</w:t>
      </w:r>
      <w:r>
        <w:rPr>
          <w:rStyle w:val="None"/>
          <w:rFonts w:eastAsia="Arial Unicode MS" w:cs="Arial Unicode MS" w:ascii="Arial" w:hAnsi="Arial"/>
          <w:sz w:val="22"/>
          <w:szCs w:val="22"/>
          <w:lang w:val="en-US"/>
        </w:rPr>
        <w:t xml:space="preserve"> C. difficile as an autotroph could explain the appearance of CO2 in the shared metabolite list.</w:t>
      </w:r>
    </w:p>
    <w:p>
      <w:pPr>
        <w:pStyle w:val="Default"/>
        <w:shd w:val="clear" w:color="auto" w:fill="FFFFFF"/>
        <w:spacing w:lineRule="auto" w:line="480"/>
        <w:jc w:val="both"/>
        <w:rPr/>
      </w:pPr>
      <w:r>
        <w:rPr>
          <w:rStyle w:val="None"/>
          <w:rFonts w:eastAsia="Arial Unicode MS" w:cs="Arial Unicode MS" w:ascii="Arial" w:hAnsi="Arial"/>
          <w:sz w:val="22"/>
          <w:szCs w:val="22"/>
          <w:lang w:val="en-US"/>
        </w:rPr>
        <w:t>http://journals.plos.org/plosone/article?id=10.1371/journal.pone.0062157</w:t>
      </w:r>
    </w:p>
    <w:p>
      <w:pPr>
        <w:pStyle w:val="Default"/>
        <w:shd w:val="clear" w:color="auto" w:fill="FFFFFF"/>
        <w:spacing w:lineRule="auto" w:line="480"/>
        <w:jc w:val="both"/>
        <w:rPr>
          <w:rStyle w:val="None"/>
          <w:rFonts w:ascii="Arial" w:hAnsi="Arial"/>
          <w:sz w:val="22"/>
          <w:szCs w:val="22"/>
        </w:rPr>
      </w:pPr>
      <w:r>
        <w:rPr>
          <w:rFonts w:ascii="Arial" w:hAnsi="Arial"/>
          <w:sz w:val="22"/>
          <w:szCs w:val="22"/>
        </w:rPr>
      </w:r>
    </w:p>
    <w:p>
      <w:pPr>
        <w:pStyle w:val="Default"/>
        <w:shd w:val="clear" w:color="auto" w:fill="FFFFFF"/>
        <w:spacing w:lineRule="auto" w:line="480"/>
        <w:jc w:val="both"/>
        <w:rPr>
          <w:rFonts w:ascii="Arial" w:hAnsi="Arial"/>
        </w:rPr>
      </w:pPr>
      <w:r>
        <w:rPr>
          <w:rStyle w:val="None"/>
          <w:rFonts w:eastAsia="Arial" w:cs="Arial" w:ascii="Arial" w:hAnsi="Arial"/>
          <w:sz w:val="22"/>
          <w:szCs w:val="22"/>
          <w:lang w:val="en-US"/>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iCs/>
          <w:sz w:val="22"/>
          <w:szCs w:val="22"/>
          <w:lang w:val="en-US"/>
        </w:rPr>
        <w:t>C. difficile</w:t>
      </w:r>
      <w:r>
        <w:rPr>
          <w:rStyle w:val="None"/>
          <w:rFonts w:ascii="Arial" w:hAnsi="Arial"/>
          <w:sz w:val="22"/>
          <w:szCs w:val="22"/>
          <w:lang w:val="en-US"/>
        </w:rPr>
        <w:t xml:space="preserve"> (Fig. 3D). These systems have been linked to the lifestyle switch from growth/division to virulence/transmission of </w:t>
      </w:r>
      <w:r>
        <w:rPr>
          <w:rStyle w:val="None"/>
          <w:rFonts w:ascii="Arial" w:hAnsi="Arial"/>
          <w:i/>
          <w:iCs/>
          <w:sz w:val="22"/>
          <w:szCs w:val="22"/>
          <w:lang w:val="en-US"/>
        </w:rPr>
        <w:t>C. difficile</w:t>
      </w:r>
      <w:r>
        <w:rPr>
          <w:rStyle w:val="None"/>
          <w:rFonts w:ascii="Arial" w:hAnsi="Arial"/>
          <w:sz w:val="22"/>
          <w:szCs w:val="22"/>
          <w:lang w:val="en-US"/>
        </w:rPr>
        <w:t xml:space="preserve"> (Darkoh, 2015; Carter, 2005). Transcripts for </w:t>
      </w:r>
      <w:r>
        <w:rPr>
          <w:rStyle w:val="None"/>
          <w:rFonts w:ascii="Arial" w:hAnsi="Arial"/>
          <w:i/>
          <w:iCs/>
          <w:sz w:val="22"/>
          <w:szCs w:val="22"/>
          <w:lang w:val="en-US"/>
        </w:rPr>
        <w:t>agrB</w:t>
      </w:r>
      <w:r>
        <w:rPr>
          <w:rStyle w:val="None"/>
          <w:rFonts w:ascii="Arial" w:hAnsi="Arial"/>
          <w:sz w:val="22"/>
          <w:szCs w:val="22"/>
          <w:lang w:val="en-US"/>
        </w:rPr>
        <w:t xml:space="preserve">, </w:t>
      </w:r>
      <w:r>
        <w:rPr>
          <w:rStyle w:val="None"/>
          <w:rFonts w:ascii="Arial" w:hAnsi="Arial"/>
          <w:i/>
          <w:iCs/>
          <w:sz w:val="22"/>
          <w:szCs w:val="22"/>
          <w:lang w:val="en-US"/>
        </w:rPr>
        <w:t>agrD</w:t>
      </w:r>
      <w:r>
        <w:rPr>
          <w:rStyle w:val="None"/>
          <w:rFonts w:ascii="Arial" w:hAnsi="Arial"/>
          <w:sz w:val="22"/>
          <w:szCs w:val="22"/>
          <w:lang w:val="en-US"/>
        </w:rPr>
        <w:t xml:space="preserve">, and </w:t>
      </w:r>
      <w:r>
        <w:rPr>
          <w:rStyle w:val="None"/>
          <w:rFonts w:ascii="Arial" w:hAnsi="Arial"/>
          <w:i/>
          <w:iCs/>
          <w:sz w:val="22"/>
          <w:szCs w:val="22"/>
          <w:lang w:val="en-US"/>
        </w:rPr>
        <w:t>luxS</w:t>
      </w:r>
      <w:r>
        <w:rPr>
          <w:rStyle w:val="None"/>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w:rFonts w:ascii="Arial" w:hAnsi="Arial"/>
          <w:i/>
          <w:iCs/>
          <w:sz w:val="22"/>
          <w:szCs w:val="22"/>
          <w:lang w:val="en-US"/>
        </w:rPr>
        <w:t>C. difficile</w:t>
      </w:r>
      <w:r>
        <w:rPr>
          <w:rStyle w:val="None"/>
          <w:rFonts w:ascii="Arial" w:hAnsi="Arial"/>
          <w:sz w:val="22"/>
          <w:szCs w:val="22"/>
          <w:lang w:val="en-US"/>
        </w:rPr>
        <w:t xml:space="preserve"> quorum sensing occurring. </w:t>
      </w:r>
    </w:p>
    <w:p>
      <w:pPr>
        <w:pStyle w:val="Default"/>
        <w:shd w:val="clear" w:color="auto" w:fill="FFFFFF"/>
        <w:spacing w:lineRule="auto" w:line="480"/>
        <w:jc w:val="both"/>
        <w:rPr>
          <w:rStyle w:val="None"/>
          <w:rFonts w:ascii="Arial" w:hAnsi="Arial"/>
          <w:sz w:val="22"/>
          <w:szCs w:val="22"/>
          <w:lang w:val="en-US"/>
        </w:rPr>
      </w:pPr>
      <w:r>
        <w:rPr>
          <w:rFonts w:ascii="Arial" w:hAnsi="Arial"/>
          <w:sz w:val="22"/>
          <w:szCs w:val="22"/>
          <w:lang w:val="en-US"/>
        </w:rPr>
      </w:r>
    </w:p>
    <w:p>
      <w:pPr>
        <w:pStyle w:val="Default"/>
        <w:shd w:val="clear" w:color="auto" w:fill="FFFFFF"/>
        <w:spacing w:lineRule="auto" w:line="480"/>
        <w:jc w:val="both"/>
        <w:rPr>
          <w:rFonts w:ascii="Arial" w:hAnsi="Arial"/>
        </w:rPr>
      </w:pPr>
      <w:r>
        <w:rPr>
          <w:rStyle w:val="None"/>
          <w:rFonts w:ascii="Arial" w:hAnsi="Arial"/>
          <w:sz w:val="22"/>
          <w:szCs w:val="22"/>
          <w:lang w:val="en-US"/>
        </w:rPr>
        <w:tab/>
      </w:r>
      <w:r>
        <w:rPr>
          <w:rFonts w:ascii="Arial" w:hAnsi="Arial"/>
          <w:sz w:val="22"/>
          <w:szCs w:val="22"/>
          <w:lang w:val="en-US"/>
        </w:rPr>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iCs/>
          <w:sz w:val="22"/>
          <w:szCs w:val="22"/>
          <w:lang w:val="en-US"/>
        </w:rPr>
        <w:t>C. difficile</w:t>
      </w:r>
      <w:r>
        <w:rPr>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Fonts w:ascii="Arial" w:hAnsi="Arial" w:eastAsia="Arial" w:cs="Arial"/>
          <w:sz w:val="22"/>
          <w:szCs w:val="22"/>
        </w:rPr>
      </w:pPr>
      <w:r>
        <w:rPr>
          <w:rFonts w:eastAsia="Arial Unicode MS" w:cs="Arial Unicode MS" w:ascii="Arial" w:hAnsi="Arial"/>
          <w:sz w:val="22"/>
          <w:szCs w:val="22"/>
        </w:rPr>
        <w:br/>
      </w:r>
      <w:r>
        <w:rPr>
          <w:rFonts w:ascii="Arial" w:hAnsi="Arial"/>
          <w:sz w:val="22"/>
          <w:szCs w:val="22"/>
          <w:lang w:val="en-US"/>
        </w:rPr>
        <w:t>p-cresol being produced to negatively impact surrounding community</w:t>
      </w:r>
    </w:p>
    <w:p>
      <w:pPr>
        <w:pStyle w:val="Default"/>
        <w:shd w:val="clear" w:color="auto" w:fill="FFFFFF"/>
        <w:spacing w:lineRule="auto" w:line="480"/>
        <w:jc w:val="both"/>
        <w:rPr/>
      </w:pPr>
      <w:r>
        <w:rPr>
          <w:lang w:val="en-US"/>
        </w:rPr>
        <w:t xml:space="preserve">Selmer, T., &amp; Andrei, P. I. (2001). p-hydroxyphenylacetate decarboxylase from Clostridium difficile: A novel glycyl radical enzyme catalysing the formation of p-cresol. European Journal of Biochemistry, 268(5), 1363–1372. </w:t>
      </w:r>
      <w:hyperlink r:id="rId2">
        <w:r>
          <w:rPr>
            <w:rStyle w:val="Hyperlink0"/>
            <w:lang w:val="en-US"/>
          </w:rPr>
          <w:t>http://doi.org/10.1046/j.1432-1327.2001.02001.x</w:t>
        </w:r>
      </w:hyperlink>
    </w:p>
    <w:p>
      <w:pPr>
        <w:pStyle w:val="Default"/>
        <w:shd w:val="clear" w:color="auto" w:fill="FFFFFF"/>
        <w:spacing w:lineRule="auto" w:line="480"/>
        <w:jc w:val="both"/>
        <w:rPr/>
      </w:pPr>
      <w:r>
        <w:rPr/>
      </w:r>
    </w:p>
    <w:p>
      <w:pPr>
        <w:pStyle w:val="Default"/>
        <w:shd w:val="clear" w:color="auto" w:fill="FFFFFF"/>
        <w:spacing w:lineRule="auto" w:line="480"/>
        <w:rPr/>
      </w:pPr>
      <w:r>
        <w:rPr>
          <w:rStyle w:val="None"/>
          <w:rFonts w:ascii="Arial" w:hAnsi="Arial"/>
          <w:sz w:val="22"/>
          <w:szCs w:val="22"/>
          <w:lang w:val="en-US"/>
        </w:rPr>
        <w:t>cdf:CD630_01550</w:t>
        <w:tab/>
        <w:t>4-hydroxyphenylacetate decarboxylase, activating subunit HpdA</w:t>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sz w:val="22"/>
          <w:szCs w:val="22"/>
          <w:lang w:val="en-US"/>
        </w:rPr>
      </w:pPr>
      <w:r>
        <w:rPr>
          <w:rFonts w:ascii="Arial" w:hAnsi="Arial"/>
          <w:sz w:val="22"/>
          <w:szCs w:val="22"/>
          <w:lang w:val="en-US"/>
        </w:rPr>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eastAsia="Arial" w:cs="Arial"/>
          <w:b/>
          <w:b/>
          <w:bCs/>
          <w:sz w:val="22"/>
          <w:szCs w:val="22"/>
        </w:rPr>
      </w:pPr>
      <w:r>
        <w:rPr>
          <w:rStyle w:val="None"/>
          <w:rFonts w:ascii="Arial" w:hAnsi="Arial"/>
          <w:b/>
          <w:bCs/>
          <w:sz w:val="22"/>
          <w:szCs w:val="22"/>
          <w:lang w:val="en-US"/>
        </w:rPr>
        <w:t>Materials and Methods</w:t>
      </w:r>
    </w:p>
    <w:p>
      <w:pPr>
        <w:pStyle w:val="Default"/>
        <w:shd w:val="clear" w:color="auto" w:fill="FFFFFF"/>
        <w:spacing w:lineRule="auto" w:line="480"/>
        <w:jc w:val="both"/>
        <w:rPr/>
      </w:pPr>
      <w:r>
        <w:rPr>
          <w:rStyle w:val="None"/>
          <w:rFonts w:ascii="Arial" w:hAnsi="Arial"/>
          <w:b/>
          <w:bCs/>
          <w:sz w:val="22"/>
          <w:szCs w:val="22"/>
          <w:lang w:val="en-US"/>
        </w:rPr>
        <w:t xml:space="preserve">Animal care and antibiotic administration. </w:t>
      </w:r>
      <w:r>
        <w:rPr>
          <w:rStyle w:val="None"/>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w:rFonts w:ascii="Arial" w:hAnsi="Arial"/>
          <w:i/>
          <w:iCs/>
          <w:sz w:val="22"/>
          <w:szCs w:val="22"/>
          <w:lang w:val="en-US"/>
        </w:rPr>
        <w:t>ad libitum</w:t>
      </w:r>
      <w:r>
        <w:rPr>
          <w:rStyle w:val="None"/>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 xml:space="preserve">C. difficile </w:t>
      </w:r>
      <w:r>
        <w:rPr>
          <w:rStyle w:val="None"/>
          <w:rFonts w:ascii="Arial" w:hAnsi="Arial"/>
          <w:b/>
          <w:bCs/>
          <w:sz w:val="22"/>
          <w:szCs w:val="22"/>
          <w:lang w:val="en-US"/>
        </w:rPr>
        <w:t xml:space="preserve">infection and necropsy. </w:t>
      </w:r>
      <w:r>
        <w:rPr>
          <w:rStyle w:val="None"/>
          <w:rFonts w:ascii="Arial" w:hAnsi="Arial"/>
          <w:i/>
          <w:iCs/>
          <w:sz w:val="22"/>
          <w:szCs w:val="22"/>
          <w:lang w:val="en-US"/>
        </w:rPr>
        <w:t>C. difficile</w:t>
      </w:r>
      <w:r>
        <w:rPr>
          <w:rStyle w:val="None"/>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
          <w:rFonts w:ascii="Arial" w:hAnsi="Arial"/>
          <w:i/>
          <w:iCs/>
          <w:sz w:val="22"/>
          <w:szCs w:val="22"/>
          <w:lang w:val="en-US"/>
        </w:rPr>
        <w:t>C. difficile</w:t>
      </w:r>
      <w:r>
        <w:rPr>
          <w:rStyle w:val="None"/>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C. difficile</w:t>
      </w:r>
      <w:r>
        <w:rPr>
          <w:rStyle w:val="None"/>
          <w:rFonts w:ascii="Arial" w:hAnsi="Arial"/>
          <w:b/>
          <w:bCs/>
          <w:sz w:val="22"/>
          <w:szCs w:val="22"/>
          <w:lang w:val="en-US"/>
        </w:rPr>
        <w:t xml:space="preserve"> cultivation and quantification. </w:t>
      </w:r>
      <w:r>
        <w:rPr>
          <w:rStyle w:val="None"/>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i/>
          <w:iCs/>
          <w:sz w:val="22"/>
          <w:szCs w:val="22"/>
          <w:lang w:val="en-US"/>
        </w:rPr>
        <w:t>C. difficile</w:t>
      </w:r>
      <w:r>
        <w:rPr>
          <w:rStyle w:val="None"/>
          <w:rFonts w:ascii="Arial" w:hAnsi="Arial"/>
          <w:b/>
          <w:bCs/>
          <w:sz w:val="22"/>
          <w:szCs w:val="22"/>
          <w:lang w:val="en-US"/>
        </w:rPr>
        <w:t xml:space="preserve"> toxin titer assay.</w:t>
      </w:r>
      <w:r>
        <w:rPr>
          <w:rStyle w:val="None"/>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
          <w:rFonts w:ascii="Arial" w:hAnsi="Arial"/>
          <w:sz w:val="22"/>
          <w:szCs w:val="22"/>
          <w:vertAlign w:val="superscript"/>
          <w:lang w:val="en-US"/>
        </w:rPr>
        <w:t>5</w:t>
      </w:r>
      <w:r>
        <w:rPr>
          <w:rStyle w:val="None"/>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3">
        <w:r>
          <w:rPr>
            <w:rStyle w:val="Hyperlink1"/>
            <w:lang w:val="en-US"/>
          </w:rPr>
          <w:t>https://github.com/jlleslie/Intraspecific_Competition/blob/master/methods/Verocell_ToxinActivity_Assa</w:t>
        </w:r>
      </w:hyperlink>
      <w:hyperlink r:id="rId4">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5">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6">
        <w:r>
          <w:rPr>
            <w:rStyle w:val="Hyperlink2"/>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7">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Bipartite Metabolic Modeling.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Rule="auto" w:line="480"/>
        <w:jc w:val="both"/>
        <w:rPr>
          <w:rStyle w:val="None"/>
          <w:rFonts w:ascii="Arial" w:hAnsi="Arial" w:eastAsia="Arial" w:cs="Arial"/>
          <w:sz w:val="22"/>
          <w:szCs w:val="22"/>
        </w:rPr>
      </w:pPr>
      <w:r>
        <w:rPr>
          <w:rStyle w:val="None"/>
          <w:rFonts w:eastAsia="Arial" w:cs="Arial" w:ascii="Arial" w:hAnsi="Arial"/>
          <w:sz w:val="22"/>
          <w:szCs w:val="22"/>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None"/>
          <w:rFonts w:ascii="Arial" w:hAnsi="Arial"/>
          <w:sz w:val="22"/>
          <w:szCs w:val="2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None"/>
          <w:rFonts w:ascii="Arial" w:hAnsi="Arial"/>
          <w:sz w:val="22"/>
          <w:szCs w:val="22"/>
          <w:lang w:val="en-US"/>
        </w:rPr>
        <w:t>), representing the reactions they mediate that either create or utilize the substrate (</w:t>
      </w:r>
      <w:r>
        <w:rPr>
          <w:rStyle w:val="None"/>
          <w:rFonts w:ascii="Arial" w:hAnsi="Arial"/>
          <w:b/>
          <w:bCs/>
          <w:sz w:val="22"/>
          <w:szCs w:val="22"/>
          <w:lang w:val="en-US"/>
        </w:rPr>
        <w:t>s</w:t>
      </w:r>
      <w:r>
        <w:rPr>
          <w:rStyle w:val="None"/>
          <w:rFonts w:ascii="Arial" w:hAnsi="Arial"/>
          <w:sz w:val="22"/>
          <w:szCs w:val="22"/>
          <w:lang w:val="en-US"/>
        </w:rPr>
        <w:t xml:space="preserve">).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The sum is then taken of transcript abundances for enzyme nodes that connect with a given substrate node with the same direction edge (</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None"/>
          <w:rFonts w:ascii="Arial" w:hAnsi="Arial"/>
          <w:sz w:val="22"/>
          <w:szCs w:val="2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None"/>
          <w:rFonts w:ascii="Arial" w:hAnsi="Arial"/>
          <w:sz w:val="22"/>
          <w:szCs w:val="22"/>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hyperlink r:id="rId8">
        <w:r>
          <w:rPr>
            <w:rStyle w:val="Hyperlink2"/>
            <w:lang w:val="en-US"/>
          </w:rPr>
          <w:t>https://github.com/mjenior/bigsmall</w:t>
        </w:r>
      </w:hyperlink>
      <w:r>
        <w:rPr>
          <w:rStyle w:val="None"/>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Mathematical validation of metabolite importance scores. </w:t>
      </w:r>
      <w:r>
        <w:rPr>
          <w:rStyle w:val="None"/>
          <w:rFonts w:ascii="Arial" w:hAnsi="Arial"/>
          <w:sz w:val="22"/>
          <w:szCs w:val="22"/>
          <w:lang w:val="en-US"/>
        </w:rPr>
        <w:t xml:space="preserve">As sequencing replicates of </w:t>
      </w:r>
      <w:r>
        <w:rPr>
          <w:rStyle w:val="None"/>
          <w:rFonts w:ascii="Arial" w:hAnsi="Arial"/>
          <w:i/>
          <w:iCs/>
          <w:sz w:val="22"/>
          <w:szCs w:val="22"/>
          <w:lang w:val="en-US"/>
        </w:rPr>
        <w:t>in vivo</w:t>
      </w:r>
      <w:r>
        <w:rPr>
          <w:rStyle w:val="None"/>
          <w:rFonts w:ascii="Arial" w:hAnsi="Arial"/>
          <w:sz w:val="22"/>
          <w:szCs w:val="22"/>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iCs/>
          <w:sz w:val="22"/>
          <w:szCs w:val="22"/>
          <w:lang w:val="en-US"/>
        </w:rPr>
        <w:t xml:space="preserve"> de novo</w:t>
      </w:r>
      <w:r>
        <w:rPr>
          <w:rStyle w:val="None"/>
          <w:rFonts w:ascii="Arial" w:hAnsi="Arial"/>
          <w:sz w:val="22"/>
          <w:szCs w:val="22"/>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None"/>
          <w:rFonts w:ascii="Arial" w:hAnsi="Arial"/>
          <w:sz w:val="22"/>
          <w:szCs w:val="22"/>
          <w:lang w:val="en-US"/>
        </w:rPr>
        <w:t xml:space="preserve">The carbon-free variation of </w:t>
      </w:r>
      <w:r>
        <w:rPr>
          <w:rStyle w:val="None"/>
          <w:rFonts w:ascii="Arial" w:hAnsi="Arial"/>
          <w:i/>
          <w:iCs/>
          <w:sz w:val="22"/>
          <w:szCs w:val="22"/>
          <w:lang w:val="en-US"/>
        </w:rPr>
        <w:t>C. difficile</w:t>
      </w:r>
      <w:r>
        <w:rPr>
          <w:rStyle w:val="None"/>
          <w:rFonts w:ascii="Arial" w:hAnsi="Arial"/>
          <w:sz w:val="22"/>
          <w:szCs w:val="22"/>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w:t>
      </w:r>
    </w:p>
    <w:p>
      <w:pPr>
        <w:pStyle w:val="Default"/>
        <w:shd w:val="clear" w:color="auto" w:fill="FFFFFF"/>
        <w:spacing w:lineRule="auto" w:line="480"/>
        <w:jc w:val="both"/>
        <w:rPr/>
      </w:pPr>
      <w:r>
        <w:rPr>
          <w:rStyle w:val="None"/>
          <w:rFonts w:eastAsia="Arial" w:cs="Arial" w:ascii="Arial" w:hAnsi="Arial"/>
          <w:sz w:val="22"/>
          <w:szCs w:val="22"/>
        </w:rPr>
        <w:tab/>
        <w:t>All culturing and growth measurement were performed anaerobically in a Coy Type B Vinyl Anaerobic Chamber (3.0% H, 5.0% CO</w:t>
      </w:r>
      <w:r>
        <w:rPr>
          <w:rStyle w:val="None"/>
          <w:rFonts w:ascii="Arial" w:hAnsi="Arial"/>
          <w:sz w:val="22"/>
          <w:szCs w:val="22"/>
          <w:vertAlign w:val="subscript"/>
          <w:lang w:val="en-US"/>
        </w:rPr>
        <w:t>2</w:t>
      </w:r>
      <w:r>
        <w:rPr>
          <w:rStyle w:val="None"/>
          <w:rFonts w:ascii="Arial" w:hAnsi="Arial"/>
          <w:sz w:val="22"/>
          <w:szCs w:val="22"/>
          <w:lang w:val="en-US"/>
        </w:rPr>
        <w:t xml:space="preserve">, 92.0% N, 0.0% O). </w:t>
      </w:r>
      <w:r>
        <w:rPr>
          <w:rStyle w:val="None"/>
          <w:rFonts w:ascii="Arial" w:hAnsi="Arial"/>
          <w:i/>
          <w:iCs/>
          <w:sz w:val="22"/>
          <w:szCs w:val="22"/>
          <w:lang w:val="en-US"/>
        </w:rPr>
        <w:t>C. difficile</w:t>
      </w:r>
      <w:r>
        <w:rPr>
          <w:rStyle w:val="None"/>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None"/>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None"/>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Figure Legends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None"/>
          <w:rFonts w:ascii="Arial" w:hAnsi="Arial"/>
          <w:sz w:val="22"/>
          <w:szCs w:val="22"/>
          <w:lang w:val="en-US"/>
        </w:rPr>
        <w:t xml:space="preserve"> Nine wild-type C57BL/6 mice were included in each pretreatment group. </w:t>
      </w:r>
      <w:r>
        <w:rPr>
          <w:rStyle w:val="None"/>
          <w:rFonts w:ascii="Arial" w:hAnsi="Arial"/>
          <w:b/>
          <w:bCs/>
          <w:sz w:val="22"/>
          <w:szCs w:val="22"/>
          <w:lang w:val="en-US"/>
        </w:rPr>
        <w:t>(a)</w:t>
      </w:r>
      <w:r>
        <w:rPr>
          <w:rStyle w:val="None"/>
          <w:rFonts w:ascii="Arial" w:hAnsi="Arial"/>
          <w:sz w:val="22"/>
          <w:szCs w:val="22"/>
          <w:lang w:val="en-US"/>
        </w:rPr>
        <w:t xml:space="preserve"> Streptomycin or </w:t>
      </w:r>
      <w:r>
        <w:rPr>
          <w:rStyle w:val="None"/>
          <w:rFonts w:ascii="Arial" w:hAnsi="Arial"/>
          <w:b/>
          <w:bCs/>
          <w:sz w:val="22"/>
          <w:szCs w:val="22"/>
          <w:lang w:val="en-US"/>
        </w:rPr>
        <w:t>(b)</w:t>
      </w:r>
      <w:r>
        <w:rPr>
          <w:rStyle w:val="None"/>
          <w:rFonts w:ascii="Arial" w:hAnsi="Arial"/>
          <w:sz w:val="22"/>
          <w:szCs w:val="22"/>
          <w:lang w:val="en-US"/>
        </w:rPr>
        <w:t xml:space="preserve"> cefoperazone administered </w:t>
      </w:r>
      <w:r>
        <w:rPr>
          <w:rStyle w:val="None"/>
          <w:rFonts w:ascii="Arial" w:hAnsi="Arial"/>
          <w:i/>
          <w:iCs/>
          <w:sz w:val="22"/>
          <w:szCs w:val="22"/>
          <w:lang w:val="en-US"/>
        </w:rPr>
        <w:t>ad libitum</w:t>
      </w:r>
      <w:r>
        <w:rPr>
          <w:rStyle w:val="None"/>
          <w:rFonts w:ascii="Arial" w:hAnsi="Arial"/>
          <w:sz w:val="22"/>
          <w:szCs w:val="2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None"/>
          <w:rFonts w:ascii="Arial" w:hAnsi="Arial"/>
          <w:sz w:val="22"/>
          <w:szCs w:val="22"/>
          <w:lang w:val="en-US"/>
        </w:rPr>
        <w:t xml:space="preserve"> a single clindamycin intraperitoneal injection on Day -1 prior to infection, or </w:t>
      </w:r>
      <w:r>
        <w:rPr>
          <w:rStyle w:val="None"/>
          <w:rFonts w:ascii="Arial" w:hAnsi="Arial"/>
          <w:b/>
          <w:bCs/>
          <w:sz w:val="22"/>
          <w:szCs w:val="22"/>
          <w:lang w:val="en-US"/>
        </w:rPr>
        <w:t>(d)</w:t>
      </w:r>
      <w:r>
        <w:rPr>
          <w:rStyle w:val="None"/>
          <w:rFonts w:ascii="Arial" w:hAnsi="Arial"/>
          <w:sz w:val="22"/>
          <w:szCs w:val="2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None"/>
          <w:rFonts w:ascii="Arial" w:hAnsi="Arial"/>
          <w:sz w:val="22"/>
          <w:szCs w:val="22"/>
          <w:lang w:val="en-US"/>
        </w:rPr>
        <w:t xml:space="preserve"> Vegetative </w:t>
      </w:r>
      <w:r>
        <w:rPr>
          <w:rStyle w:val="None"/>
          <w:rFonts w:ascii="Arial" w:hAnsi="Arial"/>
          <w:i/>
          <w:iCs/>
          <w:sz w:val="22"/>
          <w:szCs w:val="22"/>
          <w:lang w:val="en-US"/>
        </w:rPr>
        <w:t>C. difficile</w:t>
      </w:r>
      <w:r>
        <w:rPr>
          <w:rStyle w:val="None"/>
          <w:rFonts w:ascii="Arial" w:hAnsi="Arial"/>
          <w:sz w:val="22"/>
          <w:szCs w:val="2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 xml:space="preserve">(b) </w:t>
      </w:r>
      <w:r>
        <w:rPr>
          <w:rStyle w:val="None"/>
          <w:rFonts w:ascii="Arial" w:hAnsi="Arial"/>
          <w:b w:val="false"/>
          <w:bCs w:val="false"/>
          <w:i/>
          <w:iCs/>
          <w:sz w:val="22"/>
          <w:szCs w:val="22"/>
          <w:lang w:val="en-US"/>
        </w:rPr>
        <w:t>C. difficile</w:t>
      </w:r>
      <w:r>
        <w:rPr>
          <w:rStyle w:val="None"/>
          <w:rFonts w:ascii="Arial" w:hAnsi="Arial"/>
          <w:b w:val="false"/>
          <w:bCs w:val="false"/>
          <w:sz w:val="22"/>
          <w:szCs w:val="22"/>
          <w:lang w:val="en-US"/>
        </w:rPr>
        <w:t xml:space="preserve"> spore c</w:t>
      </w:r>
      <w:r>
        <w:rPr>
          <w:rStyle w:val="None"/>
          <w:rFonts w:ascii="Arial" w:hAnsi="Arial"/>
          <w:sz w:val="22"/>
          <w:szCs w:val="22"/>
          <w:lang w:val="en-US"/>
        </w:rPr>
        <w:t>.f.u. per gram of cecal content. Significantly more spores were detectable in GF mice compared to any of the antibiotic-treated SPF groups (*</w:t>
      </w:r>
      <w:r>
        <w:rPr>
          <w:rStyle w:val="None"/>
          <w:rFonts w:ascii="Arial" w:hAnsi="Arial"/>
          <w:i/>
          <w:iCs/>
          <w:sz w:val="22"/>
          <w:szCs w:val="22"/>
          <w:lang w:val="en-US"/>
        </w:rPr>
        <w:t>P</w:t>
      </w:r>
      <w:r>
        <w:rPr>
          <w:rStyle w:val="None"/>
          <w:rFonts w:ascii="Arial" w:hAnsi="Arial"/>
          <w:sz w:val="22"/>
          <w:szCs w:val="22"/>
          <w:lang w:val="en-US"/>
        </w:rPr>
        <w:t xml:space="preserve"> &lt; 0.05). </w:t>
      </w:r>
      <w:r>
        <w:rPr>
          <w:rStyle w:val="None"/>
          <w:rFonts w:ascii="Arial" w:hAnsi="Arial"/>
          <w:b/>
          <w:bCs/>
          <w:sz w:val="22"/>
          <w:szCs w:val="22"/>
          <w:lang w:val="en-US"/>
        </w:rPr>
        <w:t>(c)</w:t>
      </w:r>
      <w:r>
        <w:rPr>
          <w:rStyle w:val="None"/>
          <w:rFonts w:ascii="Arial" w:hAnsi="Arial"/>
          <w:sz w:val="22"/>
          <w:szCs w:val="2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None"/>
          <w:rFonts w:ascii="Arial" w:hAnsi="Arial"/>
          <w:sz w:val="22"/>
          <w:szCs w:val="22"/>
          <w:lang w:val="en-US"/>
        </w:rPr>
        <w:t xml:space="preserve"> &lt; 0.05). UD*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b</w:t>
      </w:r>
      <w:r>
        <w:rPr>
          <w:rStyle w:val="None"/>
          <w:rFonts w:ascii="Arial" w:hAnsi="Arial"/>
          <w:sz w:val="22"/>
          <w:szCs w:val="22"/>
          <w:lang w:val="en-US"/>
        </w:rPr>
        <w:t>,</w:t>
      </w:r>
      <w:r>
        <w:rPr>
          <w:rStyle w:val="None"/>
          <w:rFonts w:ascii="Arial" w:hAnsi="Arial"/>
          <w:b/>
          <w:bCs/>
          <w:sz w:val="22"/>
          <w:szCs w:val="22"/>
          <w:lang w:val="en-US"/>
        </w:rPr>
        <w:t>c</w:t>
      </w:r>
      <w:r>
        <w:rPr>
          <w:rStyle w:val="None"/>
          <w:rFonts w:ascii="Arial" w:hAnsi="Arial"/>
          <w:sz w:val="22"/>
          <w:szCs w:val="2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None"/>
          <w:rFonts w:ascii="Arial" w:hAnsi="Arial"/>
          <w:sz w:val="22"/>
          <w:szCs w:val="2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None"/>
          <w:rFonts w:ascii="Arial" w:hAnsi="Arial"/>
          <w:sz w:val="22"/>
          <w:szCs w:val="2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None"/>
          <w:rFonts w:ascii="Arial" w:hAnsi="Arial"/>
          <w:sz w:val="22"/>
          <w:szCs w:val="22"/>
          <w:lang w:val="en-US"/>
        </w:rPr>
        <w:t xml:space="preserve"> in each condition. </w:t>
      </w:r>
      <w:r>
        <w:rPr>
          <w:rStyle w:val="None"/>
          <w:rFonts w:ascii="Arial" w:hAnsi="Arial"/>
          <w:b/>
          <w:bCs/>
          <w:sz w:val="22"/>
          <w:szCs w:val="22"/>
          <w:lang w:val="en-US"/>
        </w:rPr>
        <w:t>(a)</w:t>
      </w:r>
      <w:r>
        <w:rPr>
          <w:rStyle w:val="None"/>
          <w:rFonts w:ascii="Arial" w:hAnsi="Arial"/>
          <w:sz w:val="22"/>
          <w:szCs w:val="22"/>
          <w:lang w:val="en-US"/>
        </w:rPr>
        <w:t xml:space="preserve"> Select genes from the </w:t>
      </w:r>
      <w:r>
        <w:rPr>
          <w:rStyle w:val="None"/>
          <w:rFonts w:ascii="Arial" w:hAnsi="Arial"/>
          <w:i/>
          <w:iCs/>
          <w:sz w:val="22"/>
          <w:szCs w:val="22"/>
          <w:lang w:val="en-US"/>
        </w:rPr>
        <w:t>C. difficile</w:t>
      </w:r>
      <w:r>
        <w:rPr>
          <w:rStyle w:val="None"/>
          <w:rFonts w:ascii="Arial" w:hAnsi="Arial"/>
          <w:sz w:val="22"/>
          <w:szCs w:val="22"/>
          <w:lang w:val="en-US"/>
        </w:rPr>
        <w:t xml:space="preserve"> sporulation pathway with the greatest variation in expression between the conditions tested. </w:t>
      </w:r>
      <w:r>
        <w:rPr>
          <w:rStyle w:val="None"/>
          <w:rFonts w:ascii="Arial" w:hAnsi="Arial"/>
          <w:b/>
          <w:bCs/>
          <w:sz w:val="22"/>
          <w:szCs w:val="22"/>
          <w:lang w:val="en-US"/>
        </w:rPr>
        <w:t>(b)</w:t>
      </w:r>
      <w:r>
        <w:rPr>
          <w:rStyle w:val="None"/>
          <w:rFonts w:ascii="Arial" w:hAnsi="Arial"/>
          <w:sz w:val="22"/>
          <w:szCs w:val="22"/>
          <w:lang w:val="en-US"/>
        </w:rPr>
        <w:t xml:space="preserve"> Genes for effector proteins included in the </w:t>
      </w:r>
      <w:r>
        <w:rPr>
          <w:rStyle w:val="None"/>
          <w:rFonts w:ascii="Arial" w:hAnsi="Arial"/>
          <w:i/>
          <w:iCs/>
          <w:sz w:val="22"/>
          <w:szCs w:val="22"/>
          <w:lang w:val="en-US"/>
        </w:rPr>
        <w:t>C. difficile</w:t>
      </w:r>
      <w:r>
        <w:rPr>
          <w:rStyle w:val="None"/>
          <w:rFonts w:ascii="Arial" w:hAnsi="Arial"/>
          <w:sz w:val="22"/>
          <w:szCs w:val="22"/>
          <w:lang w:val="en-US"/>
        </w:rPr>
        <w:t xml:space="preserve"> pathogenicity locus. </w:t>
      </w:r>
      <w:r>
        <w:rPr>
          <w:rStyle w:val="None"/>
          <w:rFonts w:ascii="Arial" w:hAnsi="Arial"/>
          <w:b/>
          <w:bCs/>
          <w:sz w:val="22"/>
          <w:szCs w:val="22"/>
          <w:lang w:val="en-US"/>
        </w:rPr>
        <w:t>(c)</w:t>
      </w:r>
      <w:r>
        <w:rPr>
          <w:rStyle w:val="None"/>
          <w:rFonts w:ascii="Arial" w:hAnsi="Arial"/>
          <w:sz w:val="22"/>
          <w:szCs w:val="22"/>
          <w:lang w:val="en-US"/>
        </w:rPr>
        <w:t xml:space="preserve"> Genes that have been associated with quorum sensing in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(d)</w:t>
      </w:r>
      <w:r>
        <w:rPr>
          <w:rStyle w:val="None"/>
          <w:rFonts w:ascii="Arial" w:hAnsi="Arial"/>
          <w:sz w:val="22"/>
          <w:szCs w:val="2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d</w:t>
      </w:r>
      <w:r>
        <w:rPr>
          <w:rStyle w:val="None"/>
          <w:rFonts w:ascii="Arial" w:hAnsi="Arial"/>
          <w:sz w:val="22"/>
          <w:szCs w:val="22"/>
          <w:lang w:val="en-US"/>
        </w:rPr>
        <w:t xml:space="preserve">. </w:t>
      </w:r>
      <w:r>
        <w:rPr>
          <w:rFonts w:eastAsia="Arial" w:cs="Arial" w:ascii="Arial" w:hAnsi="Arial"/>
          <w:sz w:val="22"/>
          <w:szCs w:val="22"/>
        </w:rPr>
        <w:t>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None"/>
          <w:rFonts w:ascii="Arial" w:hAnsi="Arial"/>
          <w:sz w:val="22"/>
          <w:szCs w:val="2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None"/>
          <w:rFonts w:ascii="Arial" w:hAnsi="Arial"/>
          <w:sz w:val="22"/>
          <w:szCs w:val="2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None"/>
          <w:rFonts w:ascii="Arial" w:hAnsi="Arial"/>
          <w:sz w:val="22"/>
          <w:szCs w:val="22"/>
          <w:lang w:val="en-US"/>
        </w:rPr>
        <w:t xml:space="preserve">Point sizes were determined based on the expression from the condition with the highest value for each gene. </w:t>
      </w:r>
      <w:r>
        <w:rPr>
          <w:rStyle w:val="None"/>
          <w:rFonts w:ascii="Arial" w:hAnsi="Arial"/>
          <w:b/>
          <w:bCs/>
          <w:sz w:val="22"/>
          <w:szCs w:val="22"/>
          <w:lang w:val="en-US"/>
        </w:rPr>
        <w:t xml:space="preserve">(b </w:t>
      </w:r>
      <w:r>
        <w:rPr>
          <w:rStyle w:val="None"/>
          <w:rFonts w:ascii="Arial" w:hAnsi="Arial"/>
          <w:b w:val="false"/>
          <w:bCs w:val="false"/>
          <w:sz w:val="22"/>
          <w:szCs w:val="22"/>
          <w:lang w:val="en-US"/>
        </w:rPr>
        <w:t>–</w:t>
      </w:r>
      <w:r>
        <w:rPr>
          <w:rStyle w:val="None"/>
          <w:rFonts w:ascii="Arial" w:hAnsi="Arial"/>
          <w:b/>
          <w:bCs/>
          <w:sz w:val="22"/>
          <w:szCs w:val="22"/>
          <w:lang w:val="en-US"/>
        </w:rPr>
        <w:t xml:space="preserve"> i) </w:t>
      </w:r>
      <w:r>
        <w:rPr>
          <w:rStyle w:val="None"/>
          <w:rFonts w:ascii="Arial" w:hAnsi="Arial"/>
          <w:sz w:val="22"/>
          <w:szCs w:val="22"/>
          <w:lang w:val="en-US"/>
        </w:rPr>
        <w:t xml:space="preserve">Groups from </w:t>
      </w:r>
      <w:r>
        <w:rPr>
          <w:rStyle w:val="None"/>
          <w:rFonts w:ascii="Arial" w:hAnsi="Arial"/>
          <w:b/>
          <w:bCs/>
          <w:sz w:val="22"/>
          <w:szCs w:val="22"/>
          <w:lang w:val="en-US"/>
        </w:rPr>
        <w:t>a</w:t>
      </w:r>
      <w:r>
        <w:rPr>
          <w:rStyle w:val="None"/>
          <w:rFonts w:ascii="Arial" w:hAnsi="Arial"/>
          <w:sz w:val="22"/>
          <w:szCs w:val="22"/>
          <w:lang w:val="en-US"/>
        </w:rPr>
        <w:t xml:space="preserve"> are also plotted separately in without size differences so all points are visible. Genes included in each group and transcript abundances can be found in Table S2. Stats?</w:t>
      </w:r>
    </w:p>
    <w:p>
      <w:pPr>
        <w:pStyle w:val="Default"/>
        <w:shd w:val="clear" w:color="auto" w:fill="FFFFFF"/>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in each colonized environment. (a) </w:t>
      </w:r>
      <w:r>
        <w:rPr>
          <w:rStyle w:val="None"/>
          <w:rFonts w:ascii="Arial" w:hAnsi="Arial"/>
          <w:sz w:val="22"/>
          <w:szCs w:val="22"/>
          <w:lang w:val="en-US"/>
        </w:rPr>
        <w:t xml:space="preserve">Largest component from the bipartite genome-scale metabolic model of </w:t>
      </w:r>
      <w:r>
        <w:rPr>
          <w:rStyle w:val="None"/>
          <w:rFonts w:ascii="Arial" w:hAnsi="Arial"/>
          <w:i/>
          <w:iCs/>
          <w:sz w:val="22"/>
          <w:szCs w:val="22"/>
          <w:lang w:val="en-US"/>
        </w:rPr>
        <w:t>C. difficile</w:t>
      </w:r>
      <w:r>
        <w:rPr>
          <w:rStyle w:val="None"/>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w:rFonts w:ascii="Arial" w:hAnsi="Arial"/>
          <w:i/>
          <w:iCs/>
          <w:sz w:val="22"/>
          <w:szCs w:val="22"/>
          <w:lang w:val="en-US"/>
        </w:rPr>
        <w:t>C. difficile</w:t>
      </w:r>
      <w:r>
        <w:rPr>
          <w:rStyle w:val="None"/>
          <w:rFonts w:ascii="Arial" w:hAnsi="Arial"/>
          <w:sz w:val="22"/>
          <w:szCs w:val="22"/>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bCs/>
          <w:sz w:val="22"/>
          <w:szCs w:val="22"/>
          <w:lang w:val="en-US"/>
        </w:rPr>
        <w:t>(b)</w:t>
      </w:r>
      <w:r>
        <w:rPr>
          <w:rStyle w:val="None"/>
          <w:rFonts w:ascii="Arial" w:hAnsi="Arial"/>
          <w:b w:val="false"/>
          <w:bCs w:val="false"/>
          <w:sz w:val="22"/>
          <w:szCs w:val="22"/>
          <w:lang w:val="en-US"/>
        </w:rPr>
        <w:t xml:space="preserve"> Metabolites shared among the 50 highest scoring between all conditions. </w:t>
      </w:r>
      <w:r>
        <w:rPr>
          <w:rStyle w:val="None"/>
          <w:rFonts w:ascii="Arial" w:hAnsi="Arial"/>
          <w:b/>
          <w:bCs/>
          <w:sz w:val="22"/>
          <w:szCs w:val="22"/>
          <w:lang w:val="en-US"/>
        </w:rPr>
        <w:t>(c)</w:t>
      </w:r>
      <w:r>
        <w:rPr>
          <w:rStyle w:val="None"/>
          <w:rFonts w:ascii="Arial" w:hAnsi="Arial"/>
          <w:b w:val="false"/>
          <w:bCs w:val="false"/>
          <w:sz w:val="22"/>
          <w:szCs w:val="22"/>
          <w:lang w:val="en-US"/>
        </w:rPr>
        <w:t xml:space="preserve"> Most highly </w:t>
      </w:r>
      <w:r>
        <w:rPr>
          <w:rStyle w:val="None"/>
          <w:rFonts w:ascii="Arial" w:hAnsi="Arial"/>
          <w:sz w:val="22"/>
          <w:szCs w:val="22"/>
          <w:lang w:val="en-US"/>
        </w:rPr>
        <w:t xml:space="preserve">scoring distinctly important metabolites from each treatment group. The top 25 scoring metabolites from each group was cross-referenced against all others to arrive at metabolites differentially important between environments. Points in  </w:t>
      </w:r>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r>
        <w:rPr>
          <w:rStyle w:val="None"/>
          <w:rFonts w:ascii="Arial" w:hAnsi="Arial"/>
          <w:b w:val="false"/>
          <w:bCs w:val="false"/>
          <w:sz w:val="22"/>
          <w:szCs w:val="22"/>
          <w:lang w:val="en-US"/>
        </w:rPr>
        <w:t xml:space="preserve"> are the calculated metabolite importance scores based on the given sequenced transcriptome. </w:t>
      </w:r>
      <w:r>
        <w:rPr>
          <w:rStyle w:val="None"/>
          <w:rFonts w:ascii="Arial" w:hAnsi="Arial"/>
          <w:sz w:val="22"/>
          <w:szCs w:val="22"/>
          <w:lang w:val="en-US"/>
        </w:rPr>
        <w:t xml:space="preserve">Notched box plots in </w:t>
      </w:r>
      <w:bookmarkStart w:id="1" w:name="__DdeLink__1505_1075328573"/>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bookmarkEnd w:id="1"/>
      <w:r>
        <w:rPr>
          <w:rStyle w:val="None"/>
          <w:rFonts w:ascii="Arial" w:hAnsi="Arial"/>
          <w:sz w:val="22"/>
          <w:szCs w:val="22"/>
          <w:lang w:val="en-US"/>
        </w:rPr>
        <w:t xml:space="preserve"> display the median, 95% confidence interval, and interquartile range generated from iterative randomization of transcript assignments. The measured importance of all metabolites shown was calculated to be higher than the ranges as more important than if transcripts abundances were randomly assigned throughout the entire metabolic network.</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6 |  C. difficile growth curves using metabolites predicted from network approach. (a) </w:t>
      </w:r>
      <w:r>
        <w:rPr>
          <w:rStyle w:val="None"/>
          <w:rFonts w:ascii="Arial" w:hAnsi="Arial"/>
          <w:sz w:val="22"/>
          <w:szCs w:val="22"/>
          <w:lang w:val="en-US"/>
        </w:rPr>
        <w:t xml:space="preserve"> </w:t>
      </w:r>
      <w:r>
        <w:rPr>
          <w:rStyle w:val="None"/>
          <w:rFonts w:ascii="Arial" w:hAnsi="Arial"/>
          <w:i/>
          <w:iCs/>
          <w:sz w:val="22"/>
          <w:szCs w:val="22"/>
          <w:lang w:val="en-US"/>
        </w:rPr>
        <w:t>In vitro</w:t>
      </w:r>
      <w:r>
        <w:rPr>
          <w:rStyle w:val="None"/>
          <w:rFonts w:ascii="Arial" w:hAnsi="Arial"/>
          <w:sz w:val="22"/>
          <w:szCs w:val="22"/>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w:rFonts w:ascii="Arial" w:hAnsi="Arial"/>
          <w:i/>
          <w:iCs/>
          <w:sz w:val="22"/>
          <w:szCs w:val="22"/>
          <w:lang w:val="en-US"/>
        </w:rPr>
        <w:t>C. difficile</w:t>
      </w:r>
      <w:r>
        <w:rPr>
          <w:rStyle w:val="None"/>
          <w:rFonts w:ascii="Arial" w:hAnsi="Arial"/>
          <w:sz w:val="22"/>
          <w:szCs w:val="22"/>
          <w:lang w:val="en-US"/>
        </w:rPr>
        <w:t xml:space="preserve"> growth significantly more than – Glucose + Amino Acids controls (</w:t>
      </w:r>
      <w:r>
        <w:rPr>
          <w:rStyle w:val="None"/>
          <w:rFonts w:ascii="Arial" w:hAnsi="Arial"/>
          <w:b w:val="false"/>
          <w:bCs w:val="false"/>
          <w:i/>
          <w:iCs/>
          <w:sz w:val="22"/>
          <w:szCs w:val="22"/>
          <w:lang w:val="en-US"/>
        </w:rPr>
        <w:t>P</w:t>
      </w:r>
      <w:r>
        <w:rPr>
          <w:rStyle w:val="None"/>
          <w:rFonts w:ascii="Arial" w:hAnsi="Arial"/>
          <w:sz w:val="22"/>
          <w:szCs w:val="22"/>
          <w:lang w:val="en-US"/>
        </w:rPr>
        <w:t xml:space="preserve"> &lt;&lt; 0.001, F-values &gt; ). </w:t>
      </w:r>
      <w:r>
        <w:rPr>
          <w:rStyle w:val="None"/>
          <w:rFonts w:ascii="Arial" w:hAnsi="Arial"/>
          <w:b/>
          <w:bCs/>
          <w:sz w:val="22"/>
          <w:szCs w:val="22"/>
          <w:lang w:val="en-US"/>
        </w:rPr>
        <w:t>(b)</w:t>
      </w:r>
      <w:r>
        <w:rPr>
          <w:rStyle w:val="None"/>
          <w:rFonts w:ascii="Arial" w:hAnsi="Arial"/>
          <w:sz w:val="22"/>
          <w:szCs w:val="22"/>
          <w:lang w:val="en-US"/>
        </w:rPr>
        <w:t xml:space="preserve"> distinct metabolites from each group. </w:t>
      </w:r>
      <w:r>
        <w:rPr>
          <w:rStyle w:val="None"/>
          <w:rFonts w:ascii="Arial" w:hAnsi="Arial"/>
          <w:b/>
          <w:bCs/>
          <w:sz w:val="22"/>
          <w:szCs w:val="22"/>
          <w:lang w:val="en-US"/>
        </w:rPr>
        <w:t>(c)</w:t>
      </w:r>
      <w:r>
        <w:rPr>
          <w:rStyle w:val="None"/>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1 |  Spore % of total C.f.u. and toxin to spore correlations. </w:t>
      </w:r>
      <w:r>
        <w:rPr>
          <w:rStyle w:val="None"/>
          <w:rFonts w:ascii="Arial" w:hAnsi="Arial"/>
          <w:sz w:val="22"/>
          <w:szCs w:val="22"/>
          <w:lang w:val="en-US"/>
        </w:rPr>
        <w:t xml:space="preserve">Continued analysis of wetlab phenotypic data. </w:t>
      </w:r>
      <w:r>
        <w:rPr>
          <w:rStyle w:val="None"/>
          <w:rFonts w:ascii="Arial" w:hAnsi="Arial"/>
          <w:b/>
          <w:bCs/>
          <w:sz w:val="22"/>
          <w:szCs w:val="22"/>
          <w:lang w:val="en-US"/>
        </w:rPr>
        <w:t>A)</w:t>
      </w:r>
      <w:r>
        <w:rPr>
          <w:rStyle w:val="None"/>
          <w:rFonts w:ascii="Arial" w:hAnsi="Arial"/>
          <w:sz w:val="22"/>
          <w:szCs w:val="22"/>
          <w:lang w:val="en-US"/>
        </w:rPr>
        <w:t xml:space="preserve"> Spore %. </w:t>
      </w:r>
      <w:r>
        <w:rPr>
          <w:rStyle w:val="None"/>
          <w:rFonts w:ascii="Arial" w:hAnsi="Arial"/>
          <w:b/>
          <w:bCs/>
          <w:sz w:val="22"/>
          <w:szCs w:val="22"/>
          <w:lang w:val="en-US"/>
        </w:rPr>
        <w:t>B)</w:t>
      </w:r>
      <w:r>
        <w:rPr>
          <w:rStyle w:val="None"/>
          <w:rFonts w:ascii="Arial" w:hAnsi="Arial"/>
          <w:sz w:val="22"/>
          <w:szCs w:val="22"/>
          <w:lang w:val="en-US"/>
        </w:rPr>
        <w:t xml:space="preserve"> Spore toxin correlation w/o GF. </w:t>
      </w:r>
      <w:r>
        <w:rPr>
          <w:rStyle w:val="None"/>
          <w:rFonts w:ascii="Arial" w:hAnsi="Arial"/>
          <w:b/>
          <w:bCs/>
          <w:sz w:val="22"/>
          <w:szCs w:val="22"/>
          <w:lang w:val="en-US"/>
        </w:rPr>
        <w:t>C)</w:t>
      </w:r>
      <w:r>
        <w:rPr>
          <w:rStyle w:val="None"/>
          <w:rFonts w:ascii="Arial" w:hAnsi="Arial"/>
          <w:sz w:val="22"/>
          <w:szCs w:val="2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None"/>
          <w:rFonts w:ascii="Arial" w:hAnsi="Arial"/>
          <w:sz w:val="22"/>
          <w:szCs w:val="22"/>
          <w:lang w:val="en-US"/>
        </w:rPr>
        <w:t xml:space="preserve">Normalized read abundances mapped to the full length genome of </w:t>
      </w:r>
      <w:r>
        <w:rPr>
          <w:rStyle w:val="None"/>
          <w:rFonts w:ascii="Arial" w:hAnsi="Arial"/>
          <w:i/>
          <w:iCs/>
          <w:sz w:val="22"/>
          <w:szCs w:val="22"/>
          <w:lang w:val="en-US"/>
        </w:rPr>
        <w:t>C. difficile</w:t>
      </w:r>
      <w:r>
        <w:rPr>
          <w:rStyle w:val="None"/>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Supplementary Figure  |  </w:t>
      </w:r>
      <w:r>
        <w:rPr>
          <w:rStyle w:val="None"/>
          <w:rFonts w:ascii="Arial" w:hAnsi="Arial"/>
          <w:b/>
          <w:bCs/>
          <w:i/>
          <w:iCs/>
          <w:sz w:val="22"/>
          <w:szCs w:val="22"/>
          <w:lang w:val="en-US"/>
        </w:rPr>
        <w:t>cdtR expression</w:t>
      </w:r>
      <w:r>
        <w:rPr>
          <w:rStyle w:val="None"/>
          <w:rFonts w:ascii="Arial" w:hAnsi="Arial"/>
          <w:b/>
          <w:bCs/>
          <w:sz w:val="22"/>
          <w:szCs w:val="22"/>
          <w:lang w:val="en-US"/>
        </w:rPr>
        <w:t xml:space="preserve"> </w:t>
      </w:r>
      <w:r>
        <w:rPr>
          <w:rStyle w:val="None"/>
          <w:rFonts w:ascii="Arial" w:hAnsi="Arial"/>
          <w:sz w:val="22"/>
          <w:szCs w:val="22"/>
          <w:lang w:val="en-US"/>
        </w:rPr>
        <w:t xml:space="preserve">High expression of </w:t>
      </w:r>
      <w:r>
        <w:rPr>
          <w:rStyle w:val="None"/>
          <w:rFonts w:ascii="Arial" w:hAnsi="Arial"/>
          <w:i/>
          <w:iCs/>
          <w:sz w:val="22"/>
          <w:szCs w:val="22"/>
          <w:lang w:val="en-US"/>
        </w:rPr>
        <w:t>cdtR</w:t>
      </w:r>
      <w:r>
        <w:rPr>
          <w:rStyle w:val="None"/>
          <w:rFonts w:ascii="Arial" w:hAnsi="Arial"/>
          <w:sz w:val="22"/>
          <w:szCs w:val="22"/>
          <w:lang w:val="en-US"/>
        </w:rPr>
        <w:t xml:space="preserve">, the positive regulator of binary toxin production, was detected in cefoperazone and to a smaller degree in streptomycin-treated mice. This is in spite of </w:t>
      </w:r>
      <w:r>
        <w:rPr>
          <w:rStyle w:val="None"/>
          <w:rFonts w:ascii="Arial" w:hAnsi="Arial"/>
          <w:i/>
          <w:iCs/>
          <w:sz w:val="22"/>
          <w:szCs w:val="22"/>
          <w:lang w:val="en-US"/>
        </w:rPr>
        <w:t>C. difficile</w:t>
      </w:r>
      <w:r>
        <w:rPr>
          <w:rStyle w:val="None"/>
          <w:rFonts w:ascii="Arial" w:hAnsi="Arial"/>
          <w:sz w:val="22"/>
          <w:szCs w:val="22"/>
          <w:lang w:val="en-US"/>
        </w:rPr>
        <w:t xml:space="preserve"> str. 630 possessing neither </w:t>
      </w:r>
      <w:r>
        <w:rPr>
          <w:rStyle w:val="None"/>
          <w:rFonts w:ascii="Arial" w:hAnsi="Arial"/>
          <w:i/>
          <w:iCs/>
          <w:sz w:val="22"/>
          <w:szCs w:val="22"/>
          <w:lang w:val="en-US"/>
        </w:rPr>
        <w:t>cdtA</w:t>
      </w:r>
      <w:r>
        <w:rPr>
          <w:rStyle w:val="None"/>
          <w:rFonts w:ascii="Arial" w:hAnsi="Arial"/>
          <w:sz w:val="22"/>
          <w:szCs w:val="22"/>
          <w:lang w:val="en-US"/>
        </w:rPr>
        <w:t xml:space="preserve"> nor </w:t>
      </w:r>
      <w:r>
        <w:rPr>
          <w:rStyle w:val="None"/>
          <w:rFonts w:ascii="Arial" w:hAnsi="Arial"/>
          <w:i/>
          <w:iCs/>
          <w:sz w:val="22"/>
          <w:szCs w:val="22"/>
          <w:lang w:val="en-US"/>
        </w:rPr>
        <w:t>cdtB</w:t>
      </w:r>
      <w:r>
        <w:rPr>
          <w:rStyle w:val="None"/>
          <w:rFonts w:ascii="Arial" w:hAnsi="Arial"/>
          <w:sz w:val="22"/>
          <w:szCs w:val="22"/>
          <w:lang w:val="en-US"/>
        </w:rPr>
        <w:t xml:space="preserve"> genes.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3 |  Expression of specific KEGG gene families.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4 |  Substrate scores outside of at least two standard deviations from simulated means.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5 |  Additional growth curves. </w:t>
      </w:r>
      <w:r>
        <w:rPr>
          <w:rStyle w:val="None"/>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7 |  Acetate data supporting network output. </w:t>
      </w:r>
      <w:r>
        <w:rPr>
          <w:rStyle w:val="None"/>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Acknowledgments</w:t>
      </w:r>
    </w:p>
    <w:p>
      <w:pPr>
        <w:pStyle w:val="Default"/>
        <w:shd w:val="clear" w:color="auto" w:fill="FFFFFF"/>
        <w:spacing w:lineRule="auto" w:line="480"/>
        <w:jc w:val="both"/>
        <w:rPr/>
      </w:pPr>
      <w:r>
        <w:rPr>
          <w:rStyle w:val="None"/>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Conflict of Interest</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18"/>
          <w:szCs w:val="18"/>
        </w:rPr>
      </w:pPr>
      <w:r>
        <w:rPr>
          <w:rStyle w:val="None"/>
          <w:rFonts w:ascii="Arial" w:hAnsi="Arial"/>
          <w:b/>
          <w:bCs/>
          <w:sz w:val="22"/>
          <w:szCs w:val="22"/>
          <w:lang w:val="en-US"/>
        </w:rPr>
        <w:t>References</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i/>
          <w:i/>
          <w:iCs/>
          <w:sz w:val="18"/>
          <w:szCs w:val="18"/>
        </w:rPr>
      </w:pPr>
      <w:r>
        <w:rPr>
          <w:rStyle w:val="None"/>
          <w:rFonts w:ascii="Arial" w:hAnsi="Arial"/>
          <w:sz w:val="18"/>
          <w:szCs w:val="18"/>
          <w:lang w:val="en-US"/>
        </w:rPr>
        <w:t xml:space="preserve">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Hundsberger, T., Braun, V., Weidmann, M., Leukel, P., Sauerborn, M., &amp; von Eichel-Streiber, C. (1997). Transcription analysis </w:t>
      </w:r>
      <w:r>
        <w:rPr>
          <w:rStyle w:val="None"/>
          <w:rFonts w:eastAsia="Arial" w:cs="Arial" w:ascii="Arial" w:hAnsi="Arial"/>
          <w:sz w:val="18"/>
          <w:szCs w:val="18"/>
          <w:lang w:val="en-US"/>
        </w:rPr>
        <w:tab/>
        <w:t xml:space="preserve">of the genes tcdA-E of the pathogenicity locus of Clostridium difficile. </w:t>
      </w:r>
      <w:r>
        <w:rPr>
          <w:rStyle w:val="None"/>
          <w:rFonts w:ascii="Arial" w:hAnsi="Arial"/>
          <w:i/>
          <w:iCs/>
          <w:sz w:val="18"/>
          <w:szCs w:val="18"/>
          <w:lang w:val="en-US"/>
        </w:rPr>
        <w:t>European Journal of Biochemistry / FEBS</w:t>
      </w:r>
      <w:r>
        <w:rPr>
          <w:rStyle w:val="None"/>
          <w:rFonts w:ascii="Arial" w:hAnsi="Arial"/>
          <w:sz w:val="18"/>
          <w:szCs w:val="18"/>
          <w:lang w:val="en-US"/>
        </w:rPr>
        <w:t xml:space="preserve">, </w:t>
        <w:tab/>
        <w:tab/>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fr-FR"/>
        </w:rPr>
        <w:t>Janoir, C., Denè</w:t>
      </w:r>
      <w:r>
        <w:rPr>
          <w:rStyle w:val="None"/>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en-US"/>
        </w:rPr>
        <w:t xml:space="preserve">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Style w:val="None"/>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iCs/>
          <w:color w:val="323232"/>
          <w:sz w:val="18"/>
          <w:szCs w:val="18"/>
          <w:u w:val="none" w:color="323232"/>
          <w:lang w:val="de-DE"/>
        </w:rPr>
        <w:t>PLoS ONE</w:t>
      </w:r>
      <w:r>
        <w:rPr>
          <w:rStyle w:val="None"/>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color="auto" w:fill="FFFFFF"/>
        <w:ind w:left="480" w:right="0" w:hanging="480"/>
        <w:rPr/>
      </w:pPr>
      <w:r>
        <w:rPr>
          <w:rStyle w:val="None"/>
          <w:rFonts w:ascii="Arial" w:hAnsi="Arial"/>
          <w:sz w:val="18"/>
          <w:szCs w:val="18"/>
          <w:lang w:val="en-US"/>
        </w:rPr>
        <w:t xml:space="preserve">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color="auto" w:fill="FFFFFF"/>
        <w:spacing w:lineRule="atLeast" w:line="100"/>
        <w:ind w:left="480" w:right="0" w:hanging="480"/>
        <w:jc w:val="both"/>
        <w:rPr>
          <w:rStyle w:val="None"/>
          <w:rFonts w:ascii="Arial" w:hAnsi="Arial" w:eastAsia="Arial" w:cs="Arial"/>
          <w:sz w:val="18"/>
          <w:szCs w:val="18"/>
        </w:rPr>
      </w:pPr>
      <w:r>
        <w:rPr>
          <w:rStyle w:val="None"/>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
          <w:rFonts w:ascii="Arial" w:hAnsi="Arial"/>
          <w:sz w:val="18"/>
          <w:szCs w:val="18"/>
          <w:lang w:val="en-US"/>
        </w:rPr>
        <w:t xml:space="preserve">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color w:val="0000FF"/>
      <w:u w:val="single" w:color="0000FF"/>
    </w:rPr>
  </w:style>
  <w:style w:type="character" w:styleId="Hyperlink1">
    <w:name w:val="Hyperlink.1"/>
    <w:basedOn w:val="None"/>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
    <w:qFormat/>
    <w:rPr>
      <w:rFonts w:ascii="Arial" w:hAnsi="Arial" w:eastAsia="Arial" w:cs="Arial"/>
      <w:color w:val="000080"/>
      <w:sz w:val="22"/>
      <w:szCs w:val="22"/>
      <w:u w:val="single" w:color="000080"/>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046/j.1432-1327.2001.02001.x"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jlleslie/Intraspecific_Competition/blob/master/methods/Verocell_ToxinActivity_Assay.Rmd" TargetMode="External"/><Relationship Id="rId5" Type="http://schemas.openxmlformats.org/officeDocument/2006/relationships/hyperlink" Target="https://github.com/SchlossLab/Jenior_Transcriptomics_2015/blob/master/doc/wetlab_protocol.txt" TargetMode="External"/><Relationship Id="rId6" Type="http://schemas.openxmlformats.org/officeDocument/2006/relationships/hyperlink" Target="http://broadinstitute.github.io/picard/" TargetMode="External"/><Relationship Id="rId7" Type="http://schemas.openxmlformats.org/officeDocument/2006/relationships/hyperlink" Target="https://github.com/SchlossLab/Jenior_Transcriptomics_2015/blob/master/doc/drylab_protocol.txt"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145</TotalTime>
  <Application>LibreOffice/5.1.4.2$Linux_X86_64 LibreOffice_project/10m0$Build-2</Application>
  <Pages>39</Pages>
  <Words>11738</Words>
  <CharactersWithSpaces>70507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2016-10-13T13:02:41Z</dcterms:modified>
  <cp:revision>24</cp:revision>
  <dc:subject/>
  <dc:title/>
</cp:coreProperties>
</file>