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r>
        <w:rPr>
          <w:rFonts w:ascii="Arial" w:hAnsi="Arial"/>
          <w:b w:val="1"/>
          <w:bCs w:val="1"/>
          <w:sz w:val="22"/>
          <w:szCs w:val="22"/>
          <w:rtl w:val="0"/>
          <w:lang w:val="en-US"/>
        </w:rPr>
        <w:t xml:space="preserve"> (needs a lot of work)</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w:t>
      </w:r>
      <w:r>
        <w:rPr>
          <w:rFonts w:ascii="Arial" w:hAnsi="Arial"/>
          <w:sz w:val="22"/>
          <w:szCs w:val="22"/>
          <w:rtl w:val="0"/>
          <w:lang w:val="en-US"/>
        </w:rPr>
        <w:t>t</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i w:val="1"/>
          <w:iCs w:val="1"/>
          <w:sz w:val="22"/>
          <w:szCs w:val="22"/>
          <w:rtl w:val="0"/>
          <w:lang w:val="en-US"/>
        </w:rPr>
        <w:t xml:space="preserve"> </w:t>
      </w:r>
      <w:r>
        <w:rPr>
          <w:rFonts w:ascii="Arial" w:hAnsi="Arial"/>
          <w:sz w:val="22"/>
          <w:szCs w:val="22"/>
          <w:rtl w:val="0"/>
          <w:lang w:val="en-US"/>
        </w:rPr>
        <w:t xml:space="preserve">and demonstrated that it was able to colonize the ceca in </w:t>
      </w:r>
      <w:r>
        <w:rPr>
          <w:rFonts w:ascii="Arial" w:hAnsi="Arial"/>
          <w:sz w:val="22"/>
          <w:szCs w:val="22"/>
          <w:rtl w:val="0"/>
          <w:lang w:val="en-US"/>
        </w:rPr>
        <w:t>four</w:t>
      </w:r>
      <w:r>
        <w:rPr>
          <w:rFonts w:ascii="Arial" w:hAnsi="Arial"/>
          <w:sz w:val="22"/>
          <w:szCs w:val="22"/>
          <w:rtl w:val="0"/>
          <w:lang w:val="en-US"/>
        </w:rPr>
        <w:t xml:space="preserve"> separate </w:t>
      </w:r>
      <w:r>
        <w:rPr>
          <w:rFonts w:ascii="Arial" w:hAnsi="Arial"/>
          <w:sz w:val="22"/>
          <w:szCs w:val="22"/>
          <w:rtl w:val="0"/>
          <w:lang w:val="en-US"/>
        </w:rPr>
        <w:t xml:space="preserve">mouse </w:t>
      </w:r>
      <w:r>
        <w:rPr>
          <w:rFonts w:ascii="Arial" w:hAnsi="Arial"/>
          <w:sz w:val="22"/>
          <w:szCs w:val="22"/>
          <w:rtl w:val="0"/>
          <w:lang w:val="en-US"/>
        </w:rPr>
        <w:t>models of susceptibility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w:t>
      </w:r>
      <w:r>
        <w:rPr>
          <w:rFonts w:ascii="Arial" w:hAnsi="Arial"/>
          <w:sz w:val="22"/>
          <w:szCs w:val="22"/>
          <w:rtl w:val="0"/>
          <w:lang w:val="en-US"/>
        </w:rPr>
        <w:t xml:space="preserve"> after </w:t>
      </w:r>
      <w:r>
        <w:rPr>
          <w:rFonts w:ascii="Arial" w:hAnsi="Arial"/>
          <w:sz w:val="22"/>
          <w:szCs w:val="22"/>
          <w:rtl w:val="0"/>
          <w:lang w:val="en-US"/>
        </w:rPr>
        <w:t>18 hours of in</w:t>
      </w:r>
      <w:r>
        <w:rPr>
          <w:rFonts w:ascii="Arial" w:hAnsi="Arial"/>
          <w:sz w:val="22"/>
          <w:szCs w:val="22"/>
          <w:rtl w:val="0"/>
          <w:lang w:val="en-US"/>
        </w:rPr>
        <w:t>fection</w:t>
      </w:r>
      <w:r>
        <w:rPr>
          <w:rFonts w:ascii="Arial" w:hAnsi="Arial"/>
          <w:sz w:val="22"/>
          <w:szCs w:val="22"/>
          <w:rtl w:val="0"/>
          <w:lang w:val="en-US"/>
        </w:rPr>
        <w:t xml:space="preserve">.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w:t>
      </w:r>
      <w:r>
        <w:rPr>
          <w:rFonts w:ascii="Arial" w:hAnsi="Arial"/>
          <w:sz w:val="22"/>
          <w:szCs w:val="22"/>
          <w:rtl w:val="0"/>
          <w:lang w:val="en-US"/>
        </w:rPr>
        <w:t>ceca</w:t>
      </w:r>
      <w:r>
        <w:rPr>
          <w:rFonts w:ascii="Arial" w:hAnsi="Arial"/>
          <w:sz w:val="22"/>
          <w:szCs w:val="22"/>
          <w:rtl w:val="0"/>
          <w:lang w:val="en-US"/>
        </w:rPr>
        <w:t xml:space="preserve">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w:t>
      </w:r>
      <w:r>
        <w:rPr>
          <w:rFonts w:ascii="Arial" w:hAnsi="Arial"/>
          <w:sz w:val="22"/>
          <w:szCs w:val="22"/>
          <w:rtl w:val="0"/>
          <w:lang w:val="en-US"/>
        </w:rPr>
        <w:t xml:space="preserve"> that</w:t>
      </w:r>
      <w:r>
        <w:rPr>
          <w:rFonts w:ascii="Arial" w:hAnsi="Arial"/>
          <w:sz w:val="22"/>
          <w:szCs w:val="22"/>
          <w:rtl w:val="0"/>
          <w:lang w:val="en-US"/>
        </w:rPr>
        <w:t xml:space="preserve">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ind w:firstLine="709"/>
        <w:jc w:val="both"/>
      </w:pPr>
      <w:r>
        <w:rPr>
          <w:rFonts w:ascii="Arial" w:hAnsi="Arial"/>
          <w:sz w:val="22"/>
          <w:szCs w:val="22"/>
          <w:rtl w:val="0"/>
          <w:lang w:val="en-US"/>
        </w:rPr>
        <w:t>Need a final sentence</w:t>
      </w:r>
      <w:r>
        <w:rPr>
          <w:rFonts w:ascii="Arial" w:hAnsi="Arial" w:hint="default"/>
          <w:sz w:val="22"/>
          <w:szCs w:val="22"/>
          <w:rtl w:val="0"/>
          <w:lang w:val="en-US"/>
        </w:rPr>
        <w:t>…</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&gt;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germ free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w:t>
      </w:r>
      <w:r>
        <w:rPr>
          <w:rFonts w:ascii="Arial" w:hAnsi="Arial"/>
          <w:sz w:val="22"/>
          <w:szCs w:val="22"/>
          <w:shd w:val="clear" w:color="auto" w:fill="ffffff"/>
          <w:rtl w:val="0"/>
          <w:lang w:val="en-US"/>
        </w:rPr>
        <w:t xml:space="preserve">Due to the coupling of transcription and translation in bacteria, we were able to use normalized transcript abundances as a proxy for enzyme levels. </w:t>
      </w:r>
      <w:r>
        <w:rPr>
          <w:rFonts w:ascii="Arial" w:hAnsi="Arial"/>
          <w:sz w:val="22"/>
          <w:szCs w:val="22"/>
          <w:shd w:val="clear" w:color="auto" w:fill="ffffff"/>
          <w:rtl w:val="0"/>
          <w:lang w:val="en-US"/>
        </w:rPr>
        <w:t xml:space="preserve">The importance of a metabolite was measured as the log-transformed difference between the average enzyme transcript levels that used the metabolite as a substrate or generate it as a product. This process allowed us to quantify the importance of each metabolite.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D-fructose, mannitol, N-acetylneuraminic acid, salicin, and D-sorbitol.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w:t>
      </w:r>
      <w:r>
        <w:rPr>
          <w:rStyle w:val="None"/>
          <w:rFonts w:ascii="Arial" w:hAnsi="Arial"/>
          <w:sz w:val="22"/>
          <w:szCs w:val="22"/>
          <w:rtl w:val="0"/>
          <w:lang w:val="en-US"/>
        </w:rPr>
        <w:t>, with enzymes that catalyze multiple reactions represented as single nodes</w:t>
      </w:r>
      <w:r>
        <w:rPr>
          <w:rStyle w:val="None"/>
          <w:rFonts w:ascii="Arial" w:hAnsi="Arial"/>
          <w:sz w:val="22"/>
          <w:szCs w:val="22"/>
          <w:rtl w:val="0"/>
          <w:lang w:val="en-US"/>
        </w:rPr>
        <w:t xml:space="preserv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w:t>
      </w:r>
      <w:r>
        <w:rPr>
          <w:rStyle w:val="None"/>
          <w:rFonts w:ascii="Arial" w:hAnsi="Arial"/>
          <w:sz w:val="22"/>
          <w:szCs w:val="22"/>
          <w:rtl w:val="0"/>
          <w:lang w:val="en-US"/>
        </w:rPr>
        <w:t>5a</w:t>
      </w:r>
      <w:r>
        <w:rPr>
          <w:rStyle w:val="None"/>
          <w:rFonts w:ascii="Arial" w:hAnsi="Arial"/>
          <w:sz w:val="22"/>
          <w:szCs w:val="22"/>
          <w:rtl w:val="0"/>
          <w:lang w:val="en-US"/>
        </w:rPr>
        <w:t>). If a compound is more likely to be produced, the more negative the resulting score will be</w:t>
      </w:r>
      <w:r>
        <w:rPr>
          <w:rStyle w:val="None"/>
          <w:rFonts w:ascii="Arial" w:hAnsi="Arial"/>
          <w:sz w:val="22"/>
          <w:szCs w:val="22"/>
          <w:rtl w:val="0"/>
          <w:lang w:val="en-US"/>
        </w:rPr>
        <w:t xml:space="preserve">. </w:t>
      </w: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xml:space="preserve">).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 xml:space="preserve">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