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pacing w:line="480" w:lineRule="auto"/>
        <w:jc w:val="both"/>
      </w:pPr>
      <w:r>
        <w:rPr>
          <w:rStyle w:val="None A"/>
          <w:rFonts w:ascii="Arial" w:hAnsi="Arial"/>
          <w:b w:val="1"/>
          <w:bCs w:val="1"/>
          <w:sz w:val="22"/>
          <w:szCs w:val="22"/>
          <w:rtl w:val="0"/>
          <w:lang w:val="en-US"/>
        </w:rPr>
        <w:t>Target Journal:</w:t>
      </w:r>
      <w:r>
        <w:rPr>
          <w:rStyle w:val="None A"/>
          <w:rFonts w:ascii="Arial" w:hAnsi="Arial"/>
          <w:sz w:val="22"/>
          <w:szCs w:val="22"/>
          <w:rtl w:val="0"/>
          <w:lang w:val="en-US"/>
        </w:rPr>
        <w:t xml:space="preserve"> Nature Microbiology</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Title</w:t>
      </w:r>
    </w:p>
    <w:p>
      <w:pPr>
        <w:pStyle w:val="Default"/>
        <w:spacing w:line="480" w:lineRule="auto"/>
        <w:jc w:val="both"/>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distinct murine gut environments</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Authors</w:t>
      </w:r>
    </w:p>
    <w:p>
      <w:pPr>
        <w:pStyle w:val="Default"/>
        <w:spacing w:line="480" w:lineRule="auto"/>
        <w:jc w:val="both"/>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r>
        <w:rPr>
          <w:rStyle w:val="None A"/>
          <w:rFonts w:ascii="Arial" w:hAnsi="Arial"/>
          <w:b w:val="1"/>
          <w:bCs w:val="1"/>
          <w:sz w:val="22"/>
          <w:szCs w:val="22"/>
          <w:rtl w:val="0"/>
          <w:lang w:val="en-US"/>
        </w:rPr>
        <w:t>*</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Affiliations</w:t>
      </w:r>
    </w:p>
    <w:p>
      <w:pPr>
        <w:pStyle w:val="Default"/>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Abstract</w:t>
      </w:r>
    </w:p>
    <w:p>
      <w:pPr>
        <w:pStyle w:val="Default"/>
        <w:spacing w:line="480" w:lineRule="auto"/>
        <w:jc w:val="both"/>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ceca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revealed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used a reverse ecology approach and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and host derived amino sugars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r>
        <w:rPr>
          <w:rFonts w:ascii="Arial Unicode MS" w:cs="Arial Unicode MS" w:hAnsi="Arial Unicode MS" w:eastAsia="Arial Unicode MS"/>
          <w:b w:val="0"/>
          <w:bCs w:val="0"/>
          <w:i w:val="0"/>
          <w:iCs w:val="0"/>
        </w:rPr>
        <w:br w:type="page"/>
      </w: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Introduction</w:t>
      </w:r>
    </w:p>
    <w:p>
      <w:pPr>
        <w:pStyle w:val="Default"/>
        <w:spacing w:line="480" w:lineRule="auto"/>
        <w:jc w:val="both"/>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pacing w:line="480" w:lineRule="auto"/>
        <w:ind w:firstLine="709"/>
        <w:jc w:val="both"/>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pacing w:line="480" w:lineRule="auto"/>
        <w:ind w:firstLine="709"/>
        <w:jc w:val="both"/>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The antibiotics used in this study included streptomycin (Fig. 1a), cefoperazone (Fig. 1b), and clindamycin (Fig. 1c).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adapted its nutrient utilization profile to colonize to high levels and express its virulence factors.</w:t>
      </w:r>
    </w:p>
    <w:p>
      <w:pPr>
        <w:pStyle w:val="Default"/>
        <w:spacing w:line="480" w:lineRule="auto"/>
        <w:ind w:firstLine="709"/>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pacing w:line="480" w:lineRule="auto"/>
        <w:jc w:val="both"/>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antibiotic-treated specific pathogen free and germ free mice.</w:t>
      </w:r>
    </w:p>
    <w:p>
      <w:pPr>
        <w:pStyle w:val="Default"/>
        <w:spacing w:line="480" w:lineRule="auto"/>
        <w:jc w:val="both"/>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&gt; 0.05; Fig. 2a). All antibiotic treated specific pathogen free (SPF) and germ free (GF)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 per gram of content, while untreated SPF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the expression of genes for virulence and key sigma factors that are under the control of environmental nutrient concentrations.</w:t>
      </w:r>
    </w:p>
    <w:p>
      <w:pPr>
        <w:pStyle w:val="Default"/>
        <w:spacing w:line="480" w:lineRule="auto"/>
        <w:jc w:val="both"/>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treatment models. We then narrowed our analysis to focus on genes that control or code for functions that have been linked to nutrient concentrations in the intestines during CDI.  After observing differences in spore c.f.u. loads, we first examined transcription of known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(Alvarez, 2007; Fimlaid, 2013; Saujet, 2014), limiting it to those with the highest overall gene expression (Fig. 3a). Across the four conditions where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spoVS.</w:t>
      </w:r>
      <w:r>
        <w:rPr>
          <w:rStyle w:val="None A"/>
          <w:rFonts w:ascii="Arial" w:hAnsi="Arial"/>
          <w:sz w:val="22"/>
          <w:szCs w:val="22"/>
          <w:rtl w:val="0"/>
          <w:lang w:val="en-US"/>
        </w:rPr>
        <w:t xml:space="preserve"> These genes are involved in suppressing expression of genes found later in the sporulation pathway (Matsuno, 1999). The mice treated with streptomycin had the next highest density of spores and the highest expression of genes associated with sporulation activation (</w:t>
      </w:r>
      <w:r>
        <w:rPr>
          <w:rStyle w:val="None A"/>
          <w:rFonts w:ascii="Arial" w:hAnsi="Arial"/>
          <w:i w:val="1"/>
          <w:iCs w:val="1"/>
          <w:sz w:val="22"/>
          <w:szCs w:val="22"/>
          <w:rtl w:val="0"/>
          <w:lang w:val="en-US"/>
        </w:rPr>
        <w:t>spoIIAB</w:t>
      </w:r>
      <w:r>
        <w:rPr>
          <w:rStyle w:val="None A"/>
          <w:rFonts w:ascii="Arial" w:hAnsi="Arial"/>
          <w:sz w:val="22"/>
          <w:szCs w:val="22"/>
          <w:rtl w:val="0"/>
          <w:lang w:val="en-US"/>
        </w:rPr>
        <w:t>/</w:t>
      </w:r>
      <w:r>
        <w:rPr>
          <w:rStyle w:val="None A"/>
          <w:rFonts w:ascii="Arial" w:hAnsi="Arial"/>
          <w:i w:val="1"/>
          <w:iCs w:val="1"/>
          <w:sz w:val="22"/>
          <w:szCs w:val="22"/>
          <w:rtl w:val="0"/>
          <w:lang w:val="en-US"/>
        </w:rPr>
        <w:t>spoIIE</w:t>
      </w:r>
      <w:r>
        <w:rPr>
          <w:rStyle w:val="None A"/>
          <w:rFonts w:ascii="Arial" w:hAnsi="Arial"/>
          <w:sz w:val="22"/>
          <w:szCs w:val="22"/>
          <w:rtl w:val="0"/>
          <w:lang w:val="en-US"/>
        </w:rPr>
        <w:t xml:space="preserve">), but they also had relatively high levels of expression of </w:t>
      </w:r>
      <w:r>
        <w:rPr>
          <w:rStyle w:val="None A"/>
          <w:rFonts w:ascii="Arial" w:hAnsi="Arial"/>
          <w:i w:val="1"/>
          <w:iCs w:val="1"/>
          <w:sz w:val="22"/>
          <w:szCs w:val="22"/>
          <w:rtl w:val="0"/>
          <w:lang w:val="en-US"/>
        </w:rPr>
        <w:t xml:space="preserve">sspA </w:t>
      </w:r>
      <w:r>
        <w:rPr>
          <w:rStyle w:val="None A"/>
          <w:rFonts w:ascii="Arial" w:hAnsi="Arial"/>
          <w:sz w:val="22"/>
          <w:szCs w:val="22"/>
          <w:rtl w:val="0"/>
          <w:lang w:val="en-US"/>
        </w:rPr>
        <w:t xml:space="preserve">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which are genes that code for effectors that protect DNA from damage during dormancy. Next, mice treated with clindamycin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expressed genes associated with late stages of sporulation, including those for spore coat components (</w:t>
      </w:r>
      <w:r>
        <w:rPr>
          <w:rStyle w:val="None A"/>
          <w:rFonts w:ascii="Arial" w:hAnsi="Arial"/>
          <w:i w:val="1"/>
          <w:iCs w:val="1"/>
          <w:sz w:val="22"/>
          <w:szCs w:val="22"/>
          <w:rtl w:val="0"/>
          <w:lang w:val="en-US"/>
        </w:rPr>
        <w:t>cdeC</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cotJB2</w:t>
      </w:r>
      <w:r>
        <w:rPr>
          <w:rStyle w:val="None A"/>
          <w:rFonts w:ascii="Arial" w:hAnsi="Arial"/>
          <w:sz w:val="22"/>
          <w:szCs w:val="22"/>
          <w:rtl w:val="0"/>
          <w:lang w:val="en-US"/>
        </w:rPr>
        <w:t>), spore formation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spoVB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spoVFB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sspA</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Finally, GF mice harbored the highest density of spores and those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primarily expressed the dormancy genes linked with the latest stages sporulation. Together these data demonstrate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expresses stages of sporulation between the gut environments it colonizes.</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Expression of genes for quorum sensing and pathogenicity have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Both the </w:t>
      </w:r>
      <w:r>
        <w:rPr>
          <w:rStyle w:val="None A"/>
          <w:rFonts w:ascii="Arial" w:hAnsi="Arial"/>
          <w:i w:val="1"/>
          <w:iCs w:val="1"/>
          <w:sz w:val="22"/>
          <w:szCs w:val="22"/>
          <w:rtl w:val="0"/>
          <w:lang w:val="en-US"/>
        </w:rPr>
        <w:t>agr</w:t>
      </w:r>
      <w:r>
        <w:rPr>
          <w:rStyle w:val="None A"/>
          <w:rFonts w:ascii="Arial" w:hAnsi="Arial"/>
          <w:sz w:val="22"/>
          <w:szCs w:val="22"/>
          <w:rtl w:val="0"/>
          <w:lang w:val="en-US"/>
        </w:rPr>
        <w:t xml:space="preserve"> locus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gene are thought to be associated with inducing the expression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r>
        <w:rPr>
          <w:rStyle w:val="None A"/>
          <w:rFonts w:ascii="Arial" w:hAnsi="Arial"/>
          <w:i w:val="1"/>
          <w:iCs w:val="1"/>
          <w:sz w:val="22"/>
          <w:szCs w:val="22"/>
          <w:rtl w:val="0"/>
          <w:lang w:val="en-US"/>
        </w:rPr>
        <w:t xml:space="preserve">tcdA </w:t>
      </w:r>
      <w:r>
        <w:rPr>
          <w:rStyle w:val="None A"/>
          <w:rFonts w:ascii="Arial" w:hAnsi="Arial"/>
          <w:sz w:val="22"/>
          <w:szCs w:val="22"/>
          <w:rtl w:val="0"/>
          <w:lang w:val="en-US"/>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Default"/>
        <w:spacing w:line="480" w:lineRule="auto"/>
        <w:jc w:val="both"/>
        <w:rPr>
          <w:rFonts w:ascii="Arial" w:cs="Arial" w:hAnsi="Arial" w:eastAsia="Arial"/>
          <w:sz w:val="22"/>
          <w:szCs w:val="22"/>
        </w:rPr>
      </w:pPr>
    </w:p>
    <w:p>
      <w:pPr>
        <w:pStyle w:val="Default"/>
        <w:spacing w:line="480" w:lineRule="auto"/>
        <w:jc w:val="both"/>
      </w:pPr>
      <w:r>
        <w:tab/>
      </w:r>
      <w:r>
        <w:rPr>
          <w:rStyle w:val="None A"/>
          <w:rFonts w:ascii="Arial" w:hAnsi="Arial"/>
          <w:sz w:val="22"/>
          <w:szCs w:val="22"/>
          <w:rtl w:val="0"/>
          <w:lang w:val="en-US"/>
        </w:rPr>
        <w:t xml:space="preserve">Because the genes discussed thus far are connected to metabolism, we chose to next focus on the regulators of these processes. Sigma factors are master regulators of transcription and a subset have been shown to integrate signals from intra- and extracellular nutrient concentrations (Antunes, 2012; Fimlaid, 2013; Bouillaut, 2015; Donnelly, 2016). The transcription of the global repressor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responsive to intracellular concentrations of GTP and certain amino acids, which are </w:t>
      </w:r>
      <w:r>
        <w:rPr>
          <w:rStyle w:val="None A"/>
          <w:rFonts w:ascii="Arial" w:hAnsi="Arial"/>
          <w:i w:val="1"/>
          <w:iCs w:val="1"/>
          <w:sz w:val="22"/>
          <w:szCs w:val="22"/>
          <w:rtl w:val="0"/>
          <w:lang w:val="en-US"/>
        </w:rPr>
        <w:t>C. difficile</w:t>
      </w:r>
      <w:r>
        <w:rPr>
          <w:rtl w:val="0"/>
          <w:lang w:val="en-US"/>
        </w:rPr>
        <w:t xml:space="preserve"> </w:t>
      </w:r>
      <w:r>
        <w:rPr>
          <w:rStyle w:val="None A"/>
          <w:rFonts w:ascii="Arial" w:hAnsi="Arial"/>
          <w:sz w:val="22"/>
          <w:szCs w:val="22"/>
          <w:rtl w:val="0"/>
          <w:lang w:val="en-US"/>
        </w:rPr>
        <w:t xml:space="preserve">energy sources (Fig 3d). Highest transcription for this gene was found in cefoperazone-treated and GF mice. Expression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is dependent on relief of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inhibition and its activity is linked to local concentration of rapidly metabolizable carbon sources. Cefoperazone-treated mice also exhibited increased transcription of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but the GF condition did not follow the same pattern. CcpA acts directly on </w:t>
      </w:r>
      <w:r>
        <w:rPr>
          <w:rStyle w:val="None A"/>
          <w:rFonts w:ascii="Arial" w:hAnsi="Arial"/>
          <w:i w:val="1"/>
          <w:iCs w:val="1"/>
          <w:sz w:val="22"/>
          <w:szCs w:val="22"/>
          <w:rtl w:val="0"/>
          <w:lang w:val="en-US"/>
        </w:rPr>
        <w:t xml:space="preserve">spoA0 </w:t>
      </w:r>
      <w:r>
        <w:rPr>
          <w:rStyle w:val="None A"/>
          <w:rFonts w:ascii="Arial" w:hAnsi="Arial"/>
          <w:sz w:val="22"/>
          <w:szCs w:val="22"/>
          <w:rtl w:val="0"/>
          <w:lang w:val="en-US"/>
        </w:rPr>
        <w:t xml:space="preserve">(Fig. 3d), which positively regulates initiation of the sporulation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Transcripts for </w:t>
      </w:r>
      <w:r>
        <w:rPr>
          <w:rStyle w:val="None A"/>
          <w:rFonts w:ascii="Arial" w:hAnsi="Arial"/>
          <w:i w:val="1"/>
          <w:iCs w:val="1"/>
          <w:sz w:val="22"/>
          <w:szCs w:val="22"/>
          <w:rtl w:val="0"/>
          <w:lang w:val="en-US"/>
        </w:rPr>
        <w:t>spoA0</w:t>
      </w:r>
      <w:r>
        <w:rPr>
          <w:rStyle w:val="None A"/>
          <w:rFonts w:ascii="Arial" w:hAnsi="Arial"/>
          <w:sz w:val="22"/>
          <w:szCs w:val="22"/>
          <w:rtl w:val="0"/>
          <w:lang w:val="en-US"/>
        </w:rPr>
        <w:t xml:space="preserve"> were highly abundant in all conditions tested except for clindamycin-treated mice, where it was still moderately detectable. The </w:t>
      </w:r>
      <w:r>
        <w:rPr>
          <w:rStyle w:val="None A"/>
          <w:rFonts w:ascii="Arial" w:hAnsi="Arial"/>
          <w:i w:val="1"/>
          <w:iCs w:val="1"/>
          <w:sz w:val="22"/>
          <w:szCs w:val="22"/>
          <w:rtl w:val="0"/>
          <w:lang w:val="en-US"/>
        </w:rPr>
        <w:t>sig</w:t>
      </w:r>
      <w:r>
        <w:rPr>
          <w:rStyle w:val="None A"/>
          <w:rFonts w:ascii="Arial" w:hAnsi="Arial"/>
          <w:sz w:val="22"/>
          <w:szCs w:val="22"/>
          <w:rtl w:val="0"/>
          <w:lang w:val="en-US"/>
        </w:rPr>
        <w:t>-family of sigma factors is under the control of SpoA0 and regulate different stages of sporulation. The genes from this family with the highest total transcription (</w:t>
      </w:r>
      <w:r>
        <w:rPr>
          <w:rStyle w:val="None A"/>
          <w:rFonts w:ascii="Arial" w:hAnsi="Arial"/>
          <w:i w:val="1"/>
          <w:iCs w:val="1"/>
          <w:sz w:val="22"/>
          <w:szCs w:val="22"/>
          <w:rtl w:val="0"/>
          <w:lang w:val="en-US"/>
        </w:rPr>
        <w:t>sigA1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sigF</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sigH</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sigK</w:t>
      </w:r>
      <w:r>
        <w:rPr>
          <w:rStyle w:val="None A"/>
          <w:rFonts w:ascii="Arial" w:hAnsi="Arial"/>
          <w:sz w:val="22"/>
          <w:szCs w:val="22"/>
          <w:rtl w:val="0"/>
          <w:lang w:val="en-US"/>
        </w:rPr>
        <w:t xml:space="preserve">) each demonstrate a unique pattern of expression between conditions. These results indicate that complete expression of sporulation likely integrates multiple levels of signaling and is more complex than a single metabolic switch. Both CcpA and Spo0A also regulate pathogenicity by acting on </w:t>
      </w:r>
      <w:r>
        <w:rPr>
          <w:rStyle w:val="None A"/>
          <w:rFonts w:ascii="Arial" w:hAnsi="Arial"/>
          <w:i w:val="1"/>
          <w:iCs w:val="1"/>
          <w:sz w:val="22"/>
          <w:szCs w:val="22"/>
          <w:rtl w:val="0"/>
          <w:lang w:val="en-US"/>
        </w:rPr>
        <w:t>tcdC</w:t>
      </w:r>
      <w:r>
        <w:rPr>
          <w:rStyle w:val="None A"/>
          <w:rFonts w:ascii="Arial" w:hAnsi="Arial"/>
          <w:sz w:val="22"/>
          <w:szCs w:val="22"/>
          <w:rtl w:val="0"/>
          <w:lang w:val="en-US"/>
        </w:rPr>
        <w:t>/</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(Fig. 3d). We found expression of the toxin negative regulator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in all of the antibiotic-treated groups, but no detectable transcripts for the positive toxin A/B regulator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were seen in any treatment. In addition to its effects on sporulation and virulence, CcpA also regulates the expression of other sigma factors that generally mediate distinct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as needed.  These targets include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(general fermentation regulator) and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(Stickland fermentation regulator)</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xml:space="preserve">(Fig. 3d). Although the expression of both has been shown to be linked to environmental proline concentrations,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integrates additional signals from the intracellular NADH/NAD+ ratio to also control carbohydrate fermentation. Low-level transcription of </w:t>
      </w:r>
      <w:r>
        <w:rPr>
          <w:rStyle w:val="None A"/>
          <w:rFonts w:ascii="Arial" w:hAnsi="Arial"/>
          <w:i w:val="1"/>
          <w:iCs w:val="1"/>
          <w:sz w:val="22"/>
          <w:szCs w:val="22"/>
          <w:rtl w:val="0"/>
          <w:lang w:val="en-US"/>
        </w:rPr>
        <w:t>prdR</w:t>
      </w:r>
      <w:r>
        <w:rPr>
          <w:rStyle w:val="None A"/>
          <w:rFonts w:ascii="Arial" w:hAnsi="Arial"/>
          <w:sz w:val="22"/>
          <w:szCs w:val="22"/>
          <w:rtl w:val="0"/>
          <w:lang w:val="en-US"/>
        </w:rPr>
        <w:t xml:space="preserve"> was found across all conditions, however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the </w:t>
      </w:r>
      <w:r>
        <w:rPr>
          <w:rStyle w:val="None A"/>
          <w:rFonts w:ascii="Arial" w:hAnsi="Arial"/>
          <w:i w:val="1"/>
          <w:iCs w:val="1"/>
          <w:sz w:val="22"/>
          <w:szCs w:val="22"/>
          <w:rtl w:val="0"/>
          <w:lang w:val="en-US"/>
        </w:rPr>
        <w:t>rex</w:t>
      </w:r>
      <w:r>
        <w:rPr>
          <w:rStyle w:val="None A"/>
          <w:rFonts w:ascii="Arial" w:hAnsi="Arial"/>
          <w:sz w:val="22"/>
          <w:szCs w:val="22"/>
          <w:rtl w:val="0"/>
          <w:lang w:val="en-US"/>
        </w:rPr>
        <w:t xml:space="preserve"> gene highly in both cefoperazone-treated and GF mice. Combined, the variable expression of these sigma factors support the hypothesis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adapts expression metabolism to fit its needs between colonized environments.</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pacing w:line="480" w:lineRule="auto"/>
        <w:jc w:val="both"/>
      </w:pPr>
      <w:r>
        <w:rPr>
          <w:rStyle w:val="None A"/>
          <w:rFonts w:ascii="Arial" w:cs="Arial" w:hAnsi="Arial" w:eastAsia="Arial"/>
          <w:sz w:val="22"/>
          <w:szCs w:val="22"/>
          <w:rtl w:val="0"/>
        </w:rPr>
        <w:tab/>
        <w:t xml:space="preserve">In the context of similar colonization between antibiotic-treated animals, differential expression of global metabolic control mechanisms that are under the control of specific nutrient concentrations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to each environment when in competition with the resident microbiota. To test this further, we quantified the total expression for all KEGG annotated genes 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genome (Fig. S1a). We then focused on general differences in carbohydrate (Fig. S1b) and amino acid (Fig. S1c) metabolism in order to asses for apparent differences in the utilization of carbon sources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across environments. However aside from overall lower expression of most gene families in germ free mice, no other clear trends were evident at this broad level of analysis so we moved toward a more fine-scale resolution of annotation and focused on specific gene sets known to contribute to certain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(Table S1). Also, to more effectively compare between colonized states, we calculated the percentage of the total expression for all annotated genes on a per gene basis (Fig. 4). The distribution of points indicated that there were large scale differences in expression between each group</w:t>
      </w:r>
      <w:r>
        <w:rPr>
          <w:rtl w:val="0"/>
          <w:lang w:val="en-US"/>
        </w:rPr>
        <w:t xml:space="preserve"> </w:t>
      </w:r>
      <w:r>
        <w:rPr>
          <w:rStyle w:val="None A"/>
          <w:rFonts w:ascii="Arial" w:hAnsi="Arial"/>
          <w:sz w:val="22"/>
          <w:szCs w:val="22"/>
          <w:rtl w:val="0"/>
          <w:lang w:val="en-US"/>
        </w:rPr>
        <w:t>(Fig. 4a), but lacking functional labels isn</w:t>
      </w:r>
      <w:r>
        <w:rPr>
          <w:rStyle w:val="None A"/>
          <w:rFonts w:ascii="Arial" w:hAnsi="Arial" w:hint="default"/>
          <w:sz w:val="22"/>
          <w:szCs w:val="22"/>
          <w:rtl w:val="0"/>
          <w:lang w:val="en-US"/>
        </w:rPr>
        <w:t>’</w:t>
      </w:r>
      <w:r>
        <w:rPr>
          <w:rStyle w:val="None A"/>
          <w:rFonts w:ascii="Arial" w:hAnsi="Arial"/>
          <w:sz w:val="22"/>
          <w:szCs w:val="22"/>
          <w:rtl w:val="0"/>
          <w:lang w:val="en-US"/>
        </w:rPr>
        <w:t xml:space="preserve">t informative for uncovering differences in metabolic strategy. We then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displayed highest expression of those genes among the three antibiotic treatment groups. The highest overall expression was for those genes involved in amino acid catabolism. These findings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amino acids for energy as a central part of its metabolism</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during infection under any condition.</w:t>
      </w: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cs="Arial" w:hAnsi="Arial" w:eastAsia="Arial"/>
          <w:sz w:val="22"/>
          <w:szCs w:val="22"/>
          <w:rtl w:val="0"/>
        </w:rPr>
        <w:tab/>
        <w:t>To assess more clear associations of each gene set with a given antibiotic group, we analyzed each set separately and how they relate to the others. We first chose to asses sugar transport systems since CodY has been associated with adaptive expression of phosphotransferase systems (PTS) and ABC transporters with many known differences in substrate specificities. Among the genes classified as PTS transporters (Fig. 4b) were overrepresented in both clindamycin and streptomycin-treated mice, while ABC sugar transporters (Fig. 4c) were overrepresented in the cefoparazone-treated mice. The most stark differences were seen in transcription for genes involved in sugar alcohol catabolism (Fig. 4d). Expression of these genes was entirely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 Concordant patterns also emerged in genes associated with fermentation end steps (Fig. 4f) and  polysaccharide degradation (Fig. 4g). Short chain fatty acids (SCFAs) and alcohols are the end products of both carbohydrate and 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separate pathways with shared terminal steps. Transcripts for genes involved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butyrate/butanol metabolism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and </w:t>
      </w:r>
      <w:bookmarkStart w:name="_DdeLink__1230_954670323" w:id="0"/>
      <w:r>
        <w:rPr>
          <w:rStyle w:val="None A"/>
          <w:rFonts w:ascii="Arial" w:hAnsi="Arial"/>
          <w:i w:val="1"/>
          <w:iCs w:val="1"/>
          <w:sz w:val="22"/>
          <w:szCs w:val="22"/>
          <w:rtl w:val="0"/>
          <w:lang w:val="en-US"/>
        </w:rPr>
        <w:t>adhE</w:t>
      </w:r>
      <w:bookmarkEnd w:id="0"/>
      <w:r>
        <w:rPr>
          <w:rStyle w:val="None A"/>
          <w:rFonts w:ascii="Arial" w:hAnsi="Arial"/>
          <w:sz w:val="22"/>
          <w:szCs w:val="22"/>
          <w:rtl w:val="0"/>
          <w:lang w:val="en-US"/>
        </w:rPr>
        <w:t>) were more abundant in  clindamycin-treated mice. Additionally, alpha/beta-galactosidase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were also overrepresented in clindamycin-treated mice (Fig. 4g). Together these patterns support polysaccharide fermentation in this condition. More subtle differences were seen in those gene associated with glycolysis (Fig. 4e). This category includes genes for not only the steps of glycolysis, but also several genes that mediate entry points of monosaccharides to this pathway. Transcripts for several genes in this group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overrepresented in cefoparazone-treated mice,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overrepresented in streptomycin-treated mice which catalyzes the committed step of glycolysis.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pacing w:line="480" w:lineRule="auto"/>
        <w:jc w:val="both"/>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4h). 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 Additionally, genes for the metabolism of the host-derived amino sugars N-acetylglucosamine and N-acetylmannosamine 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 (Fig. 4i).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 suggest that catabolism of amino acids and specific monosaccharides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during infection.</w:t>
      </w:r>
    </w:p>
    <w:p>
      <w:pPr>
        <w:pStyle w:val="Default"/>
        <w:spacing w:line="480" w:lineRule="auto"/>
        <w:jc w:val="both"/>
        <w:rPr>
          <w:rFonts w:ascii="Arial" w:cs="Arial" w:hAnsi="Arial" w:eastAsia="Arial"/>
          <w:sz w:val="22"/>
          <w:szCs w:val="22"/>
        </w:rPr>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Structure of genome-scale bipartite metabolic models underscore known bacterial metabolism.</w:t>
      </w:r>
    </w:p>
    <w:p>
      <w:pPr>
        <w:pStyle w:val="Default"/>
        <w:spacing w:line="480" w:lineRule="auto"/>
        <w:ind w:firstLine="709"/>
        <w:jc w:val="both"/>
      </w:pPr>
      <w:r>
        <w:rPr>
          <w:rStyle w:val="None A"/>
          <w:rFonts w:ascii="Arial" w:hAnsi="Arial"/>
          <w:sz w:val="22"/>
          <w:szCs w:val="22"/>
          <w:rtl w:val="0"/>
          <w:lang w:val="en-US"/>
        </w:rPr>
        <w:t xml:space="preserve">To further investigate which metabolites are differentially utilized between conditions, 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S2). In biological terms BC reflects the amount of influence a given hub has on the overall flow of metabolism through the network (Potapov, 2005), and OCCI indicates those enzymes and substrates that are the most central components of the organism</w:t>
      </w:r>
      <w:r>
        <w:rPr>
          <w:rStyle w:val="None A"/>
          <w:rFonts w:ascii="Arial" w:hAnsi="Arial" w:hint="default"/>
          <w:sz w:val="22"/>
          <w:szCs w:val="22"/>
          <w:rtl w:val="0"/>
          <w:lang w:val="en-US"/>
        </w:rPr>
        <w:t>’</w:t>
      </w:r>
      <w:r>
        <w:rPr>
          <w:rStyle w:val="None A"/>
          <w:rFonts w:ascii="Arial" w:hAnsi="Arial"/>
          <w:sz w:val="22"/>
          <w:szCs w:val="22"/>
          <w:rtl w:val="0"/>
          <w:lang w:val="en-US"/>
        </w:rPr>
        <w:t>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shd w:val="clear" w:color="auto" w:fill="ffffff"/>
          <w:rtl w:val="0"/>
          <w:lang w:val="en-US"/>
        </w:rPr>
        <w:t xml:space="preserve">Metabolite importance algorithm reveals adaptive nutritional strategies of </w:t>
      </w:r>
      <w:r>
        <w:rPr>
          <w:rStyle w:val="None A"/>
          <w:rFonts w:ascii="Arial" w:hAnsi="Arial"/>
          <w:b w:val="1"/>
          <w:bCs w:val="1"/>
          <w:i w:val="1"/>
          <w:iCs w:val="1"/>
          <w:sz w:val="22"/>
          <w:szCs w:val="22"/>
          <w:shd w:val="clear" w:color="auto" w:fill="ffffff"/>
          <w:rtl w:val="0"/>
          <w:lang w:val="en-US"/>
        </w:rPr>
        <w:t xml:space="preserve">C. difficile </w:t>
      </w:r>
      <w:r>
        <w:rPr>
          <w:rStyle w:val="None A"/>
          <w:rFonts w:ascii="Arial" w:hAnsi="Arial"/>
          <w:b w:val="1"/>
          <w:bCs w:val="1"/>
          <w:sz w:val="22"/>
          <w:szCs w:val="22"/>
          <w:shd w:val="clear" w:color="auto" w:fill="ffffff"/>
          <w:rtl w:val="0"/>
          <w:lang w:val="en-US"/>
        </w:rPr>
        <w:t>during infection across distinct environments</w:t>
      </w:r>
    </w:p>
    <w:p>
      <w:pPr>
        <w:pStyle w:val="Default"/>
        <w:spacing w:line="480" w:lineRule="auto"/>
        <w:ind w:firstLine="709"/>
        <w:jc w:val="both"/>
      </w:pPr>
      <w:r>
        <w:rPr>
          <w:rStyle w:val="None A"/>
          <w:rFonts w:ascii="Arial" w:hAnsi="Arial"/>
          <w:sz w:val="22"/>
          <w:szCs w:val="22"/>
          <w:shd w:val="clear" w:color="auto" w:fill="ffffff"/>
          <w:rtl w:val="0"/>
          <w:lang w:val="en-US"/>
        </w:rPr>
        <w:t xml:space="preserve">Moving beyond a strictly topological analysis of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metabolic network, we sought to utilize transcriptomic data to infer which metabolites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w:t>
      </w:r>
      <w:r>
        <w:rPr>
          <w:rStyle w:val="None A"/>
          <w:rFonts w:ascii="Arial" w:hAnsi="Arial"/>
          <w:rtl w:val="0"/>
          <w:lang w:val="en-US"/>
        </w:rPr>
        <w:t>We t</w:t>
      </w:r>
      <w:r>
        <w:rPr>
          <w:rStyle w:val="None A"/>
          <w:rFonts w:ascii="Arial" w:hAnsi="Arial"/>
          <w:sz w:val="22"/>
          <w:szCs w:val="22"/>
          <w:shd w:val="clear" w:color="auto" w:fill="ffffff"/>
          <w:rtl w:val="0"/>
          <w:lang w:val="en-US"/>
        </w:rPr>
        <w:t xml:space="preserve">hen applied these methods to the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transcriptomic data collected from the </w:t>
      </w:r>
      <w:r>
        <w:rPr>
          <w:rStyle w:val="None A"/>
          <w:rFonts w:ascii="Arial" w:hAnsi="Arial"/>
          <w:i w:val="1"/>
          <w:iCs w:val="1"/>
          <w:sz w:val="22"/>
          <w:szCs w:val="22"/>
          <w:shd w:val="clear" w:color="auto" w:fill="ffffff"/>
          <w:rtl w:val="0"/>
          <w:lang w:val="en-US"/>
        </w:rPr>
        <w:t>in vivo</w:t>
      </w:r>
      <w:r>
        <w:rPr>
          <w:rStyle w:val="None A"/>
          <w:rFonts w:ascii="Arial" w:hAnsi="Arial"/>
          <w:sz w:val="22"/>
          <w:szCs w:val="22"/>
          <w:shd w:val="clear" w:color="auto" w:fill="ffffff"/>
          <w:rtl w:val="0"/>
          <w:lang w:val="en-US"/>
        </w:rPr>
        <w:t xml:space="preserve"> CDI models to assess differential patterns of metabolite importance. We first ranked the importance scores to identify the most important metabolites for each treatment group (Table S3), however a more informative effort is to </w:t>
      </w:r>
      <w:r>
        <w:rPr>
          <w:rStyle w:val="None A"/>
          <w:rFonts w:ascii="Arial" w:hAnsi="Arial"/>
          <w:sz w:val="22"/>
          <w:szCs w:val="22"/>
          <w:rtl w:val="0"/>
          <w:lang w:val="en-US"/>
        </w:rPr>
        <w:t xml:space="preserve">identify the core metabolites that are essential to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in any condition. To achieve this goal, we compared the top 50 scoring metabolites from each treatment group to find those metabolites that were important across all conditions (Fig. 6a). Both trehalose and the host derived amino sugar N-acetyl-D-glucosamine were found to be consistently important, indicating that they may be integral components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produces acetate during fermentation and metabolizes it effectively to utilize in glycolysis (Karlsson,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S2)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These findings provided validation for our metabolite importance algorithm as well as supporting known elements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w:t>
      </w:r>
    </w:p>
    <w:p>
      <w:pPr>
        <w:pStyle w:val="Default"/>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between treatment groups to uncover the most important patterns of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(Ng, 2013; Theriot, 2014). This included close analogs of D-fructose, mannitol, N-acetylneuraminic acid, and salicin. Furthermore, in GF mice where no other competitors are present, our model indicates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more likely to acquires several amino acids (lysine, leucine, and isoleucine) from the environment instead of expending energy to produce them itself.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nutrient sources between the susceptible environments it colonizes.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Important carbon sources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according to network-based approach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differential 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pacing w:line="480" w:lineRule="auto"/>
        <w:ind w:firstLine="709"/>
        <w:jc w:val="both"/>
      </w:pPr>
      <w:r>
        <w:rPr>
          <w:rStyle w:val="None A"/>
          <w:rFonts w:ascii="Arial" w:hAnsi="Arial"/>
          <w:sz w:val="22"/>
          <w:szCs w:val="22"/>
          <w:rtl w:val="0"/>
          <w:lang w:val="en-US"/>
        </w:rPr>
        <w:t xml:space="preserve">To validate the biological relevance of substrates identified as uniquely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(Fig. 6c).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As such, the most effective negative control is growth in media lacking carbohydrates but containing amino acids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0.212). </w:t>
      </w:r>
    </w:p>
    <w:p>
      <w:pPr>
        <w:pStyle w:val="Default"/>
        <w:spacing w:line="480" w:lineRule="auto"/>
        <w:ind w:firstLine="709"/>
        <w:jc w:val="both"/>
      </w:pPr>
      <w:r>
        <w:rPr>
          <w:rStyle w:val="None A"/>
          <w:rFonts w:ascii="Arial" w:hAnsi="Arial"/>
          <w:sz w:val="22"/>
          <w:szCs w:val="22"/>
          <w:rtl w:val="0"/>
          <w:lang w:val="en-US"/>
        </w:rPr>
        <w:t xml:space="preserve">As previously stated, </w:t>
      </w:r>
      <w:bookmarkStart w:name="_DdeLink__1342_1088560619" w:id="1"/>
      <w:r>
        <w:rPr>
          <w:rStyle w:val="None A"/>
          <w:rFonts w:ascii="Arial" w:hAnsi="Arial"/>
          <w:sz w:val="22"/>
          <w:szCs w:val="22"/>
          <w:rtl w:val="0"/>
          <w:lang w:val="en-US"/>
        </w:rPr>
        <w:t>N-acetyl-D-glucosamine</w:t>
      </w:r>
      <w:bookmarkEnd w:id="1"/>
      <w:r>
        <w:rPr>
          <w:rStyle w:val="None A"/>
          <w:rFonts w:ascii="Arial" w:hAnsi="Arial"/>
          <w:sz w:val="22"/>
          <w:szCs w:val="22"/>
          <w:rtl w:val="0"/>
          <w:lang w:val="en-US"/>
        </w:rPr>
        <w:t xml:space="preserve"> was shown to be important to C. difficile in each condition tested. When tested for improved growth, significantly more growth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0.774) was observed compared to no carbohydrate controls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provided evidence that</w:t>
      </w:r>
      <w:r>
        <w:rPr>
          <w:rtl w:val="0"/>
          <w:lang w:val="en-US"/>
        </w:rPr>
        <w:t xml:space="preserve"> </w:t>
      </w:r>
      <w:r>
        <w:rPr>
          <w:rStyle w:val="None A"/>
          <w:rFonts w:ascii="Arial" w:hAnsi="Arial"/>
          <w:sz w:val="22"/>
          <w:szCs w:val="22"/>
          <w:rtl w:val="0"/>
          <w:lang w:val="en-US"/>
        </w:rPr>
        <w:t xml:space="preserve">N-acetyl-D-glucosamine, derived from the host mucus layer, may be a central component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niche during infection. Trehalose was also shown to be significant in each environment tested, and supported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0.559). Furthermore, at least one carbohydrate highlighted as distinctly more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control wells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This included D-fructose (streptomycin;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0.869), and N-acetylneuraminate (GF; Max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0.439). Because it was not possible to test aminofructose directly, we instead chose to test fructose, an immediate breakdown byproduct of aminofructose catabolism. We also tested both starch and acetate for the ability to support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but neither should any improvement over No Carbohydrate control (Fig. S3). Maximum growth rate analysis for each carbohydrate also indicates potential hierarchy of growth nutrient preference (Table S4). The progression is as follows: D-fructose (slope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0.089), N-acetyl-D-glucosamine (slope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0.085), salicin (slope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0.077), trehalose (slope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0.044), mannitol (slope</w:t>
      </w:r>
      <w:r>
        <w:rPr>
          <w:rStyle w:val="None A"/>
          <w:rFonts w:ascii="Arial" w:hAnsi="Arial"/>
          <w:i w:val="1"/>
          <w:iCs w:val="1"/>
          <w:sz w:val="22"/>
          <w:szCs w:val="22"/>
          <w:rtl w:val="0"/>
          <w:lang w:val="en-US"/>
        </w:rPr>
        <w:t xml:space="preserve"> </w:t>
      </w:r>
      <w:r>
        <w:rPr>
          <w:rStyle w:val="None A"/>
          <w:rFonts w:ascii="Arial" w:hAnsi="Arial"/>
          <w:sz w:val="22"/>
          <w:szCs w:val="22"/>
          <w:rtl w:val="0"/>
          <w:lang w:val="en-US"/>
        </w:rPr>
        <w:t>= 0.044), and finally N-acetylneuriminate (slope</w:t>
      </w:r>
      <w:r>
        <w:rPr>
          <w:rStyle w:val="None A"/>
          <w:rFonts w:ascii="Arial" w:hAnsi="Arial"/>
          <w:i w:val="1"/>
          <w:iCs w:val="1"/>
          <w:sz w:val="22"/>
          <w:szCs w:val="22"/>
          <w:rtl w:val="0"/>
          <w:lang w:val="en-US"/>
        </w:rPr>
        <w:t xml:space="preserve"> = </w:t>
      </w:r>
      <w:r>
        <w:rPr>
          <w:rStyle w:val="None A"/>
          <w:rFonts w:ascii="Arial" w:hAnsi="Arial"/>
          <w:sz w:val="22"/>
          <w:szCs w:val="22"/>
          <w:rtl w:val="0"/>
          <w:lang w:val="en-US"/>
        </w:rPr>
        <w:t xml:space="preserve">0.024). This suggests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most well-suited to metabolize the nutrient source that is most likely to be present in all susceptible mammalian GI tracts. Together,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nutritional strategy to carbohydrate availability during infection and may suggest a hierarchy of nutrient preference.</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Discussion</w:t>
      </w:r>
    </w:p>
    <w:p>
      <w:pPr>
        <w:pStyle w:val="Default"/>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Collectively, our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adapt its metabolism to the available niche landscape across susceptible gut environments. We showed that mice treated with different antibiotics harbor distinct microbial communities and that when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colonizes these communities it alters its gene expression. Mapping this gene expression onto a metabolic network model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allowed us to quantify the importance of different metabolites acquired from its environment. That the most important metabolites differed between antibiotic treatment groups indicated a shift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Furthermore, we validated these results by growing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media where important metabolites were the sole carbohydrate and observed robust growth. These results give insight to the adaptive strategies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to colonize diverse human microbiota.</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By integrating multiple levels of data into a transcriptome-enabled, genome-scale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we are able to obtain a deeper understanding of the pathogen</w:t>
      </w:r>
      <w:r>
        <w:rPr>
          <w:rStyle w:val="None A"/>
          <w:rFonts w:ascii="Arial" w:hAnsi="Arial" w:hint="default"/>
          <w:sz w:val="22"/>
          <w:szCs w:val="22"/>
          <w:rtl w:val="0"/>
          <w:lang w:val="en-US"/>
        </w:rPr>
        <w:t>’</w:t>
      </w:r>
      <w:r>
        <w:rPr>
          <w:rStyle w:val="None A"/>
          <w:rFonts w:ascii="Arial" w:hAnsi="Arial"/>
          <w:sz w:val="22"/>
          <w:szCs w:val="22"/>
          <w:rtl w:val="0"/>
          <w:lang w:val="en-US"/>
        </w:rPr>
        <w:t xml:space="preserve">s behavior in different contexts of infection. Comparative studies on gene content alone were able to identify core genomic elements and putative colonization factors (Janvilisri, 2009; Scaria, 2015), and while these important steps in directing future research, they lack an expression component to identify when these functions may be important. Moving into transcriptomic analysis becomes more informative as it can account for differential expression of genes under distinct conditions (Janoir, 2013), and can uncover patterns of adaptation but is still limited since the focus is typically on the expression of single gene families or pathways in isolation. Previous efforts to integrate transcriptomic data with genome-scale models have primarily had the goal of quantifying intracellular flux of metabolites (Kim, 2005). Our approach focuses more toward uncovering those resources that are acquired from the environment. Using standard transcriptomic analysis (non network-based) to asses the importance of a substrate to an organism is subject to </w:t>
      </w:r>
      <w:r>
        <w:rPr>
          <w:rStyle w:val="None A"/>
          <w:rFonts w:ascii="Arial" w:hAnsi="Arial"/>
          <w:sz w:val="22"/>
          <w:szCs w:val="22"/>
          <w:shd w:val="clear" w:color="auto" w:fill="ffffff"/>
          <w:rtl w:val="0"/>
          <w:lang w:val="en-US"/>
        </w:rPr>
        <w:t>subtle changes in transcription of single genes for enzymes that utilize a given metabolite a</w:t>
      </w:r>
      <w:r>
        <w:rPr>
          <w:rStyle w:val="None A"/>
          <w:rFonts w:ascii="Arial" w:hAnsi="Arial"/>
          <w:sz w:val="22"/>
          <w:szCs w:val="22"/>
          <w:shd w:val="clear" w:color="auto" w:fill="ffffff"/>
          <w:rtl w:val="0"/>
          <w:lang w:val="en-US"/>
        </w:rPr>
        <w:t>nd</w:t>
      </w:r>
      <w:r>
        <w:rPr>
          <w:rStyle w:val="None A"/>
          <w:rFonts w:ascii="Arial" w:hAnsi="Arial"/>
          <w:sz w:val="22"/>
          <w:szCs w:val="22"/>
          <w:shd w:val="clear" w:color="auto" w:fill="ffffff"/>
          <w:rtl w:val="0"/>
          <w:lang w:val="en-US"/>
        </w:rPr>
        <w:t xml:space="preserve"> can result in poor signal-to-noise ratio </w:t>
      </w:r>
      <w:r>
        <w:rPr>
          <w:rStyle w:val="None A"/>
          <w:rFonts w:ascii="Arial" w:hAnsi="Arial"/>
          <w:sz w:val="22"/>
          <w:szCs w:val="22"/>
          <w:shd w:val="clear" w:color="auto" w:fill="ffffff"/>
          <w:rtl w:val="0"/>
          <w:lang w:val="en-US"/>
        </w:rPr>
        <w:t>which</w:t>
      </w:r>
      <w:r>
        <w:rPr>
          <w:rStyle w:val="None A"/>
          <w:rFonts w:ascii="Arial" w:hAnsi="Arial"/>
          <w:sz w:val="22"/>
          <w:szCs w:val="22"/>
          <w:shd w:val="clear" w:color="auto" w:fill="ffffff"/>
          <w:rtl w:val="0"/>
          <w:lang w:val="en-US"/>
        </w:rPr>
        <w:t xml:space="preserve"> miss biologically relevant patterns for resource demands. Our technique circumvents this issue by using a integrative approach in which all reactions that are annotated to interact with a given metabolite are incorporated into the importance of that metabolite at the time point measured. In this way we are able to amplify signal of demand for each metabolite and more reliably identify what resources a bacterium is importing from it</w:t>
      </w:r>
      <w:r>
        <w:rPr>
          <w:rStyle w:val="None A"/>
          <w:rFonts w:ascii="Arial" w:hAnsi="Arial" w:hint="default"/>
          <w:sz w:val="22"/>
          <w:szCs w:val="22"/>
          <w:shd w:val="clear" w:color="auto" w:fill="ffffff"/>
          <w:rtl w:val="0"/>
          <w:lang w:val="en-US"/>
        </w:rPr>
        <w:t>’</w:t>
      </w:r>
      <w:r>
        <w:rPr>
          <w:rStyle w:val="None A"/>
          <w:rFonts w:ascii="Arial" w:hAnsi="Arial"/>
          <w:sz w:val="22"/>
          <w:szCs w:val="22"/>
          <w:shd w:val="clear" w:color="auto" w:fill="ffffff"/>
          <w:rtl w:val="0"/>
          <w:lang w:val="en-US"/>
        </w:rPr>
        <w:t xml:space="preserve">s environment. For example, a traditional transcriptomic analysis indicated that sorbitol is the most likely carbon source of </w:t>
      </w:r>
      <w:r>
        <w:rPr>
          <w:rStyle w:val="None A"/>
          <w:rFonts w:ascii="Arial" w:hAnsi="Arial"/>
          <w:i w:val="1"/>
          <w:iCs w:val="1"/>
          <w:sz w:val="22"/>
          <w:szCs w:val="22"/>
          <w:shd w:val="clear" w:color="auto" w:fill="ffffff"/>
          <w:rtl w:val="0"/>
          <w:lang w:val="en-US"/>
        </w:rPr>
        <w:t>C. difficile</w:t>
      </w:r>
      <w:r>
        <w:rPr>
          <w:rStyle w:val="None A"/>
          <w:rFonts w:ascii="Arial" w:hAnsi="Arial"/>
          <w:sz w:val="22"/>
          <w:szCs w:val="22"/>
          <w:shd w:val="clear" w:color="auto" w:fill="ffffff"/>
          <w:rtl w:val="0"/>
          <w:lang w:val="en-US"/>
        </w:rPr>
        <w:t xml:space="preserve"> when infecting streptomycin-treated mice (Fig. 4d). However, upon a network-based analysis it became clear that other carbon sources that are more likely to be used for growth in this condition (Fig. 5b) and may be due to increased availability compared to other metabolites.</w:t>
      </w:r>
      <w:r>
        <w:rPr>
          <w:rStyle w:val="None A"/>
          <w:rFonts w:ascii="Arial" w:hAnsi="Arial"/>
          <w:sz w:val="22"/>
          <w:szCs w:val="22"/>
          <w:shd w:val="clear" w:color="auto" w:fill="ffffff"/>
          <w:rtl w:val="0"/>
          <w:lang w:val="en-US"/>
        </w:rPr>
        <w:t xml:space="preserve"> </w:t>
      </w:r>
      <w:r>
        <w:rPr>
          <w:rStyle w:val="None A"/>
          <w:rFonts w:ascii="Arial" w:hAnsi="Arial"/>
          <w:sz w:val="22"/>
          <w:szCs w:val="22"/>
          <w:rtl w:val="0"/>
          <w:lang w:val="en-US"/>
        </w:rPr>
        <w:t>This hypothesis is</w:t>
      </w:r>
      <w:r>
        <w:rPr>
          <w:rStyle w:val="None A"/>
          <w:rFonts w:ascii="Arial" w:hAnsi="Arial"/>
          <w:sz w:val="22"/>
          <w:szCs w:val="22"/>
          <w:rtl w:val="0"/>
          <w:lang w:val="en-US"/>
        </w:rPr>
        <w:t xml:space="preserve"> supported </w:t>
      </w:r>
      <w:r>
        <w:rPr>
          <w:rStyle w:val="None A"/>
          <w:rFonts w:ascii="Arial" w:hAnsi="Arial"/>
          <w:sz w:val="22"/>
          <w:szCs w:val="22"/>
          <w:rtl w:val="0"/>
          <w:lang w:val="en-US"/>
        </w:rPr>
        <w:t xml:space="preserve">by </w:t>
      </w:r>
      <w:r>
        <w:rPr>
          <w:rStyle w:val="None A"/>
          <w:rFonts w:ascii="Arial" w:hAnsi="Arial"/>
          <w:sz w:val="22"/>
          <w:szCs w:val="22"/>
          <w:rtl w:val="0"/>
          <w:lang w:val="en-US"/>
        </w:rPr>
        <w:t xml:space="preserve">previous mass spectrometry-based efforts analyzing the metabolome from mouse intestinal content treated under similar conditions to those used in the current study. These investigations reveal that several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Similar trends of increased concentration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are also true in streptomycin-treated conventional (amino sugars and fructose; Antunes, 2011) and GF mice (N-acetylneurminate; Matsumoto, 2012). Interestingly, the capacity for bacteria to catabolize the amino sugar N-acetylneurminate is highly distributed among species that inhabit the mammalian gut (Vimr, 2004). This may mean that N-acetylneuraminate is strongly competed for by the healthy microbiota and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only access it in the absence of all other competitors. Together, these results provide evidence that our network-based approach accurately predicts which metabolites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in a given environments and that these changes are most likely due to nutrient availability.</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In addition to exploring differential patterns in known metabolism, our modeling approach also allows for the identification of emergent properties for the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w:t>
      </w:r>
      <w:r>
        <w:rPr>
          <w:rStyle w:val="None A"/>
          <w:rFonts w:ascii="Arial" w:hAnsi="Arial"/>
          <w:sz w:val="22"/>
          <w:szCs w:val="22"/>
          <w:rtl w:val="0"/>
          <w:lang w:val="en-US"/>
        </w:rPr>
        <w:t xml:space="preserve"> </w:t>
      </w:r>
      <w:r>
        <w:rPr>
          <w:rStyle w:val="None A"/>
          <w:rFonts w:ascii="Arial" w:hAnsi="Arial"/>
          <w:sz w:val="22"/>
          <w:szCs w:val="22"/>
          <w:rtl w:val="0"/>
          <w:lang w:val="en-US"/>
        </w:rPr>
        <w:t xml:space="preserve">(Fig. 6a). This may be evident in </w:t>
      </w:r>
      <w:r>
        <w:rPr>
          <w:rStyle w:val="None A"/>
          <w:rFonts w:ascii="Arial" w:hAnsi="Arial"/>
          <w:sz w:val="22"/>
          <w:szCs w:val="22"/>
          <w:rtl w:val="0"/>
          <w:lang w:val="en-US"/>
        </w:rPr>
        <w:t xml:space="preserve">that numerous components of the Stickland fermentation pathway were found to be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all conditions tested. Proline is one of the primary substrates the C. difficile uses to generate ATP form amino acids, and the first steps in the pathway initialized by a proline reductase which requires selenium as a cofactor (Jackson, 2006), eventually leading through the intermediate </w:t>
      </w:r>
      <w:r>
        <w:rPr>
          <w:rStyle w:val="None A"/>
          <w:rFonts w:ascii="Arial" w:hAnsi="Arial"/>
          <w:sz w:val="22"/>
          <w:szCs w:val="22"/>
          <w:rtl w:val="0"/>
          <w:lang w:val="en-US"/>
        </w:rPr>
        <w:t>3</w:t>
      </w:r>
      <w:r>
        <w:rPr>
          <w:rStyle w:val="None A"/>
          <w:rFonts w:ascii="Arial" w:hAnsi="Arial" w:hint="default"/>
          <w:sz w:val="22"/>
          <w:szCs w:val="22"/>
          <w:rtl w:val="0"/>
          <w:lang w:val="en-US"/>
        </w:rPr>
        <w:t>−</w:t>
      </w:r>
      <w:r>
        <w:rPr>
          <w:rStyle w:val="None A"/>
          <w:rFonts w:ascii="Arial" w:hAnsi="Arial"/>
          <w:sz w:val="22"/>
          <w:szCs w:val="22"/>
          <w:rtl w:val="0"/>
          <w:lang w:val="en-US"/>
        </w:rPr>
        <w:t>h</w:t>
      </w:r>
      <w:r>
        <w:rPr>
          <w:rStyle w:val="None A"/>
          <w:rFonts w:ascii="Arial" w:hAnsi="Arial"/>
          <w:sz w:val="22"/>
          <w:szCs w:val="22"/>
          <w:rtl w:val="0"/>
          <w:lang w:val="en-US"/>
        </w:rPr>
        <w:t>ydroxybutanoyl</w:t>
      </w:r>
      <w:r>
        <w:rPr>
          <w:rStyle w:val="None A"/>
          <w:rFonts w:ascii="Arial" w:hAnsi="Arial" w:hint="default"/>
          <w:sz w:val="22"/>
          <w:szCs w:val="22"/>
          <w:rtl w:val="0"/>
          <w:lang w:val="en-US"/>
        </w:rPr>
        <w:t>−</w:t>
      </w:r>
      <w:r>
        <w:rPr>
          <w:rStyle w:val="None A"/>
          <w:rFonts w:ascii="Arial" w:hAnsi="Arial"/>
          <w:sz w:val="22"/>
          <w:szCs w:val="22"/>
          <w:rtl w:val="0"/>
          <w:lang w:val="en-US"/>
        </w:rPr>
        <w:t>CoA</w:t>
      </w:r>
      <w:r>
        <w:rPr>
          <w:rStyle w:val="None A"/>
          <w:rFonts w:ascii="Arial" w:hAnsi="Arial"/>
          <w:sz w:val="22"/>
          <w:szCs w:val="22"/>
          <w:rtl w:val="0"/>
          <w:lang w:val="en-US"/>
        </w:rPr>
        <w:t xml:space="preserve"> ultimately toward the production of butyrate (Aboulnaga, 2013). Since the diet that the mice are given is rich in both amino acids and supplemented with selenium, it is not unlikely that this pathway may be more energetically favorable in this instance than other forms of metabolism. Additionally, formate has been shown to greatly increase the efficiency of Stickland fermentation in Clostridia by decreasing intracellular H+ concentrations and allowing for increased production of short chain fatty acids (Fonknechten, 2010). </w:t>
      </w:r>
      <w:r>
        <w:rPr>
          <w:rStyle w:val="None A"/>
          <w:rFonts w:ascii="Arial" w:hAnsi="Arial"/>
          <w:sz w:val="22"/>
          <w:szCs w:val="22"/>
          <w:rtl w:val="0"/>
          <w:lang w:val="en-US"/>
        </w:rPr>
        <w:t>Another interesting result is the appearance of CO</w:t>
      </w:r>
      <w:r>
        <w:rPr>
          <w:rStyle w:val="None A"/>
          <w:rFonts w:ascii="Arial" w:hAnsi="Arial"/>
          <w:sz w:val="22"/>
          <w:szCs w:val="22"/>
          <w:vertAlign w:val="subscript"/>
          <w:rtl w:val="0"/>
          <w:lang w:val="en-US"/>
        </w:rPr>
        <w:t>2</w:t>
      </w:r>
      <w:r>
        <w:rPr>
          <w:rStyle w:val="None A"/>
          <w:rFonts w:ascii="Arial" w:hAnsi="Arial"/>
          <w:sz w:val="22"/>
          <w:szCs w:val="22"/>
          <w:rtl w:val="0"/>
          <w:lang w:val="en-US"/>
        </w:rPr>
        <w:t>, an a</w:t>
      </w:r>
      <w:r>
        <w:rPr>
          <w:rStyle w:val="None A"/>
          <w:rFonts w:ascii="Arial" w:hAnsi="Arial"/>
          <w:sz w:val="22"/>
          <w:szCs w:val="22"/>
          <w:rtl w:val="0"/>
          <w:lang w:val="en-US"/>
        </w:rPr>
        <w:t>pparent metabolic end product</w:t>
      </w:r>
      <w:r>
        <w:rPr>
          <w:rStyle w:val="None A"/>
          <w:rFonts w:ascii="Arial" w:hAnsi="Arial"/>
          <w:sz w:val="22"/>
          <w:szCs w:val="22"/>
          <w:rtl w:val="0"/>
          <w:lang w:val="en-US"/>
        </w:rPr>
        <w:t>,</w:t>
      </w:r>
      <w:r>
        <w:rPr>
          <w:rStyle w:val="None A"/>
          <w:rFonts w:ascii="Arial" w:hAnsi="Arial"/>
          <w:sz w:val="22"/>
          <w:szCs w:val="22"/>
          <w:rtl w:val="0"/>
          <w:lang w:val="en-US"/>
        </w:rPr>
        <w:t xml:space="preserve"> </w:t>
      </w:r>
      <w:r>
        <w:rPr>
          <w:rStyle w:val="None A"/>
          <w:rFonts w:ascii="Arial" w:hAnsi="Arial"/>
          <w:sz w:val="22"/>
          <w:szCs w:val="22"/>
          <w:rtl w:val="0"/>
          <w:lang w:val="en-US"/>
        </w:rPr>
        <w:t>also in the list of shared important metabolites</w:t>
      </w:r>
      <w:r>
        <w:rPr>
          <w:rStyle w:val="None A"/>
          <w:rFonts w:ascii="Arial" w:hAnsi="Arial"/>
          <w:sz w:val="22"/>
          <w:szCs w:val="22"/>
          <w:rtl w:val="0"/>
          <w:lang w:val="en-US"/>
        </w:rPr>
        <w:t>. While this may be a shortcoming inherent in database-driven research, it could instead serve as evidence for yet unappreciated aspects of a bacterium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Along these lines, one group has posited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actually be autotrophic under certain conditions which could explain the appearance of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in the conserved metabolite list between all conditions (Kopke, 2013).</w:t>
      </w:r>
      <w:r>
        <w:rPr>
          <w:rStyle w:val="None A"/>
          <w:rFonts w:ascii="Arial" w:hAnsi="Arial"/>
          <w:sz w:val="22"/>
          <w:szCs w:val="22"/>
          <w:rtl w:val="0"/>
          <w:lang w:val="en-US"/>
        </w:rPr>
        <w:t xml:space="preserve"> </w:t>
      </w:r>
      <w:r>
        <w:rPr>
          <w:rStyle w:val="None A"/>
          <w:rFonts w:ascii="Arial" w:hAnsi="Arial"/>
          <w:sz w:val="22"/>
          <w:szCs w:val="22"/>
          <w:rtl w:val="0"/>
          <w:lang w:val="en-US"/>
        </w:rPr>
        <w:t>As such, this platform may also prove informative for generating hypotheses through reverse ecology that could ultimately lead to uncovering new edges of competition between species.</w:t>
      </w:r>
    </w:p>
    <w:p>
      <w:pPr>
        <w:pStyle w:val="Default"/>
        <w:spacing w:line="480" w:lineRule="auto"/>
        <w:ind w:firstLine="709"/>
        <w:jc w:val="both"/>
      </w:pP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While</w:t>
      </w:r>
      <w:r>
        <w:rPr>
          <w:rStyle w:val="None A"/>
          <w:rFonts w:ascii="Arial" w:hAnsi="Arial"/>
          <w:sz w:val="22"/>
          <w:szCs w:val="22"/>
          <w:rtl w:val="0"/>
          <w:lang w:val="en-US"/>
        </w:rPr>
        <w:t xml:space="preserve"> much of the results presented agree with previously published findings on 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w:t>
      </w:r>
      <w:r>
        <w:rPr>
          <w:rStyle w:val="None A"/>
          <w:rFonts w:ascii="Arial" w:hAnsi="Arial"/>
          <w:sz w:val="22"/>
          <w:szCs w:val="22"/>
          <w:rtl w:val="0"/>
          <w:lang w:val="en-US"/>
        </w:rPr>
        <w:t xml:space="preserve"> the</w:t>
      </w:r>
      <w:r>
        <w:rPr>
          <w:rStyle w:val="None A"/>
          <w:rFonts w:ascii="Arial" w:hAnsi="Arial"/>
          <w:sz w:val="22"/>
          <w:szCs w:val="22"/>
          <w:rtl w:val="0"/>
          <w:lang w:val="en-US"/>
        </w:rPr>
        <w:t>re</w:t>
      </w:r>
      <w:r>
        <w:rPr>
          <w:rStyle w:val="None A"/>
          <w:rFonts w:ascii="Arial" w:hAnsi="Arial"/>
          <w:sz w:val="22"/>
          <w:szCs w:val="22"/>
          <w:rtl w:val="0"/>
          <w:lang w:val="en-US"/>
        </w:rPr>
        <w:t xml:space="preserve"> are </w:t>
      </w:r>
      <w:r>
        <w:rPr>
          <w:rStyle w:val="None A"/>
          <w:rFonts w:ascii="Arial" w:hAnsi="Arial"/>
          <w:sz w:val="22"/>
          <w:szCs w:val="22"/>
          <w:rtl w:val="0"/>
          <w:lang w:val="en-US"/>
        </w:rPr>
        <w:t xml:space="preserve">some potential </w:t>
      </w:r>
      <w:r>
        <w:rPr>
          <w:rStyle w:val="None A"/>
          <w:rFonts w:ascii="Arial" w:hAnsi="Arial"/>
          <w:sz w:val="22"/>
          <w:szCs w:val="22"/>
          <w:rtl w:val="0"/>
          <w:lang w:val="en-US"/>
        </w:rPr>
        <w:t>limitations</w:t>
      </w:r>
      <w:r>
        <w:rPr>
          <w:rStyle w:val="None A"/>
          <w:rFonts w:ascii="Arial" w:hAnsi="Arial"/>
          <w:sz w:val="22"/>
          <w:szCs w:val="22"/>
          <w:rtl w:val="0"/>
          <w:lang w:val="en-US"/>
        </w:rPr>
        <w:t xml:space="preserve"> of primarily database-driven methods. Ultimately, t</w:t>
      </w:r>
      <w:r>
        <w:rPr>
          <w:rStyle w:val="None A"/>
          <w:rFonts w:ascii="Arial" w:hAnsi="Arial"/>
          <w:sz w:val="22"/>
          <w:szCs w:val="22"/>
          <w:rtl w:val="0"/>
          <w:lang w:val="en-US"/>
        </w:rPr>
        <w:t xml:space="preserve">he metabolite importance calculation is the inherent dependency on gene and enzyme </w:t>
      </w:r>
      <w:r>
        <w:rPr>
          <w:rStyle w:val="None A"/>
          <w:rFonts w:ascii="Arial" w:hAnsi="Arial"/>
          <w:sz w:val="22"/>
          <w:szCs w:val="22"/>
          <w:rtl w:val="0"/>
          <w:lang w:val="en-US"/>
        </w:rPr>
        <w:t xml:space="preserve">KEGG </w:t>
      </w:r>
      <w:r>
        <w:rPr>
          <w:rStyle w:val="None A"/>
          <w:rFonts w:ascii="Arial" w:hAnsi="Arial"/>
          <w:sz w:val="22"/>
          <w:szCs w:val="22"/>
          <w:rtl w:val="0"/>
          <w:lang w:val="en-US"/>
        </w:rPr>
        <w:t>database annotation.</w:t>
      </w:r>
      <w:r>
        <w:rPr>
          <w:rStyle w:val="None A"/>
          <w:rFonts w:ascii="Arial" w:hAnsi="Arial"/>
          <w:sz w:val="22"/>
          <w:szCs w:val="22"/>
          <w:rtl w:val="0"/>
          <w:lang w:val="en-US"/>
        </w:rPr>
        <w:t xml:space="preserve"> Enzymes may be annotated incorrectly, possibly giving a skewed version of that organism</w:t>
      </w:r>
      <w:r>
        <w:rPr>
          <w:rStyle w:val="None A"/>
          <w:rFonts w:ascii="Arial" w:hAnsi="Arial" w:hint="default"/>
          <w:sz w:val="22"/>
          <w:szCs w:val="22"/>
          <w:rtl w:val="0"/>
          <w:lang w:val="en-US"/>
        </w:rPr>
        <w:t>’</w:t>
      </w:r>
      <w:r>
        <w:rPr>
          <w:rStyle w:val="None A"/>
          <w:rFonts w:ascii="Arial" w:hAnsi="Arial"/>
          <w:sz w:val="22"/>
          <w:szCs w:val="22"/>
          <w:rtl w:val="0"/>
          <w:lang w:val="en-US"/>
        </w:rPr>
        <w:t>s overall metabolism. Concordantly, this also implies that our approach only accounts</w:t>
      </w:r>
      <w:r>
        <w:rPr>
          <w:rStyle w:val="None A"/>
          <w:rFonts w:ascii="Arial" w:hAnsi="Arial"/>
          <w:sz w:val="22"/>
          <w:szCs w:val="22"/>
          <w:rtl w:val="0"/>
          <w:lang w:val="en-US"/>
        </w:rPr>
        <w:t xml:space="preserve"> for those </w:t>
      </w:r>
      <w:r>
        <w:rPr>
          <w:rStyle w:val="None A"/>
          <w:rFonts w:ascii="Arial" w:hAnsi="Arial"/>
          <w:sz w:val="22"/>
          <w:szCs w:val="22"/>
          <w:rtl w:val="0"/>
          <w:lang w:val="en-US"/>
        </w:rPr>
        <w:t xml:space="preserve">enzyme-mediated </w:t>
      </w:r>
      <w:r>
        <w:rPr>
          <w:rStyle w:val="None A"/>
          <w:rFonts w:ascii="Arial" w:hAnsi="Arial"/>
          <w:sz w:val="22"/>
          <w:szCs w:val="22"/>
          <w:rtl w:val="0"/>
          <w:lang w:val="en-US"/>
        </w:rPr>
        <w:t xml:space="preserve">reactions we </w:t>
      </w:r>
      <w:r>
        <w:rPr>
          <w:rStyle w:val="None A"/>
          <w:rFonts w:ascii="Arial" w:hAnsi="Arial"/>
          <w:sz w:val="22"/>
          <w:szCs w:val="22"/>
          <w:rtl w:val="0"/>
          <w:lang w:val="en-US"/>
        </w:rPr>
        <w:t xml:space="preserve">are currently aware of. For this reason, we instead rely on emergent properties from the combination established metabolic reactions contained in the chosen database. In this regard, other groups have shown the the wider pathway annotations in KEGG to be more robust to missing elements and well-suited the the type of analysis described here (Green, 2006). </w:t>
      </w:r>
      <w:r>
        <w:rPr>
          <w:rStyle w:val="None A"/>
          <w:rFonts w:ascii="Arial" w:hAnsi="Arial"/>
          <w:sz w:val="22"/>
          <w:szCs w:val="22"/>
          <w:rtl w:val="0"/>
          <w:lang w:val="en-US"/>
        </w:rPr>
        <w:t xml:space="preserve">Another potential shortcoming </w:t>
      </w:r>
      <w:r>
        <w:rPr>
          <w:rStyle w:val="None A"/>
          <w:rFonts w:ascii="Arial" w:hAnsi="Arial"/>
          <w:sz w:val="22"/>
          <w:szCs w:val="22"/>
          <w:rtl w:val="0"/>
          <w:lang w:val="en-US"/>
        </w:rPr>
        <w:t xml:space="preserve">specific to our method </w:t>
      </w:r>
      <w:r>
        <w:rPr>
          <w:rStyle w:val="None A"/>
          <w:rFonts w:ascii="Arial" w:hAnsi="Arial"/>
          <w:sz w:val="22"/>
          <w:szCs w:val="22"/>
          <w:rtl w:val="0"/>
          <w:lang w:val="en-US"/>
        </w:rPr>
        <w:t>is that the workflow presented here assumes that the annotated biochemical reactions are mono-directional. Although this is not a complete reflection of an organism</w:t>
      </w:r>
      <w:r>
        <w:rPr>
          <w:rStyle w:val="None A"/>
          <w:rFonts w:ascii="Arial" w:hAnsi="Arial" w:hint="default"/>
          <w:sz w:val="22"/>
          <w:szCs w:val="22"/>
          <w:rtl w:val="0"/>
          <w:lang w:val="en-US"/>
        </w:rPr>
        <w:t>’</w:t>
      </w:r>
      <w:r>
        <w:rPr>
          <w:rStyle w:val="None A"/>
          <w:rFonts w:ascii="Arial" w:hAnsi="Arial"/>
          <w:sz w:val="22"/>
          <w:szCs w:val="22"/>
          <w:rtl w:val="0"/>
          <w:lang w:val="en-US"/>
        </w:rPr>
        <w:t>s physiology, this approach was chosen to increase signal for input metabolites to the network. We felt this was justified because a single direction, in the vast majority of enzyme-mediated reactions, is far more energetically favorable (Uzman, 2000). Concordantly, this minimizes the likelihood of labeling reactions as producing a given metabolite when in reality are consuming it, artificially decreasing a metabolite</w:t>
      </w:r>
      <w:r>
        <w:rPr>
          <w:rStyle w:val="None A"/>
          <w:rFonts w:ascii="Arial" w:hAnsi="Arial" w:hint="default"/>
          <w:sz w:val="22"/>
          <w:szCs w:val="22"/>
          <w:rtl w:val="0"/>
          <w:lang w:val="en-US"/>
        </w:rPr>
        <w:t>’</w:t>
      </w:r>
      <w:r>
        <w:rPr>
          <w:rStyle w:val="None A"/>
          <w:rFonts w:ascii="Arial" w:hAnsi="Arial"/>
          <w:sz w:val="22"/>
          <w:szCs w:val="22"/>
          <w:rtl w:val="0"/>
          <w:lang w:val="en-US"/>
        </w:rPr>
        <w:t>s importance score.</w:t>
      </w:r>
      <w:r>
        <w:rPr>
          <w:rStyle w:val="None A"/>
          <w:rFonts w:ascii="Arial" w:hAnsi="Arial"/>
          <w:sz w:val="22"/>
          <w:szCs w:val="22"/>
          <w:rtl w:val="0"/>
          <w:lang w:val="en-US"/>
        </w:rPr>
        <w:t xml:space="preserve"> </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Aside from limitations due to annotation, our network-based approach makes a set of assumptions about the metabolism of the subject organism. First, t</w:t>
      </w:r>
      <w:r>
        <w:rPr>
          <w:rStyle w:val="None A"/>
          <w:rFonts w:ascii="Arial" w:hAnsi="Arial"/>
          <w:sz w:val="22"/>
          <w:szCs w:val="22"/>
          <w:rtl w:val="0"/>
          <w:lang w:val="en-US"/>
        </w:rPr>
        <w:t xml:space="preserve">his method also operates under the oversimplification that all detectable transcript is then translated to complete effector proteins. </w:t>
      </w:r>
      <w:r>
        <w:rPr>
          <w:rStyle w:val="None A"/>
          <w:rFonts w:ascii="Arial" w:hAnsi="Arial"/>
          <w:sz w:val="22"/>
          <w:szCs w:val="22"/>
          <w:rtl w:val="0"/>
          <w:lang w:val="en-US"/>
        </w:rPr>
        <w:t xml:space="preserve">While this is not a fully accurate representation of reality, since bacterial transcription and translation are physically coupled </w:t>
      </w:r>
      <w:r>
        <w:rPr>
          <w:rStyle w:val="None A"/>
          <w:rFonts w:ascii="Arial" w:hAnsi="Arial" w:hint="default"/>
          <w:sz w:val="22"/>
          <w:szCs w:val="22"/>
          <w:rtl w:val="0"/>
          <w:lang w:val="en-US"/>
        </w:rPr>
        <w:t>…</w:t>
      </w:r>
    </w:p>
    <w:p>
      <w:pPr>
        <w:pStyle w:val="Default"/>
        <w:spacing w:line="480" w:lineRule="auto"/>
        <w:ind w:firstLine="709"/>
        <w:jc w:val="both"/>
        <w:rPr>
          <w:rStyle w:val="None A"/>
          <w:rFonts w:ascii="Arial" w:cs="Arial" w:hAnsi="Arial" w:eastAsia="Arial"/>
          <w:sz w:val="22"/>
          <w:szCs w:val="22"/>
        </w:rPr>
      </w:pPr>
    </w:p>
    <w:p>
      <w:pPr>
        <w:pStyle w:val="Default"/>
        <w:spacing w:line="480" w:lineRule="auto"/>
        <w:ind w:firstLine="709"/>
        <w:jc w:val="both"/>
      </w:pPr>
      <w:r>
        <w:rPr>
          <w:rStyle w:val="None A"/>
          <w:rFonts w:ascii="Arial" w:hAnsi="Arial"/>
          <w:sz w:val="22"/>
          <w:szCs w:val="22"/>
          <w:rtl w:val="0"/>
          <w:lang w:val="en-US"/>
        </w:rPr>
        <w:t xml:space="preserve">Second, the metabolite importance scores do </w:t>
      </w:r>
      <w:r>
        <w:rPr>
          <w:rStyle w:val="None A"/>
          <w:rFonts w:ascii="Arial" w:hAnsi="Arial"/>
          <w:sz w:val="22"/>
          <w:szCs w:val="22"/>
          <w:rtl w:val="0"/>
          <w:lang w:val="en-US"/>
        </w:rPr>
        <w:t xml:space="preserve">not account for </w:t>
      </w:r>
      <w:r>
        <w:rPr>
          <w:rStyle w:val="None A"/>
          <w:rFonts w:ascii="Arial" w:hAnsi="Arial"/>
          <w:sz w:val="22"/>
          <w:szCs w:val="22"/>
          <w:rtl w:val="0"/>
          <w:lang w:val="en-US"/>
        </w:rPr>
        <w:t xml:space="preserve">the amount of each metabolite that is available for use nor is the stoichiometry of each reaction included which would dramatically effect the rate of consumption. </w:t>
      </w:r>
    </w:p>
    <w:p>
      <w:pPr>
        <w:pStyle w:val="Default"/>
        <w:spacing w:line="480" w:lineRule="auto"/>
        <w:ind w:firstLine="709"/>
        <w:jc w:val="both"/>
        <w:rPr>
          <w:rStyle w:val="None A"/>
          <w:rFonts w:ascii="Arial" w:cs="Arial" w:hAnsi="Arial" w:eastAsia="Arial"/>
          <w:sz w:val="22"/>
          <w:szCs w:val="22"/>
        </w:rPr>
      </w:pP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Finally, this approach </w:t>
      </w:r>
      <w:r>
        <w:rPr>
          <w:rStyle w:val="None A"/>
          <w:rFonts w:ascii="Arial" w:hAnsi="Arial"/>
          <w:sz w:val="22"/>
          <w:szCs w:val="22"/>
          <w:rtl w:val="0"/>
          <w:lang w:val="en-US"/>
        </w:rPr>
        <w:t>only accounts for transcription immediately surrounding metabolite nodes. May be beneficial to incorporate some importance from metabolites one removed from each metabolite node.</w:t>
      </w:r>
    </w:p>
    <w:p>
      <w:pPr>
        <w:pStyle w:val="Default"/>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In spite of these assumptions, </w:t>
      </w:r>
    </w:p>
    <w:p>
      <w:pPr>
        <w:pStyle w:val="Default"/>
        <w:spacing w:line="480" w:lineRule="auto"/>
        <w:ind w:firstLine="709"/>
        <w:jc w:val="both"/>
      </w:pPr>
      <w:r>
        <w:rPr>
          <w:rStyle w:val="None A"/>
          <w:rFonts w:ascii="Arial" w:hAnsi="Arial"/>
          <w:sz w:val="22"/>
          <w:szCs w:val="22"/>
          <w:rtl w:val="0"/>
          <w:lang w:val="en-US"/>
        </w:rPr>
        <w:t xml:space="preserve">Based on the evidence presented, and in spite of the limitations discussed above, our results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distinct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This could be supported by combining the metabolic modeling technique described here using metatranscriptomic analysis of susceptible versus resistant gut bacterial communities. 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distinct nutrient availabilities across vulnerable gut environments which it colonizes.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w:t>
      </w:r>
    </w:p>
    <w:p>
      <w:pPr>
        <w:pStyle w:val="Default"/>
        <w:spacing w:line="480" w:lineRule="auto"/>
        <w:jc w:val="both"/>
      </w:pPr>
    </w:p>
    <w:p>
      <w:pPr>
        <w:pStyle w:val="Default"/>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 xml:space="preserve">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 </w:t>
      </w:r>
      <w:r>
        <w:rPr>
          <w:rStyle w:val="None A"/>
          <w:rFonts w:ascii="Arial" w:hAnsi="Arial"/>
          <w:i w:val="1"/>
          <w:iCs w:val="1"/>
          <w:sz w:val="22"/>
          <w:szCs w:val="22"/>
          <w:rtl w:val="0"/>
          <w:lang w:val="en-US"/>
        </w:rPr>
        <w:t>ad libitum</w:t>
      </w:r>
      <w:r>
        <w:rPr>
          <w:rStyle w:val="None A"/>
          <w:rFonts w:ascii="Arial" w:hAnsi="Arial"/>
          <w:sz w:val="22"/>
          <w:szCs w:val="22"/>
          <w:rtl w:val="0"/>
          <w:lang w:val="en-US"/>
        </w:rPr>
        <w:t xml:space="preserve"> for 5 days with 2 days recovery with untreated distilled drinking water prior to infection. Clindamycin (10 mg/kg) was given via intraperitoneal injection 24 hours before time of infection.  </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Wilcoxon test and Holm-Bonferroni correction.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https://github.com/jlleslie/Intraspecific_Competition/blob/master/methods/Verocell_ToxinActivity_Assa</w:t>
      </w:r>
      <w:r>
        <w:rPr/>
        <w:fldChar w:fldCharType="end" w:fldLock="0"/>
      </w:r>
      <w:r>
        <w:rPr>
          <w:rStyle w:val="Hyperlink.0"/>
        </w:rPr>
        <w:fldChar w:fldCharType="begin" w:fldLock="0"/>
      </w:r>
      <w:r>
        <w:rPr>
          <w:rStyle w:val="Hyperlink.0"/>
        </w:rPr>
        <w:instrText xml:space="preserve"> HYPERLINK "https://github.com/jlleslie/Intraspecific_Competition/blob/master/methods/Verocell_ToxinActivity_Assay.Rmd"</w:instrText>
      </w:r>
      <w:r>
        <w:rPr>
          <w:rStyle w:val="Hyperlink.0"/>
        </w:rPr>
        <w:fldChar w:fldCharType="separate" w:fldLock="0"/>
      </w:r>
      <w:r>
        <w:rPr>
          <w:rStyle w:val="Hyperlink.0"/>
          <w:rtl w:val="0"/>
          <w:lang w:val="en-US"/>
        </w:rPr>
        <w:t>y.Rmd</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RNA extraction, library preparation, and sequencing.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Samples were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until the time of extraction. Immediately before RNA extraction,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RNase-free water. Following the manufacturer's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setting, to normalize for stochasticity in oligo binding to flow cell. A detailed protocol for this entire procedure containing product numbers and quality-control primer sequences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"https://github.com/SchlossLab/Jenior_Transcriptomics_2015/blob/master/doc/wetlab_protocol.txt"</w:instrText>
      </w:r>
      <w:r>
        <w:rPr>
          <w:rStyle w:val="Hyperlink.1"/>
        </w:rPr>
        <w:fldChar w:fldCharType="separate" w:fldLock="0"/>
      </w:r>
      <w:r>
        <w:rPr>
          <w:rStyle w:val="Hyperlink.1"/>
          <w:rtl w:val="0"/>
          <w:lang w:val="en-US"/>
        </w:rPr>
        <w:t>https://github.com/SchlossLab/Jenior_Transcriptomics_2015/blob/master/doc/wetlab_protocol.txt</w:t>
      </w:r>
      <w:r>
        <w:rPr/>
        <w:fldChar w:fldCharType="end" w:fldLock="0"/>
      </w:r>
    </w:p>
    <w:p>
      <w:pPr>
        <w:pStyle w:val="Default"/>
        <w:spacing w:line="480" w:lineRule="auto"/>
        <w:jc w:val="both"/>
        <w:rPr>
          <w:rStyle w:val="None A"/>
          <w:rFonts w:ascii="Arial" w:cs="Arial" w:hAnsi="Arial" w:eastAsia="Arial"/>
          <w:sz w:val="22"/>
          <w:szCs w:val="22"/>
          <w:shd w:val="clear" w:color="auto" w:fill="ffff00"/>
        </w:rPr>
      </w:pPr>
    </w:p>
    <w:p>
      <w:pPr>
        <w:pStyle w:val="Default"/>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1"/>
        </w:rPr>
        <w:fldChar w:fldCharType="begin" w:fldLock="0"/>
      </w:r>
      <w:r>
        <w:rPr>
          <w:rStyle w:val="Hyperlink.1"/>
        </w:rPr>
        <w:instrText xml:space="preserve"> HYPERLINK "http://broadinstitute.github.io/picard/"</w:instrText>
      </w:r>
      <w:r>
        <w:rPr>
          <w:rStyle w:val="Hyperlink.1"/>
        </w:rPr>
        <w:fldChar w:fldCharType="separate" w:fldLock="0"/>
      </w:r>
      <w:r>
        <w:rPr>
          <w:rStyle w:val="Hyperlink.1"/>
          <w:rtl w:val="0"/>
          <w:lang w:val="en-US"/>
        </w:rPr>
        <w:t>http://broadinstitute.github.io/picard/</w:t>
      </w:r>
      <w:r>
        <w:rPr/>
        <w:fldChar w:fldCharType="end" w:fldLock="0"/>
      </w:r>
      <w:r>
        <w:rPr>
          <w:rStyle w:val="None A"/>
          <w:rFonts w:ascii="Arial" w:hAnsi="Arial"/>
          <w:sz w:val="22"/>
          <w:szCs w:val="22"/>
          <w:rtl w:val="0"/>
          <w:lang w:val="en-US"/>
        </w:rPr>
        <w:t xml:space="preserve">), leaving ~150,000 reads per sample for final analysis. The remaining mappings were converted to idxstats format using Samtools (Li, 2009) 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the smallest sequencing effort within each analysis, and a median expression value for each gene was calculated.  A detailed protocol for read curation can be found in the Github repository associated with this project:  </w:t>
      </w:r>
      <w:r>
        <w:rPr>
          <w:rStyle w:val="Hyperlink.1"/>
        </w:rPr>
        <w:fldChar w:fldCharType="begin" w:fldLock="0"/>
      </w:r>
      <w:r>
        <w:rPr>
          <w:rStyle w:val="Hyperlink.1"/>
        </w:rPr>
        <w:instrText xml:space="preserve"> HYPERLINK "https://github.com/SchlossLab/Jenior_Transcriptomics_2015/blob/master/doc/drylab_protocol.txt"</w:instrText>
      </w:r>
      <w:r>
        <w:rPr>
          <w:rStyle w:val="Hyperlink.1"/>
        </w:rPr>
        <w:fldChar w:fldCharType="separate" w:fldLock="0"/>
      </w:r>
      <w:r>
        <w:rPr>
          <w:rStyle w:val="Hyperlink.1"/>
          <w:rtl w:val="0"/>
          <w:lang w:val="en-US"/>
        </w:rPr>
        <w:t>https://github.com/SchlossLab/Jenior_Transcriptomics_2015/blob/master/doc/drylab_protocol.txt</w:t>
      </w:r>
      <w:r>
        <w:rPr/>
        <w:fldChar w:fldCharType="end" w:fldLock="0"/>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Reaction Annotation &amp; Bipartite Network Construction.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metabolites as nodes. Briefly, models were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Those reactions that do not have annotations for the chemical compounds the interact with are discarded. Metabolites were then associated each enzyme in which they interact with and directionality of each biochemical conversion is also saved. All reactions were assumed to be monodirectional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directed edges. Transcriptomic mapping data is then re-associated with the respective enzyme nodes prior to substrate importance calculations. Betweenness-centrality and overall closeness centralization indices were calculated using the igraph R package found at </w:t>
      </w:r>
      <w:r>
        <w:rPr>
          <w:rStyle w:val="Hyperlink.2"/>
        </w:rPr>
        <w:fldChar w:fldCharType="begin" w:fldLock="0"/>
      </w:r>
      <w:r>
        <w:rPr>
          <w:rStyle w:val="Hyperlink.2"/>
        </w:rPr>
        <w:instrText xml:space="preserve"> HYPERLINK "http://igraph.org/r/"</w:instrText>
      </w:r>
      <w:r>
        <w:rPr>
          <w:rStyle w:val="Hyperlink.2"/>
        </w:rPr>
        <w:fldChar w:fldCharType="separate" w:fldLock="0"/>
      </w:r>
      <w:r>
        <w:rPr>
          <w:rStyle w:val="Hyperlink.2"/>
          <w:rtl w:val="0"/>
          <w:lang w:val="en-US"/>
        </w:rPr>
        <w:t>http://igraph.org/r/</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Metabolite Importance Calculation.</w:t>
      </w:r>
      <w:r>
        <w:rPr>
          <w:rStyle w:val="Hyperlink.2"/>
          <w:rtl w:val="0"/>
          <w:lang w:val="en-US"/>
        </w:rPr>
        <w:t xml:space="preserve"> The substrate importance algorithm favors metabolites that are more likely acquired from the environment (not produced within the network), and will award them a higher score (Fig. 5b).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 A"/>
          <w:rFonts w:ascii="Arial" w:hAnsi="Arial"/>
          <w:b w:val="1"/>
          <w:bCs w:val="1"/>
          <w:sz w:val="22"/>
          <w:szCs w:val="22"/>
          <w:rtl w:val="0"/>
          <w:lang w:val="en-US"/>
        </w:rPr>
        <w:t>m</w:t>
      </w:r>
      <w:r>
        <w:rPr>
          <w:rStyle w:val="Hyperlink.2"/>
          <w:rtl w:val="0"/>
          <w:lang w:val="en-US"/>
        </w:rPr>
        <w:t xml:space="preserve">), we used rarefied transcript abundances mapped to respective enzyme nodes.  This is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Hyperlink.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Hyperlink.2"/>
          <w:rtl w:val="0"/>
          <w:lang w:val="en-US"/>
        </w:rPr>
        <w:t xml:space="preserve"> to designate if an enzyme creates or utilizes </w:t>
      </w:r>
      <w:r>
        <w:rPr>
          <w:rStyle w:val="None A"/>
          <w:rFonts w:ascii="Arial" w:hAnsi="Arial"/>
          <w:b w:val="1"/>
          <w:bCs w:val="1"/>
          <w:sz w:val="22"/>
          <w:szCs w:val="22"/>
          <w:rtl w:val="0"/>
          <w:lang w:val="en-US"/>
        </w:rPr>
        <w:t>m</w:t>
      </w:r>
      <w:r>
        <w:rPr>
          <w:rStyle w:val="Hyperlink.2"/>
          <w:rtl w:val="0"/>
          <w:lang w:val="en-US"/>
        </w:rPr>
        <w:t xml:space="preserve">. The first step is to calculate the average expression of enzymes for reactions that either create a given metabolite (i) and consume that metabolite (ii). For each direction, the sum of transcripts for enzymes connecting to a metabolite are divided by the number of contributing edges </w:t>
      </w:r>
      <w:bookmarkStart w:name="MathJaxElement43Frame" w:id="2"/>
      <w:r>
        <w:rPr>
          <w:rStyle w:val="Hyperlink.2"/>
          <w:rtl w:val="0"/>
          <w:lang w:val="en-US"/>
        </w:rPr>
        <w:t>(</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Hyperlink.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Hyperlink.2"/>
          <w:rtl w:val="0"/>
          <w:lang w:val="en-US"/>
        </w:rPr>
        <w:t>)</w:t>
      </w:r>
      <w:bookmarkEnd w:id="2"/>
      <w:r>
        <w:rPr>
          <w:rStyle w:val="Hyperlink.2"/>
          <w:rtl w:val="0"/>
          <w:lang w:val="en-US"/>
        </w:rPr>
        <w:t xml:space="preserve"> to normalize for highly connected metabolite nodes:</w:t>
      </w:r>
    </w:p>
    <w:p>
      <w:pPr>
        <w:pStyle w:val="Default"/>
        <w:spacing w:line="480" w:lineRule="auto"/>
        <w:jc w:val="center"/>
      </w:pPr>
      <w:r>
        <w:rPr>
          <w:rStyle w:val="Hyperlink.2"/>
          <w:rtl w:val="0"/>
          <w:lang w:val="en-US"/>
        </w:rPr>
        <w:t xml:space="preserve">(i)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i</w:t>
      </w:r>
      <w:r>
        <w:rPr>
          <w:rStyle w:val="Hyperlink.2"/>
          <w:rtl w:val="0"/>
          <w:lang w:val="en-US"/>
        </w:rPr>
        <w:t xml:space="preserve"> </w:t>
      </w:r>
      <w:r>
        <w:rPr>
          <w:rStyle w:val="None A"/>
          <w:rFonts w:ascii="Arial" w:hAnsi="Arial" w:hint="default"/>
          <w:color w:val="222222"/>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o</w:t>
      </w:r>
      <w:r>
        <w:rPr>
          <w:rStyle w:val="Hyperlink.2"/>
          <w:rtl w:val="0"/>
          <w:lang w:val="en-US"/>
        </w:rPr>
        <w:t>)</w:t>
        <w:tab/>
        <w:tab/>
        <w:tab/>
        <w:t xml:space="preserve">(ii)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o</w:t>
      </w:r>
      <w:r>
        <w:rPr>
          <w:rStyle w:val="Hyperlink.2"/>
          <w:rtl w:val="0"/>
          <w:lang w:val="en-US"/>
        </w:rPr>
        <w:t xml:space="preserve"> = </w:t>
      </w:r>
      <w:r>
        <w:rPr>
          <w:rStyle w:val="None A"/>
          <w:sz w:val="28"/>
          <w:szCs w:val="28"/>
          <w:rtl w:val="0"/>
          <w:lang w:val="en-US"/>
        </w:rPr>
        <w:t>Σ</w:t>
      </w:r>
      <w:r>
        <w:rPr>
          <w:rStyle w:val="Hyperlink.2"/>
          <w:rtl w:val="0"/>
          <w:lang w:val="en-US"/>
        </w:rPr>
        <w:t>t</w:t>
      </w:r>
      <w:r>
        <w:rPr>
          <w:rStyle w:val="None A"/>
          <w:rFonts w:ascii="Arial" w:hAnsi="Arial"/>
          <w:sz w:val="22"/>
          <w:szCs w:val="22"/>
          <w:vertAlign w:val="subscript"/>
          <w:rtl w:val="0"/>
          <w:lang w:val="en-US"/>
        </w:rPr>
        <w:t>o</w:t>
      </w:r>
      <w:r>
        <w:rPr>
          <w:rStyle w:val="Hyperlink.2"/>
          <w:rtl w:val="0"/>
          <w:lang w:val="en-US"/>
        </w:rPr>
        <w:t xml:space="preserve"> </w:t>
      </w:r>
      <w:r>
        <w:rPr>
          <w:rStyle w:val="None A"/>
          <w:rFonts w:ascii="Arial" w:hAnsi="Arial" w:hint="default"/>
          <w:color w:val="222222"/>
          <w:sz w:val="22"/>
          <w:szCs w:val="22"/>
          <w:u w:val="none" w:color="222222"/>
          <w:rtl w:val="0"/>
          <w:lang w:val="en-US"/>
        </w:rPr>
        <w:t>÷</w:t>
      </w:r>
      <w:r>
        <w:rPr>
          <w:rStyle w:val="Hyperlink.2"/>
          <w:rtl w:val="0"/>
          <w:lang w:val="en-US"/>
        </w:rPr>
        <w:t xml:space="preserve"> </w:t>
      </w:r>
      <w:r>
        <w:rPr>
          <w:rStyle w:val="None A"/>
          <w:rFonts w:ascii="LM Roman Unslanted 10" w:cs="LM Roman Unslanted 10" w:hAnsi="LM Roman Unslanted 10" w:eastAsia="LM Roman Unslanted 10"/>
          <w:i w:val="1"/>
          <w:iCs w:val="1"/>
          <w:sz w:val="22"/>
          <w:szCs w:val="22"/>
          <w:rtl w:val="0"/>
          <w:lang w:val="en-US"/>
        </w:rPr>
        <w:t>n</w:t>
      </w:r>
      <w:r>
        <w:rPr>
          <w:rStyle w:val="Hyperlink.2"/>
          <w:rtl w:val="0"/>
          <w:lang w:val="en-US"/>
        </w:rPr>
        <w:t>(e</w:t>
      </w:r>
      <w:r>
        <w:rPr>
          <w:rStyle w:val="None A"/>
          <w:rFonts w:ascii="Arial" w:hAnsi="Arial"/>
          <w:sz w:val="22"/>
          <w:szCs w:val="22"/>
          <w:vertAlign w:val="subscript"/>
          <w:rtl w:val="0"/>
          <w:lang w:val="en-US"/>
        </w:rPr>
        <w:t>i</w:t>
      </w:r>
      <w:r>
        <w:rPr>
          <w:rStyle w:val="Hyperlink.2"/>
          <w:rtl w:val="0"/>
          <w:lang w:val="en-US"/>
        </w:rPr>
        <w:t>)</w:t>
      </w:r>
    </w:p>
    <w:p>
      <w:pPr>
        <w:pStyle w:val="Default"/>
        <w:spacing w:line="480" w:lineRule="auto"/>
      </w:pPr>
      <w:r>
        <w:rPr>
          <w:rStyle w:val="Hyperlink.2"/>
          <w:rtl w:val="0"/>
          <w:lang w:val="en-US"/>
        </w:rPr>
        <w:t>Next the raw metabolite importance score is calculated by subtracting the creation value from the consumption value to weight for metabolites that are likely acquired exogenously:</w:t>
      </w:r>
    </w:p>
    <w:p>
      <w:pPr>
        <w:pStyle w:val="Default"/>
        <w:spacing w:line="480" w:lineRule="auto"/>
        <w:jc w:val="center"/>
      </w:pPr>
      <w:r>
        <w:rPr>
          <w:rStyle w:val="Hyperlink.2"/>
          <w:rtl w:val="0"/>
          <w:lang w:val="en-US"/>
        </w:rPr>
        <w:t xml:space="preserve">(iii)  </w:t>
      </w:r>
      <w:r>
        <w:rPr>
          <w:rStyle w:val="None A"/>
          <w:rFonts w:ascii="PT Serif Caption" w:hAnsi="PT Serif Caption"/>
          <w:sz w:val="22"/>
          <w:szCs w:val="22"/>
          <w:rtl w:val="0"/>
          <w:lang w:val="en-US"/>
        </w:rPr>
        <w:t>I</w:t>
      </w:r>
      <w:r>
        <w:rPr>
          <w:rStyle w:val="None A"/>
          <w:rFonts w:ascii="Arial" w:hAnsi="Arial"/>
          <w:sz w:val="22"/>
          <w:szCs w:val="22"/>
          <w:vertAlign w:val="subscript"/>
          <w:rtl w:val="0"/>
          <w:lang w:val="en-US"/>
        </w:rPr>
        <w:t>m</w:t>
      </w:r>
      <w:r>
        <w:rPr>
          <w:rStyle w:val="Hyperlink.2"/>
          <w:rtl w:val="0"/>
          <w:lang w:val="en-US"/>
        </w:rPr>
        <w:t xml:space="preserve"> = Log</w:t>
      </w:r>
      <w:r>
        <w:rPr>
          <w:rStyle w:val="None A"/>
          <w:rFonts w:ascii="Arial" w:hAnsi="Arial"/>
          <w:sz w:val="22"/>
          <w:szCs w:val="22"/>
          <w:vertAlign w:val="subscript"/>
          <w:rtl w:val="0"/>
          <w:lang w:val="en-US"/>
        </w:rPr>
        <w:t>2</w:t>
      </w:r>
      <w:bookmarkStart w:name="MathJaxElement43Frame1" w:id="3"/>
      <w:r>
        <w:rPr>
          <w:rStyle w:val="Hyperlink.2"/>
          <w:rtl w:val="0"/>
          <w:lang w:val="en-US"/>
        </w:rPr>
        <w:t>(</w:t>
      </w:r>
      <w:bookmarkEnd w:id="3"/>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i</w:t>
      </w:r>
      <w:r>
        <w:rPr>
          <w:rStyle w:val="Hyperlink.2"/>
          <w:rtl w:val="0"/>
          <w:lang w:val="en-US"/>
        </w:rPr>
        <w:t xml:space="preserve"> – </w:t>
      </w:r>
      <w:r>
        <w:rPr>
          <w:rStyle w:val="None A"/>
          <w:rFonts w:ascii="LM Roman Unslanted 10" w:cs="LM Roman Unslanted 10" w:hAnsi="LM Roman Unslanted 10" w:eastAsia="LM Roman Unslanted 10"/>
          <w:i w:val="1"/>
          <w:iCs w:val="1"/>
          <w:sz w:val="22"/>
          <w:szCs w:val="22"/>
          <w:rtl w:val="0"/>
          <w:lang w:val="en-US"/>
        </w:rPr>
        <w:t>µ</w:t>
      </w:r>
      <w:r>
        <w:rPr>
          <w:rStyle w:val="None A"/>
          <w:rFonts w:ascii="Arial" w:hAnsi="Arial"/>
          <w:sz w:val="22"/>
          <w:szCs w:val="22"/>
          <w:vertAlign w:val="subscript"/>
          <w:rtl w:val="0"/>
          <w:lang w:val="en-US"/>
        </w:rPr>
        <w:t>o</w:t>
      </w:r>
      <w:bookmarkStart w:name="MathJaxElement43Frame2" w:id="4"/>
      <w:r>
        <w:rPr>
          <w:rStyle w:val="Hyperlink.2"/>
          <w:rtl w:val="0"/>
          <w:lang w:val="en-US"/>
        </w:rPr>
        <w:t>)</w:t>
      </w:r>
    </w:p>
    <w:p>
      <w:pPr>
        <w:pStyle w:val="Default"/>
        <w:spacing w:line="480" w:lineRule="auto"/>
      </w:pPr>
      <w:r>
        <w:rPr>
          <w:rStyle w:val="Hyperlink.2"/>
          <w:rtl w:val="0"/>
          <w:lang w:val="en-US"/>
        </w:rPr>
        <w:t>The difference is Log</w:t>
      </w:r>
      <w:r>
        <w:rPr>
          <w:rStyle w:val="None A"/>
          <w:rFonts w:ascii="Arial" w:hAnsi="Arial"/>
          <w:sz w:val="22"/>
          <w:szCs w:val="22"/>
          <w:vertAlign w:val="subscript"/>
          <w:rtl w:val="0"/>
          <w:lang w:val="en-US"/>
        </w:rPr>
        <w:t>2</w:t>
      </w:r>
      <w:r>
        <w:rPr>
          <w:rStyle w:val="Hyperlink.2"/>
          <w:rtl w:val="0"/>
          <w:lang w:val="en-US"/>
        </w:rPr>
        <w:t xml:space="preserve"> transformed for comparability between scores of individual metabolites. This results in a final value that reflects the likelihood a metabolite is acquired from the environment. Untransformed scores that already equal to 0 are ignored and negative values are accounted for by transformation of the absolute value then multiplication by -1. These methods have been written into a single python workflow, along with supporting reference files, and is presented as BIGsmall (</w:t>
      </w:r>
      <w:r>
        <w:rPr>
          <w:rStyle w:val="None A"/>
          <w:rFonts w:ascii="Arial" w:hAnsi="Arial"/>
          <w:b w:val="1"/>
          <w:bCs w:val="1"/>
          <w:sz w:val="22"/>
          <w:szCs w:val="22"/>
          <w:rtl w:val="0"/>
          <w:lang w:val="en-US"/>
        </w:rPr>
        <w:t>B</w:t>
      </w:r>
      <w:r>
        <w:rPr>
          <w:rStyle w:val="Hyperlink.2"/>
          <w:rtl w:val="0"/>
          <w:lang w:val="en-US"/>
        </w:rPr>
        <w:t>acter</w:t>
      </w:r>
      <w:r>
        <w:rPr>
          <w:rStyle w:val="None A"/>
          <w:rFonts w:ascii="Arial" w:hAnsi="Arial"/>
          <w:b w:val="1"/>
          <w:bCs w:val="1"/>
          <w:sz w:val="22"/>
          <w:szCs w:val="22"/>
          <w:rtl w:val="0"/>
          <w:lang w:val="en-US"/>
        </w:rPr>
        <w:t>I</w:t>
      </w:r>
      <w:r>
        <w:rPr>
          <w:rStyle w:val="Hyperlink.2"/>
          <w:rtl w:val="0"/>
          <w:lang w:val="en-US"/>
        </w:rPr>
        <w:t xml:space="preserve">al </w:t>
      </w:r>
      <w:r>
        <w:rPr>
          <w:rStyle w:val="None A"/>
          <w:rFonts w:ascii="Arial" w:hAnsi="Arial"/>
          <w:b w:val="1"/>
          <w:bCs w:val="1"/>
          <w:sz w:val="22"/>
          <w:szCs w:val="22"/>
          <w:rtl w:val="0"/>
          <w:lang w:val="en-US"/>
        </w:rPr>
        <w:t>G</w:t>
      </w:r>
      <w:r>
        <w:rPr>
          <w:rStyle w:val="Hyperlink.2"/>
          <w:rtl w:val="0"/>
          <w:lang w:val="en-US"/>
        </w:rPr>
        <w:t>enome-</w:t>
      </w:r>
      <w:r>
        <w:rPr>
          <w:rStyle w:val="None A"/>
          <w:rFonts w:ascii="Arial" w:hAnsi="Arial"/>
          <w:b w:val="1"/>
          <w:bCs w:val="1"/>
          <w:sz w:val="22"/>
          <w:szCs w:val="22"/>
          <w:rtl w:val="0"/>
          <w:lang w:val="en-US"/>
        </w:rPr>
        <w:t>S</w:t>
      </w:r>
      <w:r>
        <w:rPr>
          <w:rStyle w:val="Hyperlink.2"/>
          <w:rtl w:val="0"/>
          <w:lang w:val="en-US"/>
        </w:rPr>
        <w:t xml:space="preserve">cale </w:t>
      </w:r>
      <w:r>
        <w:rPr>
          <w:rStyle w:val="None A"/>
          <w:rFonts w:ascii="Arial" w:hAnsi="Arial"/>
          <w:b w:val="1"/>
          <w:bCs w:val="1"/>
          <w:sz w:val="22"/>
          <w:szCs w:val="22"/>
          <w:rtl w:val="0"/>
          <w:lang w:val="en-US"/>
        </w:rPr>
        <w:t>M</w:t>
      </w:r>
      <w:r>
        <w:rPr>
          <w:rStyle w:val="Hyperlink.2"/>
          <w:rtl w:val="0"/>
          <w:lang w:val="en-US"/>
        </w:rPr>
        <w:t xml:space="preserve">etabolic models for </w:t>
      </w:r>
      <w:r>
        <w:rPr>
          <w:rStyle w:val="None A"/>
          <w:rFonts w:ascii="Arial" w:hAnsi="Arial"/>
          <w:b w:val="1"/>
          <w:bCs w:val="1"/>
          <w:sz w:val="22"/>
          <w:szCs w:val="22"/>
          <w:rtl w:val="0"/>
          <w:lang w:val="en-US"/>
        </w:rPr>
        <w:t>A</w:t>
      </w:r>
      <w:r>
        <w:rPr>
          <w:rStyle w:val="Hyperlink.2"/>
          <w:rtl w:val="0"/>
          <w:lang w:val="en-US"/>
        </w:rPr>
        <w:t>pp</w:t>
      </w:r>
      <w:r>
        <w:rPr>
          <w:rStyle w:val="None A"/>
          <w:rFonts w:ascii="Arial" w:hAnsi="Arial"/>
          <w:b w:val="1"/>
          <w:bCs w:val="1"/>
          <w:sz w:val="22"/>
          <w:szCs w:val="22"/>
          <w:rtl w:val="0"/>
          <w:lang w:val="en-US"/>
        </w:rPr>
        <w:t>L</w:t>
      </w:r>
      <w:r>
        <w:rPr>
          <w:rStyle w:val="Hyperlink.2"/>
          <w:rtl w:val="0"/>
          <w:lang w:val="en-US"/>
        </w:rPr>
        <w:t>ied reverse eco</w:t>
      </w:r>
      <w:r>
        <w:rPr>
          <w:rStyle w:val="None A"/>
          <w:rFonts w:ascii="Arial" w:hAnsi="Arial"/>
          <w:b w:val="1"/>
          <w:bCs w:val="1"/>
          <w:sz w:val="22"/>
          <w:szCs w:val="22"/>
          <w:rtl w:val="0"/>
          <w:lang w:val="en-US"/>
        </w:rPr>
        <w:t>L</w:t>
      </w:r>
      <w:r>
        <w:rPr>
          <w:rStyle w:val="Hyperlink.2"/>
          <w:rtl w:val="0"/>
          <w:lang w:val="en-US"/>
        </w:rPr>
        <w:t xml:space="preserve">ogy) available in a public Github repository at </w:t>
      </w:r>
      <w:r>
        <w:rPr>
          <w:rStyle w:val="Hyperlink.1"/>
        </w:rPr>
        <w:fldChar w:fldCharType="begin" w:fldLock="0"/>
      </w:r>
      <w:r>
        <w:rPr>
          <w:rStyle w:val="Hyperlink.1"/>
        </w:rPr>
        <w:instrText xml:space="preserve"> HYPERLINK "https://github.com/mjenior/bigsmall"</w:instrText>
      </w:r>
      <w:r>
        <w:rPr>
          <w:rStyle w:val="Hyperlink.1"/>
        </w:rPr>
        <w:fldChar w:fldCharType="separate" w:fldLock="0"/>
      </w:r>
      <w:r>
        <w:rPr>
          <w:rStyle w:val="Hyperlink.1"/>
          <w:rtl w:val="0"/>
          <w:lang w:val="en-US"/>
        </w:rPr>
        <w:t>https://github.com/mjenior/bigsmall</w:t>
      </w:r>
      <w:r>
        <w:rPr/>
        <w:fldChar w:fldCharType="end" w:fldLock="0"/>
      </w:r>
      <w:r>
        <w:rPr>
          <w:rStyle w:val="Hyperlink.2"/>
          <w:rtl w:val="0"/>
          <w:lang w:val="en-US"/>
        </w:rPr>
        <w:t>.</w:t>
      </w:r>
    </w:p>
    <w:p>
      <w:pPr>
        <w:pStyle w:val="Default"/>
        <w:spacing w:line="480" w:lineRule="auto"/>
        <w:jc w:val="both"/>
        <w:rPr>
          <w:rFonts w:ascii="Arial" w:cs="Arial" w:hAnsi="Arial" w:eastAsia="Arial"/>
          <w:sz w:val="22"/>
          <w:szCs w:val="22"/>
        </w:rPr>
      </w:pPr>
    </w:p>
    <w:p>
      <w:pPr>
        <w:pStyle w:val="Default"/>
        <w:spacing w:line="480" w:lineRule="auto"/>
        <w:jc w:val="both"/>
        <w:rPr>
          <w:rStyle w:val="Hyperlink.2"/>
        </w:rPr>
      </w:pPr>
      <w:bookmarkStart w:name="MathJaxElement43Frame3" w:id="5"/>
      <w:r>
        <w:rPr>
          <w:rStyle w:val="None A"/>
          <w:rFonts w:ascii="Arial" w:hAnsi="Arial"/>
          <w:b w:val="1"/>
          <w:bCs w:val="1"/>
          <w:sz w:val="22"/>
          <w:szCs w:val="22"/>
          <w:rtl w:val="0"/>
          <w:lang w:val="en-US"/>
        </w:rPr>
        <w:t>Transcriptome Bootstrapping and Probability Distribution Comparison.</w:t>
      </w:r>
      <w:bookmarkEnd w:id="5"/>
      <w:bookmarkEnd w:id="4"/>
      <w:r>
        <w:rPr>
          <w:rStyle w:val="None A"/>
          <w:rFonts w:ascii="Arial" w:hAnsi="Arial"/>
          <w:b w:val="1"/>
          <w:bCs w:val="1"/>
          <w:sz w:val="22"/>
          <w:szCs w:val="22"/>
          <w:rtl w:val="0"/>
          <w:lang w:val="en-US"/>
        </w:rPr>
        <w:t xml:space="preserve"> </w:t>
      </w:r>
      <w:r>
        <w:rPr>
          <w:rStyle w:val="Hyperlink.2"/>
          <w:rtl w:val="0"/>
          <w:lang w:val="en-US"/>
        </w:rPr>
        <w:t xml:space="preserve">As sequencing replicates of </w:t>
      </w:r>
      <w:r>
        <w:rPr>
          <w:rStyle w:val="None A"/>
          <w:rFonts w:ascii="Arial" w:hAnsi="Arial"/>
          <w:i w:val="1"/>
          <w:iCs w:val="1"/>
          <w:sz w:val="22"/>
          <w:szCs w:val="22"/>
          <w:rtl w:val="0"/>
          <w:lang w:val="en-US"/>
        </w:rPr>
        <w:t>in vivo</w:t>
      </w:r>
      <w:r>
        <w:rPr>
          <w:rStyle w:val="Hyperlink.2"/>
          <w:rtl w:val="0"/>
          <w:lang w:val="en-US"/>
        </w:rPr>
        <w:t xml:space="preserve"> transcriptomes was not feasible, we applied a Monte-Carlo style simulation to distinguish calculated metabolite importances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w:t>
      </w:r>
      <w:r>
        <w:rPr>
          <w:rStyle w:val="None A"/>
          <w:rFonts w:ascii="Arial" w:hAnsi="Arial"/>
          <w:i w:val="1"/>
          <w:iCs w:val="1"/>
          <w:sz w:val="22"/>
          <w:szCs w:val="22"/>
          <w:rtl w:val="0"/>
          <w:lang w:val="en-US"/>
        </w:rPr>
        <w:t>p</w:t>
      </w:r>
      <w:r>
        <w:rPr>
          <w:rStyle w:val="Hyperlink.2"/>
          <w:rtl w:val="0"/>
          <w:lang w:val="en-US"/>
        </w:rPr>
        <w:t>-value for each metabolite. This is a superior approach to topology randomization since the connections of the network itself was created through natural selection and any large-scale alterations would yield biologically uninformative comparisons. These calculations are also included within the standard bigSMALL workflow presented above.</w:t>
      </w:r>
    </w:p>
    <w:p>
      <w:pPr>
        <w:pStyle w:val="Default"/>
        <w:spacing w:line="480" w:lineRule="auto"/>
        <w:jc w:val="both"/>
        <w:rPr>
          <w:rStyle w:val="Hyperlink.2"/>
        </w:rPr>
      </w:pPr>
      <w:bookmarkStart w:name="MathJaxElement43Frame5" w:id="6"/>
    </w:p>
    <w:p>
      <w:pPr>
        <w:pStyle w:val="Default"/>
        <w:spacing w:line="480" w:lineRule="auto"/>
        <w:jc w:val="both"/>
        <w:rPr>
          <w:rStyle w:val="Hyperlink.2"/>
        </w:rPr>
      </w:pPr>
      <w:r>
        <w:rPr>
          <w:rStyle w:val="None A"/>
          <w:rFonts w:ascii="Arial" w:hAnsi="Arial"/>
          <w:b w:val="1"/>
          <w:bCs w:val="1"/>
          <w:sz w:val="22"/>
          <w:szCs w:val="22"/>
          <w:rtl w:val="0"/>
          <w:lang w:val="en-US"/>
        </w:rPr>
        <w:t xml:space="preserve">Measuring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concentrations of acetate with high performance liquid chromatography (HPLC).</w:t>
      </w:r>
      <w:r>
        <w:rPr>
          <w:rStyle w:val="Hyperlink.2"/>
          <w:rtl w:val="0"/>
          <w:lang w:val="en-US"/>
        </w:rPr>
        <w:t xml:space="preserve"> </w:t>
      </w:r>
      <w:r>
        <w:rPr>
          <w:rStyle w:val="Hyperlink.2"/>
          <w:rtl w:val="0"/>
          <w:lang w:val="en-US"/>
        </w:rPr>
        <w:t>Frozen c</w:t>
      </w:r>
      <w:r>
        <w:rPr>
          <w:rStyle w:val="Hyperlink.2"/>
          <w:rtl w:val="0"/>
          <w:lang w:val="en-US"/>
        </w:rPr>
        <w:t xml:space="preserve">ecal samples were prepped </w:t>
      </w:r>
      <w:r>
        <w:rPr>
          <w:rStyle w:val="Hyperlink.2"/>
          <w:rtl w:val="0"/>
          <w:lang w:val="en-US"/>
        </w:rPr>
        <w:t xml:space="preserve">… </w:t>
      </w:r>
      <w:r>
        <w:rPr>
          <w:rStyle w:val="Hyperlink.2"/>
          <w:rtl w:val="0"/>
          <w:lang w:val="en-US"/>
        </w:rPr>
        <w:t>Values were normalized to</w:t>
      </w:r>
      <w:r>
        <w:rPr>
          <w:rStyle w:val="Hyperlink.2"/>
          <w:rtl w:val="0"/>
          <w:lang w:val="en-US"/>
        </w:rPr>
        <w:t xml:space="preserve">… </w:t>
      </w:r>
      <w:r>
        <w:rPr>
          <w:rStyle w:val="Hyperlink.2"/>
          <w:rtl w:val="0"/>
          <w:lang w:val="en-US"/>
        </w:rPr>
        <w:t>All assays were performed at the University of Michigan Metabolomics Core in Ann Arbor, MI.</w:t>
      </w:r>
    </w:p>
    <w:p>
      <w:pPr>
        <w:pStyle w:val="Default"/>
        <w:spacing w:line="480" w:lineRule="auto"/>
        <w:jc w:val="both"/>
        <w:rPr>
          <w:rStyle w:val="Hyperlink.2"/>
        </w:rPr>
      </w:pPr>
    </w:p>
    <w:p>
      <w:pPr>
        <w:pStyle w:val="Default"/>
        <w:spacing w:line="480" w:lineRule="auto"/>
        <w:jc w:val="both"/>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Hyperlink.2"/>
          <w:rtl w:val="0"/>
          <w:lang w:val="en-US"/>
        </w:rPr>
        <w:t xml:space="preserve">The carbon-free variation of </w:t>
      </w:r>
      <w:r>
        <w:rPr>
          <w:rStyle w:val="None A"/>
          <w:rFonts w:ascii="Arial" w:hAnsi="Arial"/>
          <w:i w:val="1"/>
          <w:iCs w:val="1"/>
          <w:sz w:val="22"/>
          <w:szCs w:val="22"/>
          <w:rtl w:val="0"/>
          <w:lang w:val="en-US"/>
        </w:rPr>
        <w:t>C. difficile</w:t>
      </w:r>
      <w:r>
        <w:rPr>
          <w:rStyle w:val="Hyperlink.2"/>
          <w:rtl w:val="0"/>
          <w:lang w:val="en-US"/>
        </w:rPr>
        <w:t xml:space="preserve"> Basal Defined Medium (NCMM) was prepared as previously described in Theriot et. al.,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r>
        <w:rPr>
          <w:rStyle w:val="Hyperlink.2"/>
          <w:rtl w:val="0"/>
          <w:lang w:val="en-US"/>
        </w:rPr>
        <w:t>μ</w:t>
      </w:r>
      <w:r>
        <w:rPr>
          <w:rStyle w:val="Hyperlink.2"/>
          <w:rtl w:val="0"/>
          <w:lang w:val="en-US"/>
        </w:rPr>
        <w:t>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Hyperlink.2"/>
          <w:rtl w:val="0"/>
          <w:lang w:val="en-US"/>
        </w:rPr>
        <w:t>, 92.0% N, 0.0% O</w:t>
      </w:r>
      <w:r>
        <w:rPr>
          <w:rStyle w:val="None A"/>
          <w:rFonts w:ascii="Arial" w:hAnsi="Arial"/>
          <w:sz w:val="22"/>
          <w:szCs w:val="22"/>
          <w:vertAlign w:val="subscript"/>
          <w:rtl w:val="0"/>
          <w:lang w:val="en-US"/>
        </w:rPr>
        <w:t>2</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was grown for 14 hours at 37</w:t>
      </w:r>
      <w:r>
        <w:rPr>
          <w:rStyle w:val="Hyperlink.2"/>
          <w:rtl w:val="0"/>
          <w:lang w:val="en-US"/>
        </w:rPr>
        <w:t xml:space="preserve">° </w:t>
      </w:r>
      <w:r>
        <w:rPr>
          <w:rStyle w:val="Hyperlink.2"/>
          <w:rtl w:val="0"/>
          <w:lang w:val="en-US"/>
        </w:rPr>
        <w:t xml:space="preserve">C in 3 ml BHI + 0.5% cysteine. Cultures were then centrifuged at 2000 rpm for 5 minutes and resulting pellets were then washed twice with sterile, anaerobic 1 </w:t>
      </w:r>
      <w:r>
        <w:rPr>
          <w:rStyle w:val="Hyperlink.2"/>
          <w:rtl w:val="0"/>
          <w:lang w:val="en-US"/>
        </w:rPr>
        <w:t xml:space="preserve">× </w:t>
      </w:r>
      <w:r>
        <w:rPr>
          <w:rStyle w:val="Hyperlink.2"/>
          <w:rtl w:val="0"/>
          <w:lang w:val="en-US"/>
        </w:rPr>
        <w:t xml:space="preserve">phosphate-buffered saline (PBS). Washed pellets were resuspended in 3 ml more PBS and 5 </w:t>
      </w:r>
      <w:r>
        <w:rPr>
          <w:rStyle w:val="Hyperlink.2"/>
          <w:rtl w:val="0"/>
          <w:lang w:val="en-US"/>
        </w:rPr>
        <w:t>μ</w:t>
      </w:r>
      <w:r>
        <w:rPr>
          <w:rStyle w:val="Hyperlink.2"/>
          <w:rtl w:val="0"/>
          <w:lang w:val="en-US"/>
        </w:rPr>
        <w:t>l of prepped culture was added the each growth well of the plate containing aliquoted media. The plate was then placed in a Tecan Sunrise plate reader, heated to 37</w:t>
      </w:r>
      <w:r>
        <w:rPr>
          <w:rStyle w:val="Hyperlink.2"/>
          <w:rtl w:val="0"/>
          <w:lang w:val="en-US"/>
        </w:rPr>
        <w:t xml:space="preserve">° </w:t>
      </w:r>
      <w:r>
        <w:rPr>
          <w:rStyle w:val="Hyperlink.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Hyperlink.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Hyperlink.2"/>
          <w:rtl w:val="0"/>
          <w:lang w:val="en-US"/>
        </w:rPr>
        <w:t xml:space="preserve"> over time in R to obtain the slope at each time point. Significant differences were determined by 2-way ANOVA with Holm-Bonferroni correction.</w:t>
      </w:r>
    </w:p>
    <w:p>
      <w:pPr>
        <w:pStyle w:val="Default"/>
        <w:spacing w:line="480" w:lineRule="auto"/>
        <w:jc w:val="both"/>
        <w:rPr>
          <w:rFonts w:ascii="Arial" w:cs="Arial" w:hAnsi="Arial" w:eastAsia="Arial"/>
          <w:sz w:val="22"/>
          <w:szCs w:val="22"/>
        </w:rPr>
      </w:pPr>
    </w:p>
    <w:p>
      <w:pPr>
        <w:pStyle w:val="Text body"/>
        <w:spacing w:line="480" w:lineRule="auto"/>
        <w:ind w:left="480" w:hanging="480"/>
        <w:jc w:val="both"/>
      </w:pPr>
      <w:r>
        <w:rPr>
          <w:rStyle w:val="None A"/>
          <w:rFonts w:ascii="Arial" w:hAnsi="Arial"/>
          <w:b w:val="1"/>
          <w:bCs w:val="1"/>
          <w:sz w:val="22"/>
          <w:szCs w:val="22"/>
          <w:rtl w:val="0"/>
          <w:lang w:val="en-US"/>
        </w:rPr>
        <w:t>Figure Legends</w:t>
      </w:r>
    </w:p>
    <w:p>
      <w:pPr>
        <w:pStyle w:val="Default"/>
        <w:spacing w:line="480" w:lineRule="auto"/>
        <w:jc w:val="both"/>
      </w:pPr>
      <w:r>
        <w:rPr>
          <w:rStyle w:val="None A"/>
          <w:rFonts w:ascii="Arial" w:hAnsi="Arial"/>
          <w:b w:val="1"/>
          <w:bCs w:val="1"/>
          <w:sz w:val="22"/>
          <w:szCs w:val="22"/>
          <w:rtl w:val="0"/>
          <w:lang w:val="en-US"/>
        </w:rPr>
        <w:t xml:space="preserve">Table 1 | Antibiotics used during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 models.</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1 | Experimental time lines for mouse model pretreatments and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infection.</w:t>
      </w:r>
      <w:r>
        <w:rPr>
          <w:rStyle w:val="Hyperlink.2"/>
          <w:rtl w:val="0"/>
          <w:lang w:val="en-US"/>
        </w:rPr>
        <w:t xml:space="preserve"> Nine wild-type C57BL/6 mice were included in each pretreatment group. </w:t>
      </w:r>
      <w:r>
        <w:rPr>
          <w:rStyle w:val="None A"/>
          <w:rFonts w:ascii="Arial" w:hAnsi="Arial"/>
          <w:b w:val="1"/>
          <w:bCs w:val="1"/>
          <w:sz w:val="22"/>
          <w:szCs w:val="22"/>
          <w:rtl w:val="0"/>
          <w:lang w:val="en-US"/>
        </w:rPr>
        <w:t>(a)</w:t>
      </w:r>
      <w:r>
        <w:rPr>
          <w:rStyle w:val="Hyperlink.2"/>
          <w:rtl w:val="0"/>
          <w:lang w:val="en-US"/>
        </w:rPr>
        <w:t xml:space="preserve"> Streptomycin or </w:t>
      </w:r>
      <w:r>
        <w:rPr>
          <w:rStyle w:val="None A"/>
          <w:rFonts w:ascii="Arial" w:hAnsi="Arial"/>
          <w:b w:val="1"/>
          <w:bCs w:val="1"/>
          <w:sz w:val="22"/>
          <w:szCs w:val="22"/>
          <w:rtl w:val="0"/>
          <w:lang w:val="en-US"/>
        </w:rPr>
        <w:t>(b)</w:t>
      </w:r>
      <w:r>
        <w:rPr>
          <w:rStyle w:val="Hyperlink.2"/>
          <w:rtl w:val="0"/>
          <w:lang w:val="en-US"/>
        </w:rPr>
        <w:t xml:space="preserve"> cefoperazone administered </w:t>
      </w:r>
      <w:r>
        <w:rPr>
          <w:rStyle w:val="None A"/>
          <w:rFonts w:ascii="Arial" w:hAnsi="Arial"/>
          <w:i w:val="1"/>
          <w:iCs w:val="1"/>
          <w:sz w:val="22"/>
          <w:szCs w:val="22"/>
          <w:rtl w:val="0"/>
          <w:lang w:val="en-US"/>
        </w:rPr>
        <w:t>ad libitum</w:t>
      </w:r>
      <w:r>
        <w:rPr>
          <w:rStyle w:val="Hyperlink.2"/>
          <w:rtl w:val="0"/>
          <w:lang w:val="en-US"/>
        </w:rPr>
        <w:t xml:space="preserve"> in drinking water for 5 days, with 2 days recovery with untreated drinking water before infection, </w:t>
      </w:r>
      <w:r>
        <w:rPr>
          <w:rStyle w:val="None A"/>
          <w:rFonts w:ascii="Arial" w:hAnsi="Arial"/>
          <w:b w:val="1"/>
          <w:bCs w:val="1"/>
          <w:sz w:val="22"/>
          <w:szCs w:val="22"/>
          <w:rtl w:val="0"/>
          <w:lang w:val="en-US"/>
        </w:rPr>
        <w:t>(c)</w:t>
      </w:r>
      <w:r>
        <w:rPr>
          <w:rStyle w:val="Hyperlink.2"/>
          <w:rtl w:val="0"/>
          <w:lang w:val="en-US"/>
        </w:rPr>
        <w:t xml:space="preserve"> a single clindamycin intraperitoneal injection on Day -1 prior to infection, or </w:t>
      </w:r>
      <w:r>
        <w:rPr>
          <w:rStyle w:val="None A"/>
          <w:rFonts w:ascii="Arial" w:hAnsi="Arial"/>
          <w:b w:val="1"/>
          <w:bCs w:val="1"/>
          <w:sz w:val="22"/>
          <w:szCs w:val="22"/>
          <w:rtl w:val="0"/>
          <w:lang w:val="en-US"/>
        </w:rPr>
        <w:t>(d)</w:t>
      </w:r>
      <w:r>
        <w:rPr>
          <w:rStyle w:val="Hyperlink.2"/>
          <w:rtl w:val="0"/>
          <w:lang w:val="en-US"/>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w:t>
      </w:r>
      <w:r>
        <w:rPr>
          <w:rStyle w:val="Hyperlink.2"/>
          <w:rtl w:val="0"/>
          <w:lang w:val="en-US"/>
        </w:rPr>
        <w:t>×</w:t>
      </w:r>
      <w:r>
        <w:rPr>
          <w:rStyle w:val="Hyperlink.2"/>
          <w:rtl w:val="0"/>
          <w:lang w:val="en-US"/>
        </w:rPr>
        <w:t>10</w:t>
      </w:r>
      <w:r>
        <w:rPr>
          <w:rStyle w:val="None A"/>
          <w:rFonts w:ascii="Arial" w:hAnsi="Arial"/>
          <w:sz w:val="22"/>
          <w:szCs w:val="22"/>
          <w:vertAlign w:val="superscript"/>
          <w:rtl w:val="0"/>
          <w:lang w:val="en-US"/>
        </w:rPr>
        <w:t>3</w:t>
      </w:r>
      <w:r>
        <w:rPr>
          <w:rStyle w:val="Hyperlink.2"/>
          <w:rtl w:val="0"/>
          <w:lang w:val="en-US"/>
        </w:rPr>
        <w:t xml:space="preserve"> </w:t>
      </w:r>
      <w:r>
        <w:rPr>
          <w:rStyle w:val="None A"/>
          <w:rFonts w:ascii="Arial" w:hAnsi="Arial"/>
          <w:i w:val="1"/>
          <w:iCs w:val="1"/>
          <w:sz w:val="22"/>
          <w:szCs w:val="22"/>
          <w:rtl w:val="0"/>
          <w:lang w:val="en-US"/>
        </w:rPr>
        <w:t>C. difficile</w:t>
      </w:r>
      <w:r>
        <w:rPr>
          <w:rStyle w:val="Hyperlink.2"/>
          <w:rtl w:val="0"/>
          <w:lang w:val="en-US"/>
        </w:rPr>
        <w:t xml:space="preserve"> str. 630 spores at the time of infection. Sacrifice and necropsy was done 18 hours post-challenge and cecal content was then collected.</w:t>
      </w: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sporulation and toxin activity quantification after 18 hours of infection. (a)</w:t>
      </w:r>
      <w:r>
        <w:rPr>
          <w:rStyle w:val="Hyperlink.2"/>
          <w:rtl w:val="0"/>
          <w:lang w:val="en-US"/>
        </w:rPr>
        <w:t xml:space="preserve"> Vegetative </w:t>
      </w:r>
      <w:r>
        <w:rPr>
          <w:rStyle w:val="None A"/>
          <w:rFonts w:ascii="Arial" w:hAnsi="Arial"/>
          <w:i w:val="1"/>
          <w:iCs w:val="1"/>
          <w:sz w:val="22"/>
          <w:szCs w:val="22"/>
          <w:rtl w:val="0"/>
          <w:lang w:val="en-US"/>
        </w:rPr>
        <w:t>C. difficile</w:t>
      </w:r>
      <w:r>
        <w:rPr>
          <w:rStyle w:val="Hyperlink.2"/>
          <w:rtl w:val="0"/>
          <w:lang w:val="en-US"/>
        </w:rPr>
        <w:t xml:space="preserve"> c.f.u. per gram of cecal content (n=9 mice per group). No significant differences were observed in between any group colonized by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 xml:space="preserve">(b) </w:t>
      </w:r>
      <w:r>
        <w:rPr>
          <w:rStyle w:val="None A"/>
          <w:rFonts w:ascii="Arial" w:hAnsi="Arial"/>
          <w:i w:val="1"/>
          <w:iCs w:val="1"/>
          <w:sz w:val="22"/>
          <w:szCs w:val="22"/>
          <w:rtl w:val="0"/>
          <w:lang w:val="en-US"/>
        </w:rPr>
        <w:t>C. difficile</w:t>
      </w:r>
      <w:r>
        <w:rPr>
          <w:rStyle w:val="Hyperlink.2"/>
          <w:rtl w:val="0"/>
          <w:lang w:val="en-US"/>
        </w:rPr>
        <w:t xml:space="preserve"> spore c.f.u. per gram of cecal content. Significantly more spores were detectable in GF mice compared to any of the antibiotic-treated SPF groups (</w:t>
      </w:r>
      <w:r>
        <w:rPr>
          <w:rStyle w:val="None A"/>
          <w:rFonts w:ascii="Arial" w:hAnsi="Arial"/>
          <w:i w:val="1"/>
          <w:iCs w:val="1"/>
          <w:sz w:val="22"/>
          <w:szCs w:val="22"/>
          <w:rtl w:val="0"/>
          <w:lang w:val="en-US"/>
        </w:rPr>
        <w:t>P</w:t>
      </w:r>
      <w:r>
        <w:rPr>
          <w:rStyle w:val="Hyperlink.2"/>
          <w:rtl w:val="0"/>
          <w:lang w:val="en-US"/>
        </w:rPr>
        <w:t xml:space="preserve"> &lt; 0.05). </w:t>
      </w:r>
      <w:r>
        <w:rPr>
          <w:rStyle w:val="None A"/>
          <w:rFonts w:ascii="Arial" w:hAnsi="Arial"/>
          <w:b w:val="1"/>
          <w:bCs w:val="1"/>
          <w:sz w:val="22"/>
          <w:szCs w:val="22"/>
          <w:rtl w:val="0"/>
          <w:lang w:val="en-US"/>
        </w:rPr>
        <w:t>(c)</w:t>
      </w:r>
      <w:r>
        <w:rPr>
          <w:rStyle w:val="Hyperlink.2"/>
          <w:rtl w:val="0"/>
          <w:lang w:val="en-US"/>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 A"/>
          <w:rFonts w:ascii="Arial" w:hAnsi="Arial"/>
          <w:i w:val="1"/>
          <w:iCs w:val="1"/>
          <w:sz w:val="22"/>
          <w:szCs w:val="22"/>
          <w:rtl w:val="0"/>
          <w:lang w:val="en-US"/>
        </w:rPr>
        <w:t>P</w:t>
      </w:r>
      <w:r>
        <w:rPr>
          <w:rStyle w:val="Hyperlink.2"/>
          <w:rtl w:val="0"/>
          <w:lang w:val="en-US"/>
        </w:rPr>
        <w:t xml:space="preserve"> &lt; 0.05). UD* in </w:t>
      </w:r>
      <w:r>
        <w:rPr>
          <w:rStyle w:val="None A"/>
          <w:rFonts w:ascii="Arial" w:hAnsi="Arial"/>
          <w:b w:val="1"/>
          <w:bCs w:val="1"/>
          <w:sz w:val="22"/>
          <w:szCs w:val="22"/>
          <w:rtl w:val="0"/>
          <w:lang w:val="en-US"/>
        </w:rPr>
        <w:t>a</w:t>
      </w:r>
      <w:r>
        <w:rPr>
          <w:rStyle w:val="Hyperlink.2"/>
          <w:rtl w:val="0"/>
          <w:lang w:val="en-US"/>
        </w:rPr>
        <w:t>,</w:t>
      </w:r>
      <w:r>
        <w:rPr>
          <w:rStyle w:val="None A"/>
          <w:rFonts w:ascii="Arial" w:hAnsi="Arial"/>
          <w:b w:val="1"/>
          <w:bCs w:val="1"/>
          <w:sz w:val="22"/>
          <w:szCs w:val="22"/>
          <w:rtl w:val="0"/>
          <w:lang w:val="en-US"/>
        </w:rPr>
        <w:t>b</w:t>
      </w:r>
      <w:r>
        <w:rPr>
          <w:rStyle w:val="Hyperlink.2"/>
          <w:rtl w:val="0"/>
          <w:lang w:val="en-US"/>
        </w:rPr>
        <w:t>,</w:t>
      </w:r>
      <w:r>
        <w:rPr>
          <w:rStyle w:val="None A"/>
          <w:rFonts w:ascii="Arial" w:hAnsi="Arial"/>
          <w:b w:val="1"/>
          <w:bCs w:val="1"/>
          <w:sz w:val="22"/>
          <w:szCs w:val="22"/>
          <w:rtl w:val="0"/>
          <w:lang w:val="en-US"/>
        </w:rPr>
        <w:t>c</w:t>
      </w:r>
      <w:r>
        <w:rPr>
          <w:rStyle w:val="Hyperlink.2"/>
          <w:rtl w:val="0"/>
          <w:lang w:val="en-US"/>
        </w:rPr>
        <w:t xml:space="preserve"> indicate that all points in this groups were undetectable and are significantly different from all other groups in each assay (</w:t>
      </w:r>
      <w:r>
        <w:rPr>
          <w:rStyle w:val="None A"/>
          <w:rFonts w:ascii="Arial" w:hAnsi="Arial"/>
          <w:i w:val="1"/>
          <w:iCs w:val="1"/>
          <w:sz w:val="22"/>
          <w:szCs w:val="22"/>
          <w:rtl w:val="0"/>
          <w:lang w:val="en-US"/>
        </w:rPr>
        <w:t>P</w:t>
      </w:r>
      <w:r>
        <w:rPr>
          <w:rStyle w:val="Hyperlink.2"/>
          <w:rtl w:val="0"/>
          <w:lang w:val="en-US"/>
        </w:rPr>
        <w:t xml:space="preserve"> &lt;&lt; 0.01). Median values are shown for each group with significant differences calculated using Wilcoxon rank-sum test with the Holm-Bonferroni correction. Dotted lines denote the limit of detection for both assays, and differences were calculated using the this value. Undetectable points are shown just below the limit of detection for clarity.</w:t>
      </w:r>
    </w:p>
    <w:p>
      <w:pPr>
        <w:pStyle w:val="Default"/>
        <w:spacing w:line="480" w:lineRule="auto"/>
        <w:jc w:val="both"/>
      </w:pPr>
    </w:p>
    <w:p>
      <w:pPr>
        <w:pStyle w:val="Default"/>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Hyperlink.2"/>
          <w:rtl w:val="0"/>
          <w:lang w:val="en-US"/>
        </w:rPr>
        <w:t xml:space="preserve">Relative abundances of rarefied transcript data for each gene from pooled transcriptomic sequencing of </w:t>
      </w:r>
      <w:r>
        <w:rPr>
          <w:rStyle w:val="None A"/>
          <w:rFonts w:ascii="Arial" w:hAnsi="Arial"/>
          <w:i w:val="1"/>
          <w:iCs w:val="1"/>
          <w:sz w:val="22"/>
          <w:szCs w:val="22"/>
          <w:rtl w:val="0"/>
          <w:lang w:val="en-US"/>
        </w:rPr>
        <w:t>C. difficile</w:t>
      </w:r>
      <w:r>
        <w:rPr>
          <w:rStyle w:val="Hyperlink.2"/>
          <w:rtl w:val="0"/>
          <w:lang w:val="en-US"/>
        </w:rPr>
        <w:t xml:space="preserve"> in each condition. </w:t>
      </w:r>
      <w:r>
        <w:rPr>
          <w:rStyle w:val="None A"/>
          <w:rFonts w:ascii="Arial" w:hAnsi="Arial"/>
          <w:b w:val="1"/>
          <w:bCs w:val="1"/>
          <w:sz w:val="22"/>
          <w:szCs w:val="22"/>
          <w:rtl w:val="0"/>
          <w:lang w:val="en-US"/>
        </w:rPr>
        <w:t>(a)</w:t>
      </w:r>
      <w:r>
        <w:rPr>
          <w:rStyle w:val="Hyperlink.2"/>
          <w:rtl w:val="0"/>
          <w:lang w:val="en-US"/>
        </w:rPr>
        <w:t xml:space="preserve"> Select genes from the </w:t>
      </w:r>
      <w:r>
        <w:rPr>
          <w:rStyle w:val="None A"/>
          <w:rFonts w:ascii="Arial" w:hAnsi="Arial"/>
          <w:i w:val="1"/>
          <w:iCs w:val="1"/>
          <w:sz w:val="22"/>
          <w:szCs w:val="22"/>
          <w:rtl w:val="0"/>
          <w:lang w:val="en-US"/>
        </w:rPr>
        <w:t>C. difficile</w:t>
      </w:r>
      <w:r>
        <w:rPr>
          <w:rStyle w:val="Hyperlink.2"/>
          <w:rtl w:val="0"/>
          <w:lang w:val="en-US"/>
        </w:rPr>
        <w:t xml:space="preserve"> sporulation pathway with the greatest variation in expression between the conditions tested. </w:t>
      </w:r>
      <w:r>
        <w:rPr>
          <w:rStyle w:val="None A"/>
          <w:rFonts w:ascii="Arial" w:hAnsi="Arial"/>
          <w:b w:val="1"/>
          <w:bCs w:val="1"/>
          <w:sz w:val="22"/>
          <w:szCs w:val="22"/>
          <w:rtl w:val="0"/>
          <w:lang w:val="en-US"/>
        </w:rPr>
        <w:t>(b)</w:t>
      </w:r>
      <w:r>
        <w:rPr>
          <w:rStyle w:val="Hyperlink.2"/>
          <w:rtl w:val="0"/>
          <w:lang w:val="en-US"/>
        </w:rPr>
        <w:t xml:space="preserve"> Genes for effector proteins included in the </w:t>
      </w:r>
      <w:r>
        <w:rPr>
          <w:rStyle w:val="None A"/>
          <w:rFonts w:ascii="Arial" w:hAnsi="Arial"/>
          <w:i w:val="1"/>
          <w:iCs w:val="1"/>
          <w:sz w:val="22"/>
          <w:szCs w:val="22"/>
          <w:rtl w:val="0"/>
          <w:lang w:val="en-US"/>
        </w:rPr>
        <w:t>C. difficile</w:t>
      </w:r>
      <w:r>
        <w:rPr>
          <w:rStyle w:val="Hyperlink.2"/>
          <w:rtl w:val="0"/>
          <w:lang w:val="en-US"/>
        </w:rPr>
        <w:t xml:space="preserve"> pathogenicity locus. </w:t>
      </w:r>
      <w:r>
        <w:rPr>
          <w:rStyle w:val="None A"/>
          <w:rFonts w:ascii="Arial" w:hAnsi="Arial"/>
          <w:b w:val="1"/>
          <w:bCs w:val="1"/>
          <w:sz w:val="22"/>
          <w:szCs w:val="22"/>
          <w:rtl w:val="0"/>
          <w:lang w:val="en-US"/>
        </w:rPr>
        <w:t>(c)</w:t>
      </w:r>
      <w:r>
        <w:rPr>
          <w:rStyle w:val="Hyperlink.2"/>
          <w:rtl w:val="0"/>
          <w:lang w:val="en-US"/>
        </w:rPr>
        <w:t xml:space="preserve"> Genes that have been associated with quorum sensing in </w:t>
      </w:r>
      <w:r>
        <w:rPr>
          <w:rStyle w:val="None A"/>
          <w:rFonts w:ascii="Arial" w:hAnsi="Arial"/>
          <w:i w:val="1"/>
          <w:iCs w:val="1"/>
          <w:sz w:val="22"/>
          <w:szCs w:val="22"/>
          <w:rtl w:val="0"/>
          <w:lang w:val="en-US"/>
        </w:rPr>
        <w:t>C. difficile</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xml:space="preserve"> Select sigma factors which expression/activity is under the control of environment nutrient concentrations. Relative abundances were calculated from the total expression within each treatment group for all genes shown in </w:t>
      </w:r>
      <w:r>
        <w:rPr>
          <w:rStyle w:val="None A"/>
          <w:rFonts w:ascii="Arial" w:hAnsi="Arial"/>
          <w:b w:val="1"/>
          <w:bCs w:val="1"/>
          <w:sz w:val="22"/>
          <w:szCs w:val="22"/>
          <w:rtl w:val="0"/>
          <w:lang w:val="en-US"/>
        </w:rPr>
        <w:t xml:space="preserve">a </w:t>
      </w:r>
      <w:r>
        <w:rPr>
          <w:rStyle w:val="Hyperlink.2"/>
          <w:rtl w:val="0"/>
          <w:lang w:val="en-US"/>
        </w:rPr>
        <w:t xml:space="preserve">- </w:t>
      </w:r>
      <w:r>
        <w:rPr>
          <w:rStyle w:val="None A"/>
          <w:rFonts w:ascii="Arial" w:hAnsi="Arial"/>
          <w:b w:val="1"/>
          <w:bCs w:val="1"/>
          <w:sz w:val="22"/>
          <w:szCs w:val="22"/>
          <w:rtl w:val="0"/>
          <w:lang w:val="en-US"/>
        </w:rPr>
        <w:t>d</w:t>
      </w:r>
      <w:r>
        <w:rPr>
          <w:rStyle w:val="Hyperlink.2"/>
          <w:rtl w:val="0"/>
          <w:lang w:val="en-US"/>
        </w:rPr>
        <w:t>. UD indicates genes from which transcript was undetectable.</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w:t>
      </w:r>
      <w:r>
        <w:rPr>
          <w:rStyle w:val="Hyperlink.2"/>
          <w:rtl w:val="0"/>
          <w:lang w:val="en-US"/>
        </w:rPr>
        <w:t xml:space="preserve">Ternary plot of all genes with with any transcripts mapping to them are included. Mapped transcript counts again were iteratively rarefied and the median expression of each gene was used (~24x coverage). Each point represents a unique gene from the annotated genome of </w:t>
      </w:r>
      <w:r>
        <w:rPr>
          <w:rStyle w:val="None A"/>
          <w:rFonts w:ascii="Arial" w:hAnsi="Arial"/>
          <w:i w:val="1"/>
          <w:iCs w:val="1"/>
          <w:sz w:val="22"/>
          <w:szCs w:val="22"/>
          <w:rtl w:val="0"/>
          <w:lang w:val="en-US"/>
        </w:rPr>
        <w:t>C. difficile</w:t>
      </w:r>
      <w:r>
        <w:rPr>
          <w:rStyle w:val="Hyperlink.2"/>
          <w:rtl w:val="0"/>
          <w:lang w:val="en-US"/>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associated group. Colored points within each gene set are sized relative to the greatest transcript abundance among the three conditions. </w:t>
      </w:r>
      <w:r>
        <w:rPr>
          <w:rStyle w:val="None A"/>
          <w:rFonts w:ascii="Arial" w:hAnsi="Arial"/>
          <w:b w:val="1"/>
          <w:bCs w:val="1"/>
          <w:sz w:val="22"/>
          <w:szCs w:val="22"/>
          <w:rtl w:val="0"/>
          <w:lang w:val="en-US"/>
        </w:rPr>
        <w:t xml:space="preserve">(a) </w:t>
      </w:r>
      <w:r>
        <w:rPr>
          <w:rStyle w:val="Hyperlink.2"/>
          <w:rtl w:val="0"/>
          <w:lang w:val="en-US"/>
        </w:rPr>
        <w:t xml:space="preserve">Point sizes were determined based on the expression from the condition with the highest value for each gene. Highest overall expression across all experimental groups was seen in genes associated with Stickland (amino acid) fermentation. </w:t>
      </w:r>
      <w:r>
        <w:rPr>
          <w:rStyle w:val="None A"/>
          <w:rFonts w:ascii="Arial" w:hAnsi="Arial"/>
          <w:b w:val="1"/>
          <w:bCs w:val="1"/>
          <w:sz w:val="22"/>
          <w:szCs w:val="22"/>
          <w:rtl w:val="0"/>
          <w:lang w:val="en-US"/>
        </w:rPr>
        <w:t xml:space="preserve">(b </w:t>
      </w:r>
      <w:r>
        <w:rPr>
          <w:rStyle w:val="Hyperlink.2"/>
          <w:rtl w:val="0"/>
          <w:lang w:val="en-US"/>
        </w:rPr>
        <w:t>–</w:t>
      </w:r>
      <w:r>
        <w:rPr>
          <w:rStyle w:val="None A"/>
          <w:rFonts w:ascii="Arial" w:hAnsi="Arial"/>
          <w:b w:val="1"/>
          <w:bCs w:val="1"/>
          <w:sz w:val="22"/>
          <w:szCs w:val="22"/>
          <w:rtl w:val="0"/>
          <w:lang w:val="en-US"/>
        </w:rPr>
        <w:t xml:space="preserve"> i) </w:t>
      </w:r>
      <w:r>
        <w:rPr>
          <w:rStyle w:val="Hyperlink.2"/>
          <w:rtl w:val="0"/>
          <w:lang w:val="en-US"/>
        </w:rPr>
        <w:t xml:space="preserve">Groups from </w:t>
      </w:r>
      <w:r>
        <w:rPr>
          <w:rStyle w:val="None A"/>
          <w:rFonts w:ascii="Arial" w:hAnsi="Arial"/>
          <w:b w:val="1"/>
          <w:bCs w:val="1"/>
          <w:sz w:val="22"/>
          <w:szCs w:val="22"/>
          <w:rtl w:val="0"/>
          <w:lang w:val="en-US"/>
        </w:rPr>
        <w:t>a</w:t>
      </w:r>
      <w:r>
        <w:rPr>
          <w:rStyle w:val="Hyperlink.2"/>
          <w:rtl w:val="0"/>
          <w:lang w:val="en-US"/>
        </w:rPr>
        <w:t xml:space="preserve"> are also plotted separately in without size differences for clarity. Genes included in each group and transcript abundances can be found in Table S1.</w:t>
      </w:r>
    </w:p>
    <w:p>
      <w:pPr>
        <w:pStyle w:val="Default"/>
        <w:spacing w:line="480" w:lineRule="auto"/>
        <w:jc w:val="both"/>
        <w:rPr>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it-IT"/>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it-IT"/>
        </w:rPr>
        <w:t>C. difficile</w:t>
      </w:r>
      <w:r>
        <w:rPr>
          <w:rStyle w:val="None A"/>
          <w:rFonts w:ascii="Arial" w:hAnsi="Arial"/>
          <w:sz w:val="22"/>
          <w:szCs w:val="22"/>
          <w:rtl w:val="0"/>
          <w:lang w:val="en-US"/>
        </w:rPr>
        <w:t xml:space="preserve"> str. 630. The complete network contains 447 enzymes and 758 metabolites, with 2135 directed edges. Size of enzyme nodes is relative to the number of normalized reads mapped to the corresponding gene and the abundances shown were taken from the transcriptome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cefoperazone-treated mice. Below the representative network is the metabolite importance algorithm separated into 3 parts; (i)</w:t>
      </w:r>
      <w:bookmarkEnd w:id="6"/>
      <w:r>
        <w:rPr>
          <w:rStyle w:val="None A"/>
          <w:rFonts w:ascii="Arial" w:hAnsi="Arial"/>
          <w:sz w:val="22"/>
          <w:szCs w:val="22"/>
          <w:rtl w:val="0"/>
          <w:lang w:val="en-US"/>
        </w:rPr>
        <w:t xml:space="preserve"> </w:t>
      </w:r>
      <w:bookmarkStart w:name="_DdeLink__1257_348787537" w:id="7"/>
      <w:r>
        <w:rPr>
          <w:rStyle w:val="None A"/>
          <w:rFonts w:ascii="Arial" w:hAnsi="Arial"/>
          <w:sz w:val="22"/>
          <w:szCs w:val="22"/>
          <w:rtl w:val="0"/>
          <w:lang w:val="en-US"/>
        </w:rPr>
        <w:t>relative transcription of reactions consuming a metabolite</w:t>
      </w:r>
      <w:bookmarkEnd w:id="7"/>
      <w:r>
        <w:rPr>
          <w:rStyle w:val="None A"/>
          <w:rFonts w:ascii="Arial" w:hAnsi="Arial"/>
          <w:sz w:val="22"/>
          <w:szCs w:val="22"/>
          <w:rtl w:val="0"/>
          <w:lang w:val="en-US"/>
        </w:rPr>
        <w:t xml:space="preserve">, (ii) relative transcription of reactions consuming a metabolite, and (iii) difference of consumption and creation of the given metabolite. </w:t>
      </w:r>
      <w:r>
        <w:rPr>
          <w:rStyle w:val="None A"/>
          <w:rFonts w:ascii="Arial" w:hAnsi="Arial"/>
          <w:b w:val="1"/>
          <w:bCs w:val="1"/>
          <w:sz w:val="22"/>
          <w:szCs w:val="22"/>
          <w:rtl w:val="0"/>
          <w:lang w:val="en-US"/>
        </w:rPr>
        <w:t xml:space="preserve">(b) </w:t>
      </w:r>
      <w:r>
        <w:rPr>
          <w:rStyle w:val="None A"/>
          <w:rFonts w:ascii="Arial" w:hAnsi="Arial"/>
          <w:sz w:val="22"/>
          <w:szCs w:val="22"/>
          <w:rtl w:val="0"/>
          <w:lang w:val="en-US"/>
        </w:rPr>
        <w:t xml:space="preserve">The expanded window displays an example of a single metabolite importance calculation based on local enzyme gene transcription. White values in the red nodes display the number of normalized transcript reads mapping to the gene sequence for each enzyme node. Average expression of input and output reactions surrounding metabolite </w:t>
      </w:r>
      <w:r>
        <w:rPr>
          <w:rStyle w:val="None A"/>
          <w:rFonts w:ascii="Arial" w:hAnsi="Arial"/>
          <w:b w:val="1"/>
          <w:bCs w:val="1"/>
          <w:sz w:val="22"/>
          <w:szCs w:val="22"/>
          <w:rtl w:val="0"/>
          <w:lang w:val="en-US"/>
        </w:rPr>
        <w:t>m</w:t>
      </w:r>
      <w:r>
        <w:rPr>
          <w:rStyle w:val="None A"/>
          <w:rFonts w:ascii="Arial" w:hAnsi="Arial"/>
          <w:sz w:val="22"/>
          <w:szCs w:val="22"/>
          <w:rtl w:val="0"/>
          <w:lang w:val="en-US"/>
        </w:rPr>
        <w:t xml:space="preserve"> are calculated at then the difference of these values found to get the relative importance of </w:t>
      </w:r>
      <w:r>
        <w:rPr>
          <w:rStyle w:val="None A"/>
          <w:rFonts w:ascii="Arial" w:hAnsi="Arial"/>
          <w:i w:val="1"/>
          <w:iCs w:val="1"/>
          <w:sz w:val="22"/>
          <w:szCs w:val="22"/>
          <w:rtl w:val="0"/>
          <w:lang w:val="en-US"/>
        </w:rPr>
        <w:t>m</w:t>
      </w:r>
      <w:r>
        <w:rPr>
          <w:rStyle w:val="None A"/>
          <w:rFonts w:ascii="Arial" w:hAnsi="Arial"/>
          <w:sz w:val="22"/>
          <w:szCs w:val="22"/>
          <w:rtl w:val="0"/>
          <w:lang w:val="en-US"/>
        </w:rPr>
        <w:t>. Log</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transformation is then performed for comparability between metabolites.</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cs="Arial" w:hAnsi="Arial" w:eastAsia="Arial"/>
          <w:b w:val="1"/>
          <w:bCs w:val="1"/>
          <w:sz w:val="22"/>
          <w:szCs w:val="22"/>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 A"/>
          <w:rFonts w:ascii="Arial" w:hAnsi="Arial"/>
          <w:b w:val="1"/>
          <w:bCs w:val="1"/>
          <w:sz w:val="22"/>
          <w:szCs w:val="22"/>
          <w:rtl w:val="0"/>
          <w:lang w:val="en-US"/>
        </w:rPr>
        <w:t xml:space="preserve">Figure 6 | Results from network-based metabolite importance calculation and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 xml:space="preserve"> growth with important carbohydrates.</w:t>
      </w:r>
      <w:r>
        <w:rPr>
          <w:rStyle w:val="None A"/>
          <w:rFonts w:ascii="Arial" w:hAnsi="Arial"/>
          <w:sz w:val="22"/>
          <w:szCs w:val="22"/>
          <w:rtl w:val="0"/>
          <w:lang w:val="en-US"/>
        </w:rPr>
        <w:t xml:space="preserve"> Prior to importance calculation, transcript abundances for each condition were evenly rarefied to 27,664 normalized reads to include gnotobiotic mice for even comparison across colonized environments (~18x coverage).</w:t>
      </w:r>
      <w:r>
        <w:rPr>
          <w:rStyle w:val="None A"/>
          <w:rFonts w:ascii="Arial" w:hAnsi="Arial"/>
          <w:b w:val="1"/>
          <w:bCs w:val="1"/>
          <w:sz w:val="22"/>
          <w:szCs w:val="22"/>
          <w:rtl w:val="0"/>
          <w:lang w:val="en-US"/>
        </w:rPr>
        <w:t xml:space="preserve"> </w:t>
      </w:r>
      <w:bookmarkStart w:name="MathJaxElement43Frame55" w:id="8"/>
      <w:r>
        <w:rPr>
          <w:rStyle w:val="None A"/>
          <w:rFonts w:ascii="Arial" w:hAnsi="Arial"/>
          <w:b w:val="1"/>
          <w:bCs w:val="1"/>
          <w:sz w:val="22"/>
          <w:szCs w:val="22"/>
          <w:rtl w:val="0"/>
          <w:lang w:val="en-US"/>
        </w:rPr>
        <w:t>(a)</w:t>
      </w:r>
      <w:r>
        <w:rPr>
          <w:rStyle w:val="None A"/>
          <w:rFonts w:ascii="Arial" w:hAnsi="Arial"/>
          <w:sz w:val="22"/>
          <w:szCs w:val="22"/>
          <w:rtl w:val="0"/>
          <w:lang w:val="en-US"/>
        </w:rPr>
        <w:t xml:space="preserve"> Median</w:t>
      </w:r>
      <w:bookmarkEnd w:id="8"/>
      <w:bookmarkStart w:name="MathJaxElement43Frame54" w:id="9"/>
      <w:r>
        <w:rPr>
          <w:rStyle w:val="None A"/>
          <w:rFonts w:ascii="Arial" w:hAnsi="Arial"/>
          <w:sz w:val="22"/>
          <w:szCs w:val="22"/>
          <w:rtl w:val="0"/>
          <w:lang w:val="en-US"/>
        </w:rPr>
        <w:t xml:space="preserve"> </w:t>
      </w:r>
      <w:bookmarkEnd w:id="9"/>
      <w:r>
        <w:rPr>
          <w:rStyle w:val="None A"/>
          <w:rFonts w:ascii="Arial" w:hAnsi="Arial"/>
          <w:sz w:val="22"/>
          <w:szCs w:val="22"/>
          <w:rtl w:val="0"/>
          <w:lang w:val="en-US"/>
        </w:rPr>
        <w:t>s</w:t>
      </w:r>
      <w:bookmarkStart w:name="MathJaxElement43Frame56" w:id="10"/>
      <w:r>
        <w:rPr>
          <w:rStyle w:val="None A"/>
          <w:rFonts w:ascii="Arial" w:hAnsi="Arial"/>
          <w:sz w:val="22"/>
          <w:szCs w:val="22"/>
          <w:rtl w:val="0"/>
          <w:lang w:val="en-US"/>
        </w:rPr>
        <w:t xml:space="preserve">hared </w:t>
      </w:r>
      <w:bookmarkEnd w:id="10"/>
      <w:r>
        <w:rPr>
          <w:rStyle w:val="None A"/>
          <w:rFonts w:ascii="Arial" w:hAnsi="Arial"/>
          <w:sz w:val="22"/>
          <w:szCs w:val="22"/>
          <w:rtl w:val="0"/>
          <w:lang w:val="en-US"/>
        </w:rPr>
        <w:t>significant m</w:t>
      </w:r>
      <w:bookmarkStart w:name="MathJaxElement43Frame57" w:id="11"/>
      <w:r>
        <w:rPr>
          <w:rStyle w:val="None A"/>
          <w:rFonts w:ascii="Arial" w:hAnsi="Arial"/>
          <w:sz w:val="22"/>
          <w:szCs w:val="22"/>
          <w:rtl w:val="0"/>
          <w:lang w:val="fr-FR"/>
        </w:rPr>
        <w:t>etabolites</w:t>
      </w:r>
      <w:r>
        <w:rPr>
          <w:rStyle w:val="None A"/>
          <w:rFonts w:ascii="Arial" w:hAnsi="Arial"/>
          <w:sz w:val="22"/>
          <w:szCs w:val="22"/>
          <w:rtl w:val="0"/>
          <w:lang w:val="en-US"/>
        </w:rPr>
        <w:t xml:space="preserve"> among the 50 highest scoring metabolites from each</w:t>
      </w:r>
      <w:r>
        <w:rPr>
          <w:rStyle w:val="None A"/>
          <w:rFonts w:ascii="Arial" w:hAnsi="Arial"/>
          <w:sz w:val="22"/>
          <w:szCs w:val="22"/>
          <w:rtl w:val="0"/>
          <w:lang w:val="fr-FR"/>
        </w:rPr>
        <w:t xml:space="preserve"> condition (</w:t>
      </w:r>
      <w:r>
        <w:rPr>
          <w:rStyle w:val="None A"/>
          <w:rFonts w:ascii="Arial" w:hAnsi="Arial"/>
          <w:i w:val="1"/>
          <w:iCs w:val="1"/>
          <w:sz w:val="22"/>
          <w:szCs w:val="22"/>
          <w:rtl w:val="0"/>
          <w:lang w:val="fr-FR"/>
        </w:rPr>
        <w:t>P</w:t>
      </w:r>
      <w:r>
        <w:rPr>
          <w:rStyle w:val="None A"/>
          <w:rFonts w:ascii="Arial" w:hAnsi="Arial"/>
          <w:sz w:val="22"/>
          <w:szCs w:val="22"/>
          <w:rtl w:val="0"/>
          <w:lang w:val="fr-FR"/>
        </w:rPr>
        <w:t xml:space="preserve"> &lt; 0.05).</w:t>
      </w:r>
      <w:bookmarkEnd w:id="11"/>
      <w:r>
        <w:rPr>
          <w:rStyle w:val="None A"/>
          <w:rFonts w:ascii="Arial" w:hAnsi="Arial"/>
          <w:sz w:val="22"/>
          <w:szCs w:val="22"/>
          <w:rtl w:val="0"/>
          <w:lang w:val="en-US"/>
        </w:rPr>
        <w:t xml:space="preserve"> Median importance scores and pooled random distribution were recalculated per metabolite using the values from each condition tested. </w:t>
      </w:r>
      <w:bookmarkStart w:name="MathJaxElement43Frame58" w:id="12"/>
      <w:r>
        <w:rPr>
          <w:rStyle w:val="None A"/>
          <w:rFonts w:ascii="Arial" w:hAnsi="Arial"/>
          <w:b w:val="1"/>
          <w:bCs w:val="1"/>
          <w:sz w:val="22"/>
          <w:szCs w:val="22"/>
          <w:rtl w:val="0"/>
          <w:lang w:val="en-US"/>
        </w:rPr>
        <w:t>(b)</w:t>
      </w:r>
      <w:r>
        <w:rPr>
          <w:rStyle w:val="None A"/>
          <w:rFonts w:ascii="Arial" w:hAnsi="Arial"/>
          <w:sz w:val="22"/>
          <w:szCs w:val="22"/>
          <w:rtl w:val="0"/>
          <w:lang w:val="en-US"/>
        </w:rPr>
        <w:t xml:space="preserve"> Distinctly important significant metabolites from each treatment group</w:t>
      </w:r>
      <w:r>
        <w:rPr>
          <w:rStyle w:val="None A"/>
          <w:rFonts w:ascii="Arial" w:hAnsi="Arial"/>
          <w:sz w:val="22"/>
          <w:szCs w:val="22"/>
          <w:rtl w:val="0"/>
          <w:lang w:val="fr-FR"/>
        </w:rPr>
        <w:t xml:space="preserve"> (</w:t>
      </w:r>
      <w:r>
        <w:rPr>
          <w:rStyle w:val="None A"/>
          <w:rFonts w:ascii="Arial" w:hAnsi="Arial"/>
          <w:i w:val="1"/>
          <w:iCs w:val="1"/>
          <w:sz w:val="22"/>
          <w:szCs w:val="22"/>
          <w:rtl w:val="0"/>
          <w:lang w:val="fr-FR"/>
        </w:rPr>
        <w:t>P</w:t>
      </w:r>
      <w:r>
        <w:rPr>
          <w:rStyle w:val="None A"/>
          <w:rFonts w:ascii="Arial" w:hAnsi="Arial"/>
          <w:sz w:val="22"/>
          <w:szCs w:val="22"/>
          <w:rtl w:val="0"/>
          <w:lang w:val="fr-FR"/>
        </w:rPr>
        <w:t xml:space="preserve"> &lt; 0.05)</w:t>
      </w:r>
      <w:r>
        <w:rPr>
          <w:rStyle w:val="None A"/>
          <w:rFonts w:ascii="Arial" w:hAnsi="Arial"/>
          <w:sz w:val="22"/>
          <w:szCs w:val="22"/>
          <w:rtl w:val="0"/>
          <w:lang w:val="en-US"/>
        </w:rPr>
        <w:t>. The top 25 scoring metabolites from each group was cross-referenced against each other group resulting in</w:t>
      </w:r>
      <w:r>
        <w:rPr>
          <w:rStyle w:val="None A"/>
          <w:rFonts w:ascii="Arial" w:hAnsi="Arial"/>
          <w:sz w:val="22"/>
          <w:szCs w:val="22"/>
          <w:rtl w:val="0"/>
          <w:lang w:val="pt-PT"/>
        </w:rPr>
        <w:t xml:space="preserve"> metabolites </w:t>
      </w:r>
      <w:r>
        <w:rPr>
          <w:rStyle w:val="None A"/>
          <w:rFonts w:ascii="Arial" w:hAnsi="Arial"/>
          <w:sz w:val="22"/>
          <w:szCs w:val="22"/>
          <w:rtl w:val="0"/>
          <w:lang w:val="en-US"/>
        </w:rPr>
        <w:t>that are differentially important between environments.</w:t>
      </w:r>
      <w:bookmarkEnd w:id="12"/>
      <w:r>
        <w:rPr>
          <w:rStyle w:val="None A"/>
          <w:rFonts w:ascii="Arial" w:hAnsi="Arial"/>
          <w:sz w:val="22"/>
          <w:szCs w:val="22"/>
          <w:rtl w:val="0"/>
          <w:lang w:val="en-US"/>
        </w:rPr>
        <w:t xml:space="preserve"> </w:t>
      </w:r>
      <w:bookmarkStart w:name="MathJaxElement43Frame59" w:id="13"/>
      <w:r>
        <w:rPr>
          <w:rStyle w:val="None A"/>
          <w:rFonts w:ascii="Arial" w:hAnsi="Arial"/>
          <w:b w:val="1"/>
          <w:bCs w:val="1"/>
          <w:sz w:val="22"/>
          <w:szCs w:val="22"/>
          <w:rtl w:val="0"/>
          <w:lang w:val="it-IT"/>
        </w:rPr>
        <w:t xml:space="preserve">(c) </w:t>
      </w:r>
      <w:r>
        <w:rPr>
          <w:rStyle w:val="None A"/>
          <w:rFonts w:ascii="Arial" w:hAnsi="Arial"/>
          <w:i w:val="1"/>
          <w:iCs w:val="1"/>
          <w:sz w:val="22"/>
          <w:szCs w:val="22"/>
          <w:rtl w:val="0"/>
          <w:lang w:val="it-IT"/>
        </w:rPr>
        <w:t>In vitro</w:t>
      </w:r>
      <w:r>
        <w:rPr>
          <w:rStyle w:val="None A"/>
          <w:rFonts w:ascii="Arial" w:hAnsi="Arial"/>
          <w:sz w:val="22"/>
          <w:szCs w:val="22"/>
          <w:rtl w:val="0"/>
          <w:lang w:val="en-US"/>
        </w:rPr>
        <w:t xml:space="preserve"> growth curves validating identified growth nutrients from network analysis. In gray is a control curve in which amino acids are the only possible source of carbon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One metabolite that is consistently important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and at least one metabolite indicated as distinctly important from each group supported growth significantly more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 &lt;&lt; 0.001) than No Carbohydrates (+ Amino acids) control.</w:t>
      </w:r>
      <w:bookmarkEnd w:id="13"/>
      <w:r>
        <w:rPr>
          <w:rStyle w:val="None A"/>
          <w:rFonts w:ascii="Arial" w:hAnsi="Arial"/>
          <w:sz w:val="22"/>
          <w:szCs w:val="22"/>
          <w:rtl w:val="0"/>
          <w:lang w:val="en-US"/>
        </w:rPr>
        <w:t xml:space="preserve"> Only those carbon sources that significantly improved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over controls are displayed (remainder are located in Table S4). </w:t>
      </w:r>
      <w:bookmarkStart w:name="MathJaxElement43Frame510" w:id="14"/>
      <w:r>
        <w:rPr>
          <w:rStyle w:val="None A"/>
          <w:rFonts w:ascii="Arial" w:hAnsi="Arial"/>
          <w:sz w:val="22"/>
          <w:szCs w:val="22"/>
          <w:rtl w:val="0"/>
          <w:lang w:val="en-US"/>
        </w:rPr>
        <w:t>Significant differences were calculated using 2-Way ANOVA with Holm-Bonferroni correction.</w:t>
      </w:r>
    </w:p>
    <w:p>
      <w:pPr>
        <w:pStyle w:val="Default"/>
        <w:spacing w:line="480" w:lineRule="auto"/>
        <w:jc w:val="both"/>
        <w:rPr>
          <w:rStyle w:val="Hyperlink.2"/>
        </w:rPr>
      </w:pPr>
    </w:p>
    <w:p>
      <w:pPr>
        <w:pStyle w:val="Default"/>
        <w:spacing w:line="480" w:lineRule="auto"/>
        <w:jc w:val="both"/>
      </w:pPr>
      <w:r>
        <w:rPr>
          <w:rStyle w:val="None A"/>
          <w:rFonts w:ascii="Arial" w:hAnsi="Arial"/>
          <w:b w:val="1"/>
          <w:bCs w:val="1"/>
          <w:sz w:val="22"/>
          <w:szCs w:val="22"/>
          <w:rtl w:val="0"/>
          <w:lang w:val="en-US"/>
        </w:rPr>
        <w:t xml:space="preserve">Supplementary Figure 1 | Expression of specific KEGG gene families. </w:t>
      </w:r>
      <w:r>
        <w:rPr>
          <w:rStyle w:val="Hyperlink.2"/>
          <w:rtl w:val="0"/>
          <w:lang w:val="en-US"/>
        </w:rPr>
        <w:t xml:space="preserve">Abundances of normalized transcriptomic reads from </w:t>
      </w:r>
      <w:r>
        <w:rPr>
          <w:rStyle w:val="None A"/>
          <w:rFonts w:ascii="Arial" w:hAnsi="Arial"/>
          <w:i w:val="1"/>
          <w:iCs w:val="1"/>
          <w:sz w:val="22"/>
          <w:szCs w:val="22"/>
          <w:rtl w:val="0"/>
          <w:lang w:val="en-US"/>
        </w:rPr>
        <w:t>C. difficile</w:t>
      </w:r>
      <w:r>
        <w:rPr>
          <w:rStyle w:val="Hyperlink.2"/>
          <w:rtl w:val="0"/>
          <w:lang w:val="en-US"/>
        </w:rPr>
        <w:t xml:space="preserve"> 630 in each tested condition. </w:t>
      </w:r>
      <w:r>
        <w:rPr>
          <w:rStyle w:val="None A"/>
          <w:rFonts w:ascii="Arial" w:hAnsi="Arial"/>
          <w:b w:val="1"/>
          <w:bCs w:val="1"/>
          <w:sz w:val="22"/>
          <w:szCs w:val="22"/>
          <w:rtl w:val="0"/>
          <w:lang w:val="en-US"/>
        </w:rPr>
        <w:t>(a)</w:t>
      </w:r>
      <w:r>
        <w:rPr>
          <w:rStyle w:val="Hyperlink.2"/>
          <w:rtl w:val="0"/>
          <w:lang w:val="en-US"/>
        </w:rPr>
        <w:t xml:space="preserve"> All KEGG families. </w:t>
      </w:r>
      <w:r>
        <w:rPr>
          <w:rStyle w:val="None A"/>
          <w:rFonts w:ascii="Arial" w:hAnsi="Arial"/>
          <w:b w:val="1"/>
          <w:bCs w:val="1"/>
          <w:sz w:val="22"/>
          <w:szCs w:val="22"/>
          <w:rtl w:val="0"/>
          <w:lang w:val="en-US"/>
        </w:rPr>
        <w:t>(b)</w:t>
      </w:r>
      <w:r>
        <w:rPr>
          <w:rStyle w:val="Hyperlink.2"/>
          <w:rtl w:val="0"/>
          <w:lang w:val="en-US"/>
        </w:rPr>
        <w:t xml:space="preserve"> Carbohydrate metabolism. </w:t>
      </w:r>
      <w:r>
        <w:rPr>
          <w:rStyle w:val="None A"/>
          <w:rFonts w:ascii="Arial" w:hAnsi="Arial"/>
          <w:b w:val="1"/>
          <w:bCs w:val="1"/>
          <w:sz w:val="22"/>
          <w:szCs w:val="22"/>
          <w:rtl w:val="0"/>
          <w:lang w:val="en-US"/>
        </w:rPr>
        <w:t>(c)</w:t>
      </w:r>
      <w:r>
        <w:rPr>
          <w:rStyle w:val="Hyperlink.2"/>
          <w:rtl w:val="0"/>
          <w:lang w:val="en-US"/>
        </w:rPr>
        <w:t xml:space="preserve"> Amino acid metabolism.</w:t>
      </w:r>
    </w:p>
    <w:p>
      <w:pPr>
        <w:pStyle w:val="Default"/>
        <w:spacing w:line="480" w:lineRule="auto"/>
        <w:jc w:val="both"/>
        <w:rPr>
          <w:rStyle w:val="Hyperlink.2"/>
        </w:rPr>
      </w:pPr>
    </w:p>
    <w:p>
      <w:pPr>
        <w:pStyle w:val="Default"/>
        <w:spacing w:line="480" w:lineRule="auto"/>
        <w:jc w:val="both"/>
        <w:rPr>
          <w:rStyle w:val="Hyperlink.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In vivo</w:t>
      </w:r>
      <w:r>
        <w:rPr>
          <w:rStyle w:val="None A"/>
          <w:rFonts w:ascii="Arial" w:hAnsi="Arial"/>
          <w:b w:val="1"/>
          <w:bCs w:val="1"/>
          <w:sz w:val="22"/>
          <w:szCs w:val="22"/>
          <w:rtl w:val="0"/>
          <w:lang w:val="en-US"/>
        </w:rPr>
        <w:t xml:space="preserve"> acetate concentrations with HPLC analysis from cefoperazone-treated mouse cecal content. </w:t>
      </w:r>
      <w:r>
        <w:rPr>
          <w:rStyle w:val="Hyperlink.2"/>
          <w:rtl w:val="0"/>
          <w:lang w:val="en-US"/>
        </w:rPr>
        <w:t xml:space="preserve">2 groups of 5 mice each were pretreated with cefoperazone as outlined Fig. 1b. </w:t>
      </w:r>
    </w:p>
    <w:p>
      <w:pPr>
        <w:pStyle w:val="Default"/>
        <w:spacing w:line="480" w:lineRule="auto"/>
        <w:jc w:val="both"/>
        <w:rPr>
          <w:rStyle w:val="Hyperlink.2"/>
        </w:rPr>
      </w:pPr>
    </w:p>
    <w:p>
      <w:pPr>
        <w:pStyle w:val="Default"/>
        <w:spacing w:line="480" w:lineRule="auto"/>
        <w:jc w:val="both"/>
      </w:pPr>
    </w:p>
    <w:p>
      <w:pPr>
        <w:pStyle w:val="Default"/>
        <w:spacing w:line="480" w:lineRule="auto"/>
        <w:ind w:left="480" w:hanging="480"/>
        <w:jc w:val="both"/>
      </w:pPr>
    </w:p>
    <w:p>
      <w:pPr>
        <w:pStyle w:val="Default"/>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Supplementary Figure 3 |  Additional growth curves for additional carbon sources and controls.</w:t>
      </w:r>
      <w:r>
        <w:rPr>
          <w:rStyle w:val="Hyperlink.2"/>
          <w:rtl w:val="0"/>
          <w:lang w:val="en-US"/>
        </w:rPr>
        <w:t xml:space="preserve"> Significant metabolites from network analysis that did not provide improved growth over No Carbohydrate control. Also included is the negative control of minimal media with no amino acids as well as </w:t>
      </w:r>
      <w:r>
        <w:rPr>
          <w:rStyle w:val="None A"/>
          <w:rFonts w:ascii="Arial" w:hAnsi="Arial"/>
          <w:i w:val="1"/>
          <w:iCs w:val="1"/>
          <w:sz w:val="22"/>
          <w:szCs w:val="22"/>
          <w:rtl w:val="0"/>
          <w:lang w:val="en-US"/>
        </w:rPr>
        <w:t>C. difficile</w:t>
      </w:r>
      <w:r>
        <w:rPr>
          <w:rStyle w:val="Hyperlink.2"/>
          <w:rtl w:val="0"/>
          <w:lang w:val="en-US"/>
        </w:rPr>
        <w:t xml:space="preserve"> growth in standard Brain-Heart Infusion broth.</w:t>
      </w:r>
    </w:p>
    <w:p>
      <w:pPr>
        <w:pStyle w:val="Default"/>
        <w:spacing w:line="480" w:lineRule="auto"/>
        <w:ind w:left="480" w:hanging="480"/>
        <w:jc w:val="both"/>
      </w:pPr>
    </w:p>
    <w:p>
      <w:pPr>
        <w:pStyle w:val="Default"/>
        <w:spacing w:line="480" w:lineRule="auto"/>
        <w:jc w:val="both"/>
      </w:pPr>
      <w:r>
        <w:rPr>
          <w:rStyle w:val="None A"/>
          <w:rFonts w:ascii="Arial" w:hAnsi="Arial"/>
          <w:b w:val="1"/>
          <w:bCs w:val="1"/>
          <w:sz w:val="22"/>
          <w:szCs w:val="22"/>
          <w:rtl w:val="0"/>
          <w:lang w:val="en-US"/>
        </w:rPr>
        <w:t>Supplementary Table 1 |  Sets of genes included in Figure 4 with normalized abundances and citations.</w:t>
      </w:r>
    </w:p>
    <w:p>
      <w:pPr>
        <w:pStyle w:val="Default"/>
        <w:spacing w:line="480" w:lineRule="auto"/>
        <w:ind w:left="480" w:hanging="480"/>
        <w:jc w:val="both"/>
      </w:pPr>
    </w:p>
    <w:p>
      <w:pPr>
        <w:pStyle w:val="Default"/>
        <w:spacing w:line="480" w:lineRule="auto"/>
        <w:ind w:left="480" w:hanging="480"/>
        <w:jc w:val="both"/>
      </w:pPr>
      <w:r>
        <w:rPr>
          <w:rStyle w:val="None A"/>
          <w:rFonts w:ascii="Arial" w:hAnsi="Arial"/>
          <w:b w:val="1"/>
          <w:bCs w:val="1"/>
          <w:sz w:val="22"/>
          <w:szCs w:val="22"/>
          <w:rtl w:val="0"/>
          <w:lang w:val="en-US"/>
        </w:rPr>
        <w:t xml:space="preserve">Supplementary Table 2 |  Topology metrics for enzyme and metabolite nodes in the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metabolic network.</w:t>
      </w:r>
    </w:p>
    <w:p>
      <w:pPr>
        <w:pStyle w:val="Default"/>
        <w:spacing w:line="480" w:lineRule="auto"/>
        <w:ind w:left="480" w:hanging="480"/>
        <w:jc w:val="both"/>
        <w:rPr>
          <w:rFonts w:ascii="Arial" w:cs="Arial" w:hAnsi="Arial" w:eastAsia="Arial"/>
          <w:b w:val="1"/>
          <w:bCs w:val="1"/>
          <w:sz w:val="22"/>
          <w:szCs w:val="22"/>
        </w:rPr>
      </w:pPr>
    </w:p>
    <w:p>
      <w:pPr>
        <w:pStyle w:val="Default"/>
        <w:spacing w:line="480" w:lineRule="auto"/>
        <w:ind w:left="480" w:hanging="480"/>
        <w:jc w:val="both"/>
      </w:pPr>
      <w:r>
        <w:rPr>
          <w:rStyle w:val="None A"/>
          <w:rFonts w:ascii="Arial" w:hAnsi="Arial"/>
          <w:b w:val="1"/>
          <w:bCs w:val="1"/>
          <w:sz w:val="22"/>
          <w:szCs w:val="22"/>
          <w:rtl w:val="0"/>
          <w:lang w:val="en-US"/>
        </w:rPr>
        <w:t xml:space="preserve">Supplementary Table 3 |  All metabolites with </w:t>
      </w:r>
      <w:bookmarkEnd w:id="14"/>
      <w:bookmarkStart w:name="MathJaxElement43Frame5101" w:id="15"/>
      <w:r>
        <w:rPr>
          <w:rStyle w:val="None A"/>
          <w:rFonts w:ascii="Arial" w:hAnsi="Arial"/>
          <w:b w:val="1"/>
          <w:bCs w:val="1"/>
          <w:sz w:val="22"/>
          <w:szCs w:val="22"/>
          <w:rtl w:val="0"/>
          <w:lang w:val="en-US"/>
        </w:rPr>
        <w:t xml:space="preserve">significant important </w:t>
      </w:r>
      <w:bookmarkEnd w:id="15"/>
      <w:r>
        <w:rPr>
          <w:rStyle w:val="None A"/>
          <w:rFonts w:ascii="Arial" w:hAnsi="Arial"/>
          <w:b w:val="1"/>
          <w:bCs w:val="1"/>
          <w:sz w:val="22"/>
          <w:szCs w:val="22"/>
          <w:rtl w:val="0"/>
          <w:lang w:val="en-US"/>
        </w:rPr>
        <w:t xml:space="preserve">scores </w:t>
      </w:r>
      <w:bookmarkStart w:name="MathJaxElement43Frame5102" w:id="16"/>
      <w:r>
        <w:rPr>
          <w:rStyle w:val="None A"/>
          <w:rFonts w:ascii="Arial" w:hAnsi="Arial"/>
          <w:b w:val="1"/>
          <w:bCs w:val="1"/>
          <w:sz w:val="22"/>
          <w:szCs w:val="22"/>
          <w:rtl w:val="0"/>
          <w:lang w:val="en-US"/>
        </w:rPr>
        <w:t xml:space="preserve">for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in each colonized condition.</w:t>
      </w:r>
    </w:p>
    <w:p>
      <w:pPr>
        <w:pStyle w:val="Default"/>
        <w:spacing w:line="480" w:lineRule="auto"/>
        <w:jc w:val="both"/>
      </w:pPr>
    </w:p>
    <w:p>
      <w:pPr>
        <w:pStyle w:val="Default"/>
        <w:spacing w:line="480" w:lineRule="auto"/>
        <w:ind w:left="480" w:hanging="480"/>
        <w:jc w:val="both"/>
      </w:pPr>
      <w:r>
        <w:rPr>
          <w:rStyle w:val="None A"/>
          <w:rFonts w:ascii="Arial" w:hAnsi="Arial"/>
          <w:b w:val="1"/>
          <w:bCs w:val="1"/>
          <w:sz w:val="22"/>
          <w:szCs w:val="22"/>
          <w:rtl w:val="0"/>
          <w:lang w:val="en-US"/>
        </w:rPr>
        <w:t>Supplementary Table 4 |  Growth curve analysis for each tested carbon source.</w:t>
      </w:r>
    </w:p>
    <w:p>
      <w:pPr>
        <w:pStyle w:val="Default"/>
        <w:spacing w:line="480" w:lineRule="auto"/>
        <w:jc w:val="both"/>
        <w:rPr>
          <w:rFonts w:ascii="Arial" w:cs="Arial" w:hAnsi="Arial" w:eastAsia="Arial"/>
          <w:b w:val="1"/>
          <w:bCs w:val="1"/>
          <w:sz w:val="22"/>
          <w:szCs w:val="22"/>
        </w:rPr>
      </w:pPr>
    </w:p>
    <w:p>
      <w:pPr>
        <w:pStyle w:val="Default"/>
        <w:spacing w:line="480" w:lineRule="auto"/>
        <w:jc w:val="both"/>
        <w:rPr>
          <w:rFonts w:ascii="Arial" w:cs="Arial" w:hAnsi="Arial" w:eastAsia="Arial"/>
          <w:b w:val="1"/>
          <w:bCs w:val="1"/>
          <w:sz w:val="22"/>
          <w:szCs w:val="22"/>
        </w:rPr>
      </w:pPr>
    </w:p>
    <w:p>
      <w:pPr>
        <w:pStyle w:val="Default"/>
        <w:spacing w:line="480" w:lineRule="auto"/>
        <w:jc w:val="both"/>
      </w:pPr>
      <w:r>
        <w:rPr>
          <w:rStyle w:val="None A"/>
          <w:rFonts w:ascii="Arial" w:hAnsi="Arial"/>
          <w:b w:val="1"/>
          <w:bCs w:val="1"/>
          <w:sz w:val="22"/>
          <w:szCs w:val="22"/>
          <w:rtl w:val="0"/>
          <w:lang w:val="en-US"/>
        </w:rPr>
        <w:t>Acknowledgments</w:t>
      </w:r>
    </w:p>
    <w:p>
      <w:pPr>
        <w:pStyle w:val="Default"/>
        <w:spacing w:line="480" w:lineRule="auto"/>
        <w:jc w:val="both"/>
      </w:pPr>
      <w:r>
        <w:rPr>
          <w:rStyle w:val="Hyperlink.2"/>
          <w:rtl w:val="0"/>
          <w:lang w:val="en-US"/>
        </w:rPr>
        <w:t>The authors would like to acknowledge members of the University of Michigan Germ free Mouse Center, Sequencing Core, and Metabolomics Core for their assistance in experimental design, execution, and data collection.</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Conflict of Interest</w:t>
      </w:r>
    </w:p>
    <w:p>
      <w:pPr>
        <w:pStyle w:val="Default"/>
        <w:spacing w:line="480" w:lineRule="auto"/>
        <w:jc w:val="both"/>
      </w:pPr>
      <w:r>
        <w:rPr>
          <w:rStyle w:val="Hyperlink.2"/>
          <w:rtl w:val="0"/>
          <w:lang w:val="en-US"/>
        </w:rPr>
        <w:t>The authors declare no conflict of interest.</w:t>
      </w:r>
    </w:p>
    <w:p>
      <w:pPr>
        <w:pStyle w:val="Default"/>
        <w:spacing w:line="480" w:lineRule="auto"/>
        <w:jc w:val="both"/>
        <w:rPr>
          <w:rFonts w:ascii="Arial" w:cs="Arial" w:hAnsi="Arial" w:eastAsia="Arial"/>
          <w:sz w:val="22"/>
          <w:szCs w:val="22"/>
        </w:rPr>
      </w:pPr>
    </w:p>
    <w:p>
      <w:pPr>
        <w:pStyle w:val="Default"/>
        <w:spacing w:line="480" w:lineRule="auto"/>
        <w:jc w:val="both"/>
      </w:pPr>
      <w:r>
        <w:rPr>
          <w:rStyle w:val="None A"/>
          <w:rFonts w:ascii="Arial" w:hAnsi="Arial"/>
          <w:b w:val="1"/>
          <w:bCs w:val="1"/>
          <w:sz w:val="22"/>
          <w:szCs w:val="22"/>
          <w:rtl w:val="0"/>
          <w:lang w:val="en-US"/>
        </w:rPr>
        <w:t>References</w:t>
      </w:r>
    </w:p>
    <w:p>
      <w:pPr>
        <w:pStyle w:val="Text body"/>
        <w:ind w:left="480" w:hanging="480"/>
      </w:pPr>
      <w:r>
        <w:rPr>
          <w:rStyle w:val="None A"/>
          <w:rFonts w:ascii="Arial" w:hAnsi="Arial"/>
          <w:sz w:val="18"/>
          <w:szCs w:val="18"/>
          <w:rtl w:val="0"/>
          <w:lang w:val="en-US"/>
        </w:rPr>
        <w:t xml:space="preserve">1. 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ind w:left="480" w:hanging="480"/>
      </w:pPr>
      <w:r>
        <w:rPr>
          <w:rStyle w:val="None A"/>
          <w:rFonts w:ascii="Arial" w:hAnsi="Arial"/>
          <w:sz w:val="18"/>
          <w:szCs w:val="18"/>
          <w:rtl w:val="0"/>
          <w:lang w:val="en-US"/>
        </w:rPr>
        <w:t xml:space="preserve">2. 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ind w:left="480" w:hanging="480"/>
      </w:pPr>
      <w:r>
        <w:rPr>
          <w:rStyle w:val="None A"/>
          <w:rFonts w:ascii="Arial" w:hAnsi="Arial"/>
          <w:sz w:val="18"/>
          <w:szCs w:val="18"/>
          <w:rtl w:val="0"/>
          <w:lang w:val="en-US"/>
        </w:rPr>
        <w:t xml:space="preserve">3.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4. 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ind w:left="480" w:hanging="480"/>
      </w:pPr>
      <w:r>
        <w:rPr>
          <w:rStyle w:val="None A"/>
          <w:rFonts w:ascii="Arial" w:hAnsi="Arial"/>
          <w:sz w:val="18"/>
          <w:szCs w:val="18"/>
          <w:rtl w:val="0"/>
          <w:lang w:val="en-US"/>
        </w:rPr>
        <w:t xml:space="preserve">5. 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ind w:left="480" w:hanging="480"/>
      </w:pPr>
      <w:r>
        <w:rPr>
          <w:rStyle w:val="None A"/>
          <w:rFonts w:ascii="Arial" w:hAnsi="Arial"/>
          <w:sz w:val="18"/>
          <w:szCs w:val="18"/>
          <w:rtl w:val="0"/>
          <w:lang w:val="en-US"/>
        </w:rPr>
        <w:t>6. 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ind w:left="480" w:hanging="480"/>
      </w:pPr>
      <w:r>
        <w:rPr>
          <w:rStyle w:val="None A"/>
          <w:rFonts w:ascii="Arial" w:hAnsi="Arial"/>
          <w:sz w:val="18"/>
          <w:szCs w:val="18"/>
          <w:rtl w:val="0"/>
          <w:lang w:val="en-US"/>
        </w:rPr>
        <w:t xml:space="preserve">7.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8.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9. 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ind w:left="480" w:hanging="480"/>
      </w:pPr>
      <w:r>
        <w:rPr>
          <w:rStyle w:val="None A"/>
          <w:rFonts w:ascii="Arial" w:hAnsi="Arial"/>
          <w:sz w:val="18"/>
          <w:szCs w:val="18"/>
          <w:rtl w:val="0"/>
          <w:lang w:val="en-US"/>
        </w:rPr>
        <w:t xml:space="preserve">10. 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ind w:left="480" w:hanging="480"/>
      </w:pPr>
      <w:r>
        <w:rPr>
          <w:rStyle w:val="None A"/>
          <w:rFonts w:ascii="Arial" w:hAnsi="Arial"/>
          <w:sz w:val="18"/>
          <w:szCs w:val="18"/>
          <w:rtl w:val="0"/>
          <w:lang w:val="en-US"/>
        </w:rPr>
        <w:t xml:space="preserve">11. 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ind w:left="480" w:hanging="480"/>
      </w:pPr>
      <w:r>
        <w:rPr>
          <w:rStyle w:val="None A"/>
          <w:rFonts w:ascii="Arial" w:hAnsi="Arial"/>
          <w:sz w:val="18"/>
          <w:szCs w:val="18"/>
          <w:rtl w:val="0"/>
          <w:lang w:val="en-US"/>
        </w:rPr>
        <w:t>12. 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ind w:left="480" w:hanging="480"/>
      </w:pPr>
      <w:r>
        <w:rPr>
          <w:rStyle w:val="None A"/>
          <w:rFonts w:ascii="Arial" w:hAnsi="Arial"/>
          <w:sz w:val="18"/>
          <w:szCs w:val="18"/>
          <w:rtl w:val="0"/>
          <w:lang w:val="en-US"/>
        </w:rPr>
        <w:t xml:space="preserve">13. 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ind w:left="480" w:hanging="480"/>
      </w:pPr>
      <w:r>
        <w:rPr>
          <w:rStyle w:val="None A"/>
          <w:rFonts w:ascii="Arial" w:hAnsi="Arial"/>
          <w:sz w:val="18"/>
          <w:szCs w:val="18"/>
          <w:rtl w:val="0"/>
          <w:lang w:val="en-US"/>
        </w:rPr>
        <w:t xml:space="preserve">14. 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ind w:left="480" w:hanging="480"/>
      </w:pPr>
      <w:r>
        <w:rPr>
          <w:rStyle w:val="None A"/>
          <w:rFonts w:ascii="Arial" w:hAnsi="Arial"/>
          <w:sz w:val="18"/>
          <w:szCs w:val="18"/>
          <w:rtl w:val="0"/>
          <w:lang w:val="en-US"/>
        </w:rPr>
        <w:t xml:space="preserve">15. 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ind w:left="480" w:hanging="480"/>
      </w:pPr>
      <w:r>
        <w:rPr>
          <w:rStyle w:val="None A"/>
          <w:rFonts w:ascii="Arial" w:hAnsi="Arial"/>
          <w:sz w:val="18"/>
          <w:szCs w:val="18"/>
          <w:rtl w:val="0"/>
          <w:lang w:val="en-US"/>
        </w:rPr>
        <w:t xml:space="preserve">16. 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ind w:left="480" w:hanging="480"/>
      </w:pPr>
      <w:r>
        <w:rPr>
          <w:rStyle w:val="None A"/>
          <w:rFonts w:ascii="Arial" w:hAnsi="Arial"/>
          <w:sz w:val="18"/>
          <w:szCs w:val="18"/>
          <w:rtl w:val="0"/>
          <w:lang w:val="en-US"/>
        </w:rPr>
        <w:t xml:space="preserve">17. 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ind w:left="480" w:hanging="480"/>
      </w:pPr>
      <w:r>
        <w:rPr>
          <w:rStyle w:val="None A"/>
          <w:rFonts w:ascii="Arial" w:hAnsi="Arial"/>
          <w:sz w:val="18"/>
          <w:szCs w:val="18"/>
          <w:rtl w:val="0"/>
          <w:lang w:val="en-US"/>
        </w:rPr>
        <w:t xml:space="preserve">18. 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ind w:left="480" w:hanging="480"/>
      </w:pPr>
      <w:r>
        <w:rPr>
          <w:rStyle w:val="None A"/>
          <w:rFonts w:ascii="Arial" w:hAnsi="Arial"/>
          <w:sz w:val="18"/>
          <w:szCs w:val="18"/>
          <w:rtl w:val="0"/>
          <w:lang w:val="en-US"/>
        </w:rPr>
        <w:t xml:space="preserve">19. 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ind w:left="480" w:hanging="480"/>
      </w:pPr>
      <w:r>
        <w:rPr>
          <w:rStyle w:val="None A"/>
          <w:rFonts w:ascii="Arial" w:hAnsi="Arial"/>
          <w:sz w:val="18"/>
          <w:szCs w:val="18"/>
          <w:rtl w:val="0"/>
          <w:lang w:val="en-US"/>
        </w:rPr>
        <w:t xml:space="preserve">20.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21. 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ind w:left="480" w:hanging="480"/>
      </w:pPr>
      <w:r>
        <w:rPr>
          <w:rStyle w:val="None A"/>
          <w:rFonts w:ascii="Arial" w:hAnsi="Arial"/>
          <w:sz w:val="18"/>
          <w:szCs w:val="18"/>
          <w:rtl w:val="0"/>
          <w:lang w:val="en-US"/>
        </w:rPr>
        <w:t xml:space="preserve">22. 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23. 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24. 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25. Hundsberger, T., Braun, V., Weidmann, M., Leukel, P., Sauerborn, M., &amp; von Eichel-Streiber, C. (1997). Transcription </w:t>
        <w:tab/>
        <w:t xml:space="preserve">analysis </w:t>
      </w:r>
      <w:r>
        <w:rPr>
          <w:rStyle w:val="None A"/>
          <w:rFonts w:ascii="Arial" w:hAnsi="Arial"/>
          <w:sz w:val="18"/>
          <w:szCs w:val="18"/>
          <w:rtl w:val="0"/>
          <w:lang w:val="en-US"/>
        </w:rPr>
        <w:t xml:space="preserve">of the genes tcdA-E of the pathogenicity locus of Clostridium difficile. </w:t>
      </w:r>
      <w:r>
        <w:rPr>
          <w:rStyle w:val="None A"/>
          <w:rFonts w:ascii="Arial" w:hAnsi="Arial"/>
          <w:i w:val="1"/>
          <w:iCs w:val="1"/>
          <w:sz w:val="18"/>
          <w:szCs w:val="18"/>
          <w:rtl w:val="0"/>
          <w:lang w:val="en-US"/>
        </w:rPr>
        <w:t xml:space="preserve">European Journal of Biochemistry / </w:t>
        <w:tab/>
        <w:t>FEBS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fr-FR"/>
        </w:rPr>
        <w:t>26. Janoir, C., Den</w:t>
      </w:r>
      <w:r>
        <w:rPr>
          <w:rStyle w:val="None A"/>
          <w:rFonts w:ascii="Arial" w:hAnsi="Arial" w:hint="default"/>
          <w:sz w:val="18"/>
          <w:szCs w:val="18"/>
          <w:rtl w:val="0"/>
          <w:lang w:val="fr-FR"/>
        </w:rPr>
        <w:t>è</w:t>
      </w:r>
      <w:r>
        <w:rPr>
          <w:rStyle w:val="None A"/>
          <w:rFonts w:ascii="Arial" w:hAnsi="Arial"/>
          <w:sz w:val="18"/>
          <w:szCs w:val="18"/>
          <w:rtl w:val="0"/>
          <w:lang w:val="en-US"/>
        </w:rPr>
        <w:t xml:space="preserve">ve, C., Bouttier, S., Barbut, F., Hoys, S., Caleechum, L., &amp; Dupuy, B. (2013). Adaptive strategies and </w:t>
        <w:tab/>
        <w:t xml:space="preserve">pathogenesis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27. 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ind w:left="480" w:hanging="480"/>
      </w:pPr>
      <w:r>
        <w:rPr>
          <w:rStyle w:val="None A"/>
          <w:rFonts w:ascii="Arial" w:hAnsi="Arial"/>
          <w:sz w:val="18"/>
          <w:szCs w:val="18"/>
          <w:rtl w:val="0"/>
          <w:lang w:val="en-US"/>
        </w:rPr>
        <w:t xml:space="preserve">28.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ind w:left="480" w:hanging="480"/>
      </w:pPr>
      <w:r>
        <w:rPr>
          <w:rStyle w:val="None A"/>
          <w:rFonts w:ascii="Arial" w:hAnsi="Arial"/>
          <w:sz w:val="18"/>
          <w:szCs w:val="18"/>
          <w:rtl w:val="0"/>
          <w:lang w:val="en-US"/>
        </w:rPr>
        <w:t xml:space="preserve">29. 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p>
    <w:p>
      <w:pPr>
        <w:pStyle w:val="Default"/>
        <w:widowControl w:va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30. Kansau, I., Barketi-Klai, A., Monot, M., Hoy, S., Dupuy, B., &amp; Janoir, C. (2016). Deciphering Adaptation Strategies of the </w:t>
        <w:tab/>
        <w:t xml:space="preserve">Epidemic Clostridium difficile 027 Strain during Infection through In Vivo Transcriptional Analysis. </w:t>
      </w:r>
      <w:r>
        <w:rPr>
          <w:rStyle w:val="None A"/>
          <w:rFonts w:ascii="Arial" w:hAnsi="Arial"/>
          <w:i w:val="1"/>
          <w:iCs w:val="1"/>
          <w:sz w:val="18"/>
          <w:szCs w:val="18"/>
          <w:rtl w:val="0"/>
          <w:lang w:val="de-DE"/>
        </w:rPr>
        <w:t>PLoS ONE</w:t>
      </w:r>
      <w:r>
        <w:rPr>
          <w:rStyle w:val="None A"/>
          <w:rFonts w:ascii="Arial" w:hAnsi="Arial"/>
          <w:sz w:val="18"/>
          <w:szCs w:val="18"/>
          <w:rtl w:val="0"/>
          <w:lang w:val="en-US"/>
        </w:rPr>
        <w:t xml:space="preserve">, 11(6). </w:t>
        <w:tab/>
        <w:t>http://dx.doi.org/10.1371/journal.pone.0158204</w:t>
      </w:r>
    </w:p>
    <w:p>
      <w:pPr>
        <w:pStyle w:val="Text body"/>
        <w:ind w:left="480" w:hanging="480"/>
        <w:rPr>
          <w:rFonts w:ascii="Arial" w:cs="Arial" w:hAnsi="Arial" w:eastAsia="Arial"/>
          <w:sz w:val="18"/>
          <w:szCs w:val="18"/>
        </w:rPr>
      </w:pPr>
    </w:p>
    <w:p>
      <w:pPr>
        <w:pStyle w:val="Text body"/>
        <w:ind w:left="480" w:hanging="480"/>
      </w:pPr>
      <w:r>
        <w:rPr>
          <w:rStyle w:val="None A"/>
          <w:rFonts w:ascii="Arial" w:hAnsi="Arial"/>
          <w:sz w:val="18"/>
          <w:szCs w:val="18"/>
          <w:rtl w:val="0"/>
          <w:lang w:val="en-US"/>
        </w:rPr>
        <w:t xml:space="preserve">31. 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ind w:left="480" w:hanging="480"/>
      </w:pPr>
      <w:r>
        <w:rPr>
          <w:rStyle w:val="None A"/>
          <w:rFonts w:ascii="Arial" w:hAnsi="Arial"/>
          <w:sz w:val="18"/>
          <w:szCs w:val="18"/>
          <w:rtl w:val="0"/>
          <w:lang w:val="en-US"/>
        </w:rPr>
        <w:t xml:space="preserve">32. 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ind w:left="480" w:hanging="480"/>
      </w:pPr>
      <w:r>
        <w:rPr>
          <w:rStyle w:val="None A"/>
          <w:rFonts w:ascii="Arial" w:hAnsi="Arial"/>
          <w:sz w:val="18"/>
          <w:szCs w:val="18"/>
          <w:rtl w:val="0"/>
          <w:lang w:val="en-US"/>
        </w:rPr>
        <w:t xml:space="preserve">33. Karlsson, S., Burman, L. G., &amp; </w:t>
      </w:r>
      <w:r>
        <w:rPr>
          <w:rStyle w:val="None A"/>
          <w:rFonts w:ascii="Arial" w:hAnsi="Arial" w:hint="default"/>
          <w:sz w:val="18"/>
          <w:szCs w:val="18"/>
          <w:rtl w:val="0"/>
          <w:lang w:val="en-US"/>
        </w:rPr>
        <w:t>Å</w:t>
      </w:r>
      <w:r>
        <w:rPr>
          <w:rStyle w:val="None A"/>
          <w:rFonts w:ascii="Arial" w:hAnsi="Arial"/>
          <w:sz w:val="18"/>
          <w:szCs w:val="18"/>
          <w:rtl w:val="0"/>
          <w:lang w:val="en-US"/>
        </w:rPr>
        <w:t>kerlund, T. (2008). Induction of toxins in Clostridium difficile is associated with dramatic changes of its metabolism. Microbiology, 154(11), 3430</w:t>
      </w:r>
      <w:r>
        <w:rPr>
          <w:rStyle w:val="None A"/>
          <w:rFonts w:ascii="Arial" w:hAnsi="Arial" w:hint="default"/>
          <w:sz w:val="18"/>
          <w:szCs w:val="18"/>
          <w:rtl w:val="0"/>
          <w:lang w:val="en-US"/>
        </w:rPr>
        <w:t>–</w:t>
      </w:r>
      <w:r>
        <w:rPr>
          <w:rStyle w:val="None A"/>
          <w:rFonts w:ascii="Arial" w:hAnsi="Arial"/>
          <w:sz w:val="18"/>
          <w:szCs w:val="18"/>
          <w:rtl w:val="0"/>
          <w:lang w:val="en-US"/>
        </w:rPr>
        <w:t>3436. http://doi.org/10.1099/mic.0.2008/019778-0</w:t>
      </w:r>
    </w:p>
    <w:p>
      <w:pPr>
        <w:pStyle w:val="Text body"/>
        <w:ind w:left="480" w:hanging="480"/>
      </w:pPr>
      <w:r>
        <w:rPr>
          <w:rStyle w:val="None A"/>
          <w:rFonts w:ascii="Arial" w:hAnsi="Arial"/>
          <w:sz w:val="18"/>
          <w:szCs w:val="18"/>
          <w:rtl w:val="0"/>
          <w:lang w:val="en-US"/>
        </w:rPr>
        <w:t xml:space="preserve">34. 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ind w:left="480" w:hanging="480"/>
      </w:pPr>
      <w:r>
        <w:rPr>
          <w:rStyle w:val="None A"/>
          <w:rFonts w:ascii="Arial" w:hAnsi="Arial"/>
          <w:sz w:val="18"/>
          <w:szCs w:val="18"/>
          <w:rtl w:val="0"/>
          <w:lang w:val="en-US"/>
        </w:rPr>
        <w:t xml:space="preserve">35. 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ind w:left="480" w:hanging="480"/>
      </w:pPr>
      <w:r>
        <w:rPr>
          <w:rStyle w:val="None A"/>
          <w:rFonts w:ascii="Arial" w:hAnsi="Arial"/>
          <w:sz w:val="18"/>
          <w:szCs w:val="18"/>
          <w:rtl w:val="0"/>
          <w:lang w:val="en-US"/>
        </w:rPr>
        <w:t xml:space="preserve">36. 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ind w:left="480" w:hanging="480"/>
      </w:pPr>
      <w:r>
        <w:rPr>
          <w:rStyle w:val="None A"/>
          <w:rFonts w:ascii="Arial" w:hAnsi="Arial"/>
          <w:sz w:val="18"/>
          <w:szCs w:val="18"/>
          <w:rtl w:val="0"/>
          <w:lang w:val="en-US"/>
        </w:rPr>
        <w:t xml:space="preserve">37. 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ind w:left="480" w:hanging="480"/>
      </w:pPr>
      <w:r>
        <w:rPr>
          <w:rStyle w:val="None A"/>
          <w:rFonts w:ascii="Arial" w:hAnsi="Arial"/>
          <w:sz w:val="18"/>
          <w:szCs w:val="18"/>
          <w:rtl w:val="0"/>
          <w:lang w:val="en-US"/>
        </w:rPr>
        <w:t>38. Lee, A. S. Y., &amp; Song, K. P. (2005). LuxS/autoinducer-2 quorum sensing molecule regulates transcriptional virulence gene expression in Clostridium difficile. Biochemical and Biophysical Research Communications, 335(3), 659</w:t>
      </w:r>
      <w:r>
        <w:rPr>
          <w:rStyle w:val="None A"/>
          <w:rFonts w:ascii="Arial" w:hAnsi="Arial" w:hint="default"/>
          <w:sz w:val="18"/>
          <w:szCs w:val="18"/>
          <w:rtl w:val="0"/>
          <w:lang w:val="en-US"/>
        </w:rPr>
        <w:t>–</w:t>
      </w:r>
      <w:r>
        <w:rPr>
          <w:rStyle w:val="None A"/>
          <w:rFonts w:ascii="Arial" w:hAnsi="Arial"/>
          <w:sz w:val="18"/>
          <w:szCs w:val="18"/>
          <w:rtl w:val="0"/>
          <w:lang w:val="en-US"/>
        </w:rPr>
        <w:t xml:space="preserve">666. http://doi.org/10.1016/j.bbrc.2005.07.131Leffler,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ind w:left="480" w:hanging="480"/>
      </w:pPr>
      <w:r>
        <w:rPr>
          <w:rStyle w:val="None A"/>
          <w:rFonts w:ascii="Arial" w:hAnsi="Arial"/>
          <w:sz w:val="18"/>
          <w:szCs w:val="18"/>
          <w:rtl w:val="0"/>
          <w:lang w:val="en-US"/>
        </w:rPr>
        <w:t xml:space="preserve">39. 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ind w:left="480" w:hanging="480"/>
      </w:pPr>
      <w:r>
        <w:rPr>
          <w:rStyle w:val="None A"/>
          <w:rFonts w:ascii="Arial" w:hAnsi="Arial"/>
          <w:sz w:val="18"/>
          <w:szCs w:val="18"/>
          <w:rtl w:val="0"/>
          <w:lang w:val="en-US"/>
        </w:rPr>
        <w:t xml:space="preserve">40. 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ind w:left="480" w:hanging="480"/>
      </w:pPr>
      <w:r>
        <w:rPr>
          <w:rStyle w:val="None A"/>
          <w:rFonts w:ascii="Arial" w:hAnsi="Arial"/>
          <w:sz w:val="18"/>
          <w:szCs w:val="18"/>
          <w:rtl w:val="0"/>
          <w:lang w:val="en-US"/>
        </w:rPr>
        <w:t xml:space="preserve">41. 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ind w:left="480" w:hanging="480"/>
      </w:pPr>
      <w:r>
        <w:rPr>
          <w:rStyle w:val="None A"/>
          <w:rFonts w:ascii="Arial" w:hAnsi="Arial"/>
          <w:sz w:val="18"/>
          <w:szCs w:val="18"/>
          <w:rtl w:val="0"/>
          <w:lang w:val="en-US"/>
        </w:rPr>
        <w:t xml:space="preserve">42. 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ind w:left="480" w:hanging="480"/>
      </w:pPr>
      <w:r>
        <w:rPr>
          <w:rStyle w:val="None A"/>
          <w:rFonts w:ascii="Arial" w:hAnsi="Arial"/>
          <w:sz w:val="18"/>
          <w:szCs w:val="18"/>
          <w:rtl w:val="0"/>
          <w:lang w:val="en-US"/>
        </w:rPr>
        <w:t>43.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44. 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ind w:left="480" w:hanging="480"/>
      </w:pPr>
      <w:r>
        <w:rPr>
          <w:rStyle w:val="None A"/>
          <w:rFonts w:ascii="Arial" w:hAnsi="Arial"/>
          <w:sz w:val="18"/>
          <w:szCs w:val="18"/>
          <w:rtl w:val="0"/>
          <w:lang w:val="en-US"/>
        </w:rPr>
        <w:t xml:space="preserve">45. 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ind w:left="480" w:hanging="480"/>
      </w:pPr>
      <w:r>
        <w:rPr>
          <w:rStyle w:val="None A"/>
          <w:rFonts w:ascii="Arial" w:hAnsi="Arial"/>
          <w:sz w:val="18"/>
          <w:szCs w:val="18"/>
          <w:rtl w:val="0"/>
          <w:lang w:val="en-US"/>
        </w:rPr>
        <w:t>46. Ma, H. W., &amp; Zeng, A. P. (2003). The connectivity structure, giant strong component and centrality of metabolic networks. Bioinformatics, 19(11), 1423</w:t>
      </w:r>
      <w:r>
        <w:rPr>
          <w:rStyle w:val="None A"/>
          <w:rFonts w:ascii="Arial" w:hAnsi="Arial" w:hint="default"/>
          <w:sz w:val="18"/>
          <w:szCs w:val="18"/>
          <w:rtl w:val="0"/>
          <w:lang w:val="en-US"/>
        </w:rPr>
        <w:t>–</w:t>
      </w:r>
      <w:r>
        <w:rPr>
          <w:rStyle w:val="None A"/>
          <w:rFonts w:ascii="Arial" w:hAnsi="Arial"/>
          <w:sz w:val="18"/>
          <w:szCs w:val="18"/>
          <w:rtl w:val="0"/>
          <w:lang w:val="en-US"/>
        </w:rPr>
        <w:t xml:space="preserve">1430. http://doi.org/10.1093/bioinformatics/btg177Martin,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ind w:left="480" w:hanging="480"/>
      </w:pPr>
      <w:r>
        <w:rPr>
          <w:rStyle w:val="None A"/>
          <w:rFonts w:ascii="Arial" w:hAnsi="Arial"/>
          <w:sz w:val="18"/>
          <w:szCs w:val="18"/>
          <w:rtl w:val="0"/>
          <w:lang w:val="en-US"/>
        </w:rPr>
        <w:t>47.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48. 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ind w:left="480" w:hanging="480"/>
      </w:pPr>
      <w:r>
        <w:rPr>
          <w:rStyle w:val="None A"/>
          <w:rFonts w:ascii="Arial" w:hAnsi="Arial"/>
          <w:sz w:val="18"/>
          <w:szCs w:val="18"/>
          <w:rtl w:val="0"/>
          <w:lang w:val="en-US"/>
        </w:rPr>
        <w:t>49. Martin, M. J., Clare, S., Goulding, D., Faulds-Pain, A., Barquist, L., Browne, H. P., &amp; Wren, B. W. (2013). The agr locus regulates virulence and colonization genes in clostridium difficile 027. Journal of Bacteriology, 195(16), 3672</w:t>
      </w:r>
      <w:r>
        <w:rPr>
          <w:rStyle w:val="None A"/>
          <w:rFonts w:ascii="Arial" w:hAnsi="Arial" w:hint="default"/>
          <w:sz w:val="18"/>
          <w:szCs w:val="18"/>
          <w:rtl w:val="0"/>
          <w:lang w:val="en-US"/>
        </w:rPr>
        <w:t>–</w:t>
      </w:r>
      <w:r>
        <w:rPr>
          <w:rStyle w:val="None A"/>
          <w:rFonts w:ascii="Arial" w:hAnsi="Arial"/>
          <w:sz w:val="18"/>
          <w:szCs w:val="18"/>
          <w:rtl w:val="0"/>
          <w:lang w:val="en-US"/>
        </w:rPr>
        <w:t xml:space="preserve">3681. http://doi.org/10.1128/JB.00473-13Matamouros,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ind w:left="480" w:hanging="480"/>
      </w:pPr>
      <w:r>
        <w:rPr>
          <w:rStyle w:val="None A"/>
          <w:rFonts w:ascii="Arial" w:hAnsi="Arial"/>
          <w:sz w:val="18"/>
          <w:szCs w:val="18"/>
          <w:rtl w:val="0"/>
          <w:lang w:val="en-US"/>
        </w:rPr>
        <w:t>50. Matsumoto, M., Kibe, R., Ooga, T., Aiba, Y., Kurihara, S., Sawaki, E., &amp; Benno, Y. (2012). Impact of intestinal microbiota on intestinal luminal metabolome. Scientific Reports, 2, 233. http://doi.org/10.1038/srep00233</w:t>
      </w:r>
    </w:p>
    <w:p>
      <w:pPr>
        <w:pStyle w:val="Text body"/>
        <w:ind w:left="480" w:hanging="480"/>
      </w:pPr>
      <w:r>
        <w:rPr>
          <w:rStyle w:val="None A"/>
          <w:rFonts w:ascii="Arial" w:hAnsi="Arial"/>
          <w:sz w:val="18"/>
          <w:szCs w:val="18"/>
          <w:rtl w:val="0"/>
          <w:lang w:val="en-US"/>
        </w:rPr>
        <w:t>51. Matsuno, K., &amp; Sonenshein, A. L. (1999). Role of SpoVG in asymmetric septation in Bacillus subtilis. Journal of Bacteriology, 181(11), 3392</w:t>
      </w:r>
      <w:r>
        <w:rPr>
          <w:rStyle w:val="None A"/>
          <w:rFonts w:ascii="Arial" w:hAnsi="Arial" w:hint="default"/>
          <w:sz w:val="18"/>
          <w:szCs w:val="18"/>
          <w:rtl w:val="0"/>
          <w:lang w:val="en-US"/>
        </w:rPr>
        <w:t>–</w:t>
      </w:r>
      <w:r>
        <w:rPr>
          <w:rStyle w:val="None A"/>
          <w:rFonts w:ascii="Arial" w:hAnsi="Arial"/>
          <w:sz w:val="18"/>
          <w:szCs w:val="18"/>
          <w:rtl w:val="0"/>
          <w:lang w:val="en-US"/>
        </w:rPr>
        <w:t>3401.</w:t>
      </w:r>
    </w:p>
    <w:p>
      <w:pPr>
        <w:pStyle w:val="Text body"/>
        <w:ind w:left="480" w:hanging="480"/>
      </w:pPr>
      <w:r>
        <w:rPr>
          <w:rStyle w:val="None A"/>
          <w:rFonts w:ascii="Arial" w:hAnsi="Arial"/>
          <w:sz w:val="18"/>
          <w:szCs w:val="18"/>
          <w:rtl w:val="0"/>
          <w:lang w:val="en-US"/>
        </w:rPr>
        <w:t xml:space="preserve">52. 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ind w:left="480" w:hanging="480"/>
      </w:pPr>
      <w:r>
        <w:rPr>
          <w:rStyle w:val="None A"/>
          <w:rFonts w:ascii="Arial" w:hAnsi="Arial"/>
          <w:sz w:val="18"/>
          <w:szCs w:val="18"/>
          <w:rtl w:val="0"/>
          <w:lang w:val="en-US"/>
        </w:rPr>
        <w:t xml:space="preserve">53. 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ind w:left="480" w:hanging="480"/>
      </w:pPr>
      <w:r>
        <w:rPr>
          <w:rStyle w:val="None A"/>
          <w:rFonts w:ascii="Arial" w:hAnsi="Arial"/>
          <w:sz w:val="18"/>
          <w:szCs w:val="18"/>
          <w:rtl w:val="0"/>
          <w:lang w:val="en-US"/>
        </w:rPr>
        <w:t>54. 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ind w:left="480" w:hanging="480"/>
      </w:pPr>
      <w:r>
        <w:rPr>
          <w:rStyle w:val="None A"/>
          <w:rFonts w:ascii="Arial" w:hAnsi="Arial"/>
          <w:sz w:val="18"/>
          <w:szCs w:val="18"/>
          <w:rtl w:val="0"/>
          <w:lang w:val="en-US"/>
        </w:rPr>
        <w:t xml:space="preserve">55. 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ind w:left="480" w:hanging="480"/>
      </w:pPr>
      <w:r>
        <w:rPr>
          <w:rStyle w:val="None A"/>
          <w:rFonts w:ascii="Arial" w:hAnsi="Arial"/>
          <w:sz w:val="18"/>
          <w:szCs w:val="18"/>
          <w:rtl w:val="0"/>
          <w:lang w:val="en-US"/>
        </w:rPr>
        <w:t xml:space="preserve">56.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57. 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ind w:left="480" w:hanging="480"/>
      </w:pPr>
      <w:r>
        <w:rPr>
          <w:rStyle w:val="None A"/>
          <w:rFonts w:ascii="Arial" w:hAnsi="Arial"/>
          <w:sz w:val="18"/>
          <w:szCs w:val="18"/>
          <w:rtl w:val="0"/>
          <w:lang w:val="en-US"/>
        </w:rPr>
        <w:t xml:space="preserve">58. 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ind w:left="480" w:hanging="480"/>
      </w:pPr>
      <w:r>
        <w:rPr>
          <w:rStyle w:val="None A"/>
          <w:rFonts w:ascii="Arial" w:hAnsi="Arial"/>
          <w:sz w:val="18"/>
          <w:szCs w:val="18"/>
          <w:rtl w:val="0"/>
          <w:lang w:val="en-US"/>
        </w:rPr>
        <w:t>59. 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ind w:left="480" w:hanging="480"/>
      </w:pPr>
      <w:r>
        <w:rPr>
          <w:rStyle w:val="None A"/>
          <w:rFonts w:ascii="Arial" w:hAnsi="Arial"/>
          <w:sz w:val="18"/>
          <w:szCs w:val="18"/>
          <w:rtl w:val="0"/>
          <w:lang w:val="en-US"/>
        </w:rPr>
        <w:t>60. Potapov, A. P., Voss, N., Sasse, N., &amp; Wingender, E. (2005). Topology of mammalian transcription networks. Genome Informatics. International Conference on Genome Informatics, 16(2), 270</w:t>
      </w:r>
      <w:r>
        <w:rPr>
          <w:rStyle w:val="None A"/>
          <w:rFonts w:ascii="Arial" w:hAnsi="Arial" w:hint="default"/>
          <w:sz w:val="18"/>
          <w:szCs w:val="18"/>
          <w:rtl w:val="0"/>
          <w:lang w:val="en-US"/>
        </w:rPr>
        <w:t>–</w:t>
      </w:r>
      <w:r>
        <w:rPr>
          <w:rStyle w:val="None A"/>
          <w:rFonts w:ascii="Arial" w:hAnsi="Arial"/>
          <w:sz w:val="18"/>
          <w:szCs w:val="18"/>
          <w:rtl w:val="0"/>
          <w:lang w:val="en-US"/>
        </w:rPr>
        <w:t xml:space="preserve">278. http://doi.org/162270 [pii]Saujet,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ind w:left="480" w:hanging="480"/>
      </w:pPr>
      <w:r>
        <w:rPr>
          <w:rStyle w:val="None A"/>
          <w:rFonts w:ascii="Arial" w:hAnsi="Arial"/>
          <w:sz w:val="18"/>
          <w:szCs w:val="18"/>
          <w:rtl w:val="0"/>
          <w:lang w:val="en-US"/>
        </w:rPr>
        <w:t xml:space="preserve">61. 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ind w:left="480" w:hanging="480"/>
      </w:pPr>
      <w:r>
        <w:rPr>
          <w:rStyle w:val="None A"/>
          <w:rFonts w:ascii="Arial" w:hAnsi="Arial"/>
          <w:sz w:val="18"/>
          <w:szCs w:val="18"/>
          <w:rtl w:val="0"/>
          <w:lang w:val="en-US"/>
        </w:rPr>
        <w:t xml:space="preserve">62. 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ind w:left="480" w:hanging="480"/>
      </w:pPr>
      <w:r>
        <w:rPr>
          <w:rStyle w:val="None A"/>
          <w:rFonts w:ascii="Arial" w:hAnsi="Arial"/>
          <w:sz w:val="18"/>
          <w:szCs w:val="18"/>
          <w:rtl w:val="0"/>
          <w:lang w:val="en-US"/>
        </w:rPr>
        <w:t xml:space="preserve">63. 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ind w:left="480" w:hanging="480"/>
      </w:pPr>
      <w:r>
        <w:rPr>
          <w:rStyle w:val="None A"/>
          <w:rFonts w:ascii="Arial" w:hAnsi="Arial"/>
          <w:sz w:val="18"/>
          <w:szCs w:val="18"/>
          <w:rtl w:val="0"/>
          <w:lang w:val="en-US"/>
        </w:rPr>
        <w:t xml:space="preserve">64. 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ind w:left="480" w:hanging="480"/>
      </w:pPr>
      <w:r>
        <w:rPr>
          <w:rStyle w:val="None A"/>
          <w:rFonts w:ascii="Arial" w:hAnsi="Arial"/>
          <w:sz w:val="18"/>
          <w:szCs w:val="18"/>
          <w:rtl w:val="0"/>
          <w:lang w:val="en-US"/>
        </w:rPr>
        <w:t>65. Suthers, P. F., Dasika, M. S., Kumar, V. S., Denisov, G., Glass, J. I., &amp; Maranas, C. D. (2009). Genome-scale metabolic reconstruction Of mycoplasma genitalium, iPS189. PLoS Computational Biology, 5(2). http://doi.org/10.1371/journal.pcbi.1000285</w:t>
      </w:r>
    </w:p>
    <w:p>
      <w:pPr>
        <w:pStyle w:val="Text body"/>
        <w:ind w:left="480" w:hanging="480"/>
      </w:pPr>
      <w:r>
        <w:rPr>
          <w:rStyle w:val="None A"/>
          <w:rFonts w:ascii="Arial" w:hAnsi="Arial"/>
          <w:sz w:val="18"/>
          <w:szCs w:val="18"/>
          <w:rtl w:val="0"/>
          <w:lang w:val="en-US"/>
        </w:rPr>
        <w:t>66. 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ind w:left="480" w:hanging="480"/>
      </w:pPr>
      <w:r>
        <w:rPr>
          <w:rStyle w:val="None A"/>
          <w:rFonts w:ascii="Arial" w:hAnsi="Arial"/>
          <w:sz w:val="18"/>
          <w:szCs w:val="18"/>
          <w:rtl w:val="0"/>
          <w:lang w:val="en-US"/>
        </w:rPr>
        <w:t xml:space="preserve">67. 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ind w:left="480" w:hanging="480"/>
      </w:pPr>
      <w:r>
        <w:rPr>
          <w:rStyle w:val="None A"/>
          <w:rFonts w:ascii="Arial" w:hAnsi="Arial"/>
          <w:sz w:val="18"/>
          <w:szCs w:val="18"/>
          <w:rtl w:val="0"/>
          <w:lang w:val="en-US"/>
        </w:rPr>
        <w:t xml:space="preserve">68. 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ind w:left="480" w:hanging="480"/>
      </w:pPr>
      <w:r>
        <w:rPr>
          <w:rStyle w:val="None A"/>
          <w:rFonts w:ascii="Arial" w:hAnsi="Arial"/>
          <w:sz w:val="18"/>
          <w:szCs w:val="18"/>
          <w:rtl w:val="0"/>
          <w:lang w:val="en-US"/>
        </w:rPr>
        <w:t xml:space="preserve">69. 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ind w:left="480" w:hanging="480"/>
      </w:pPr>
      <w:r>
        <w:rPr>
          <w:rStyle w:val="None A"/>
          <w:rFonts w:ascii="Arial" w:hAnsi="Arial"/>
          <w:sz w:val="18"/>
          <w:szCs w:val="18"/>
          <w:rtl w:val="0"/>
          <w:lang w:val="en-US"/>
        </w:rPr>
        <w:t xml:space="preserve">70. 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ind w:left="480" w:hanging="480"/>
      </w:pPr>
      <w:r>
        <w:rPr>
          <w:rStyle w:val="None A"/>
          <w:rFonts w:ascii="Arial" w:hAnsi="Arial"/>
          <w:sz w:val="18"/>
          <w:szCs w:val="18"/>
          <w:rtl w:val="0"/>
          <w:lang w:val="en-US"/>
        </w:rPr>
        <w:t xml:space="preserve">71. 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pacing w:line="100" w:lineRule="atLeast"/>
        <w:ind w:left="480" w:hanging="480"/>
        <w:jc w:val="both"/>
      </w:pPr>
      <w:r>
        <w:rPr>
          <w:rStyle w:val="None A"/>
          <w:rFonts w:ascii="Arial" w:hAnsi="Arial"/>
          <w:sz w:val="18"/>
          <w:szCs w:val="18"/>
          <w:rtl w:val="0"/>
          <w:lang w:val="en-US"/>
        </w:rPr>
        <w:t>72. 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pacing w:line="100" w:lineRule="atLeast"/>
        <w:ind w:left="480" w:hanging="480"/>
        <w:jc w:val="both"/>
      </w:pPr>
      <w:r>
        <w:rPr>
          <w:rStyle w:val="None A"/>
          <w:rFonts w:ascii="Arial" w:hAnsi="Arial"/>
          <w:sz w:val="18"/>
          <w:szCs w:val="18"/>
          <w:rtl w:val="0"/>
          <w:lang w:val="en-US"/>
        </w:rPr>
        <w:t xml:space="preserve">73. 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bookmarkEnd w:id="16"/>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headerReference w:type="default" r:id="rId4"/>
      <w:footerReference w:type="default" r:id="rId5"/>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LM Roman Unslanted 10">
    <w:charset w:val="00"/>
    <w:family w:val="roman"/>
    <w:pitch w:val="default"/>
  </w:font>
  <w:font w:name="PT Serif Captio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ffffff"/>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rFonts w:ascii="Arial" w:cs="Arial" w:hAnsi="Arial" w:eastAsia="Arial"/>
      <w:caps w:val="0"/>
      <w:smallCaps w:val="0"/>
      <w:color w:val="000000"/>
      <w:spacing w:val="0"/>
      <w:sz w:val="22"/>
      <w:szCs w:val="22"/>
      <w:u w:val="single" w:color="000000"/>
    </w:rPr>
  </w:style>
  <w:style w:type="character" w:styleId="Hyperlink.1">
    <w:name w:val="Hyperlink.1"/>
    <w:basedOn w:val="None A"/>
    <w:next w:val="Hyperlink.1"/>
    <w:rPr>
      <w:rFonts w:ascii="Arial" w:cs="Arial" w:hAnsi="Arial" w:eastAsia="Arial"/>
      <w:color w:val="000080"/>
      <w:sz w:val="22"/>
      <w:szCs w:val="22"/>
      <w:u w:val="single" w:color="000080"/>
    </w:rPr>
  </w:style>
  <w:style w:type="character" w:styleId="Hyperlink.2">
    <w:name w:val="Hyperlink.2"/>
    <w:basedOn w:val="None A"/>
    <w:next w:val="Hyperlink.2"/>
    <w:rPr>
      <w:rFonts w:ascii="Arial" w:cs="Arial" w:hAnsi="Arial" w:eastAsia="Arial"/>
      <w:sz w:val="22"/>
      <w:szCs w:val="22"/>
    </w:rPr>
  </w:style>
  <w:style w:type="paragraph" w:styleId="Text body">
    <w:name w:val="Text body"/>
    <w:next w:val="Text body"/>
    <w:pPr>
      <w:keepNext w:val="1"/>
      <w:keepLines w:val="0"/>
      <w:pageBreakBefore w:val="0"/>
      <w:widowControl w:val="0"/>
      <w:shd w:val="clear" w:color="auto" w:fill="ffffff"/>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