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pacing w:line="480" w:lineRule="auto"/>
        <w:jc w:val="both"/>
      </w:pPr>
      <w:r>
        <w:rPr>
          <w:rStyle w:val="None A"/>
          <w:rFonts w:ascii="Arial" w:hAnsi="Arial"/>
          <w:b w:val="1"/>
          <w:bCs w:val="1"/>
          <w:sz w:val="22"/>
          <w:szCs w:val="22"/>
          <w:rtl w:val="0"/>
          <w:lang w:val="en-US"/>
        </w:rPr>
        <w:t>Target Journal:</w:t>
      </w:r>
      <w:r>
        <w:rPr>
          <w:rStyle w:val="None A"/>
          <w:rFonts w:ascii="Arial" w:hAnsi="Arial"/>
          <w:sz w:val="22"/>
          <w:szCs w:val="22"/>
          <w:rtl w:val="0"/>
          <w:lang w:val="en-US"/>
        </w:rPr>
        <w:t xml:space="preserve"> Nature Microbiology</w:t>
      </w:r>
    </w:p>
    <w:p>
      <w:pPr>
        <w:pStyle w:val="Default"/>
        <w:spacing w:line="480" w:lineRule="auto"/>
        <w:jc w:val="both"/>
        <w:rPr>
          <w:rFonts w:ascii="Arial" w:cs="Arial" w:hAnsi="Arial" w:eastAsia="Arial"/>
          <w:sz w:val="22"/>
          <w:szCs w:val="22"/>
        </w:rPr>
      </w:pPr>
    </w:p>
    <w:p>
      <w:pPr>
        <w:pStyle w:val="Default"/>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Title</w:t>
      </w:r>
    </w:p>
    <w:p>
      <w:pPr>
        <w:pStyle w:val="Default"/>
        <w:spacing w:line="480" w:lineRule="auto"/>
        <w:jc w:val="both"/>
      </w:pPr>
      <w:r>
        <w:rPr>
          <w:rStyle w:val="None A"/>
          <w:rFonts w:ascii="Arial" w:hAnsi="Arial"/>
          <w:i w:val="1"/>
          <w:iCs w:val="1"/>
          <w:color w:val="2c2d30"/>
          <w:sz w:val="22"/>
          <w:szCs w:val="22"/>
          <w:u w:val="none" w:color="2c2d30"/>
          <w:rtl w:val="0"/>
          <w:lang w:val="en-US"/>
        </w:rPr>
        <w:t>Clostridium difficile</w:t>
      </w:r>
      <w:r>
        <w:rPr>
          <w:rStyle w:val="None A"/>
          <w:rFonts w:ascii="Arial" w:hAnsi="Arial"/>
          <w:color w:val="2c2d30"/>
          <w:sz w:val="22"/>
          <w:szCs w:val="22"/>
          <w:u w:val="none" w:color="2c2d30"/>
          <w:rtl w:val="0"/>
          <w:lang w:val="en-US"/>
        </w:rPr>
        <w:t xml:space="preserve"> colonizes alternative nutrient niches during infection across distinct murine gut environments</w:t>
      </w:r>
    </w:p>
    <w:p>
      <w:pPr>
        <w:pStyle w:val="Default"/>
        <w:spacing w:line="480" w:lineRule="auto"/>
        <w:jc w:val="both"/>
        <w:rPr>
          <w:rFonts w:ascii="Arial" w:cs="Arial" w:hAnsi="Arial" w:eastAsia="Arial"/>
          <w:b w:val="1"/>
          <w:bCs w:val="1"/>
          <w:sz w:val="22"/>
          <w:szCs w:val="22"/>
        </w:rPr>
      </w:pPr>
    </w:p>
    <w:p>
      <w:pPr>
        <w:pStyle w:val="Default"/>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Authors</w:t>
      </w:r>
    </w:p>
    <w:p>
      <w:pPr>
        <w:pStyle w:val="Default"/>
        <w:spacing w:line="480" w:lineRule="auto"/>
        <w:jc w:val="both"/>
      </w:pPr>
      <w:r>
        <w:rPr>
          <w:rStyle w:val="None A"/>
          <w:rFonts w:ascii="Arial" w:hAnsi="Arial"/>
          <w:sz w:val="22"/>
          <w:szCs w:val="22"/>
          <w:rtl w:val="0"/>
          <w:lang w:val="en-US"/>
        </w:rPr>
        <w:t>Jenior ML</w:t>
      </w:r>
      <w:r>
        <w:rPr>
          <w:rStyle w:val="None A"/>
          <w:rFonts w:ascii="Arial" w:hAnsi="Arial"/>
          <w:sz w:val="22"/>
          <w:szCs w:val="22"/>
          <w:vertAlign w:val="superscript"/>
          <w:rtl w:val="0"/>
          <w:lang w:val="en-US"/>
        </w:rPr>
        <w:t>1</w:t>
      </w:r>
      <w:r>
        <w:rPr>
          <w:rStyle w:val="None A"/>
          <w:rFonts w:ascii="Arial" w:hAnsi="Arial"/>
          <w:sz w:val="22"/>
          <w:szCs w:val="22"/>
          <w:rtl w:val="0"/>
          <w:lang w:val="en-US"/>
        </w:rPr>
        <w:t>, Leslie JL</w:t>
      </w:r>
      <w:r>
        <w:rPr>
          <w:rStyle w:val="None A"/>
          <w:rFonts w:ascii="Arial" w:hAnsi="Arial"/>
          <w:sz w:val="22"/>
          <w:szCs w:val="22"/>
          <w:vertAlign w:val="superscript"/>
          <w:rtl w:val="0"/>
          <w:lang w:val="en-US"/>
        </w:rPr>
        <w:t>1</w:t>
      </w:r>
      <w:r>
        <w:rPr>
          <w:rStyle w:val="None A"/>
          <w:rFonts w:ascii="Arial" w:hAnsi="Arial"/>
          <w:sz w:val="22"/>
          <w:szCs w:val="22"/>
          <w:rtl w:val="0"/>
          <w:lang w:val="en-US"/>
        </w:rPr>
        <w:t>, and Schloss PD</w:t>
      </w:r>
      <w:r>
        <w:rPr>
          <w:rStyle w:val="None A"/>
          <w:rFonts w:ascii="Arial" w:hAnsi="Arial"/>
          <w:sz w:val="22"/>
          <w:szCs w:val="22"/>
          <w:vertAlign w:val="superscript"/>
          <w:rtl w:val="0"/>
          <w:lang w:val="en-US"/>
        </w:rPr>
        <w:t>1</w:t>
      </w:r>
      <w:r>
        <w:rPr>
          <w:rStyle w:val="None A"/>
          <w:rFonts w:ascii="Arial" w:hAnsi="Arial"/>
          <w:b w:val="1"/>
          <w:bCs w:val="1"/>
          <w:sz w:val="22"/>
          <w:szCs w:val="22"/>
          <w:rtl w:val="0"/>
          <w:lang w:val="en-US"/>
        </w:rPr>
        <w:t>*</w:t>
      </w:r>
    </w:p>
    <w:p>
      <w:pPr>
        <w:pStyle w:val="Default"/>
        <w:spacing w:line="480" w:lineRule="auto"/>
        <w:jc w:val="both"/>
      </w:pPr>
    </w:p>
    <w:p>
      <w:pPr>
        <w:pStyle w:val="Default"/>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Affiliations</w:t>
      </w:r>
    </w:p>
    <w:p>
      <w:pPr>
        <w:pStyle w:val="Default"/>
        <w:spacing w:line="480" w:lineRule="auto"/>
        <w:jc w:val="both"/>
        <w:rPr>
          <w:rStyle w:val="None A"/>
          <w:rFonts w:ascii="Arial" w:cs="Arial" w:hAnsi="Arial" w:eastAsia="Arial"/>
          <w:sz w:val="22"/>
          <w:szCs w:val="22"/>
        </w:rPr>
      </w:pPr>
      <w:r>
        <w:rPr>
          <w:rStyle w:val="None A"/>
          <w:rFonts w:ascii="Arial" w:hAnsi="Arial"/>
          <w:sz w:val="22"/>
          <w:szCs w:val="22"/>
          <w:rtl w:val="0"/>
          <w:lang w:val="en-US"/>
        </w:rPr>
        <w:t>1. Department of Microbiology &amp; Immunology; University of Michigan; Ann Arbor, MI</w:t>
      </w:r>
    </w:p>
    <w:p>
      <w:pPr>
        <w:pStyle w:val="Default"/>
        <w:spacing w:line="480" w:lineRule="auto"/>
        <w:jc w:val="both"/>
        <w:rPr>
          <w:rFonts w:ascii="Arial" w:cs="Arial" w:hAnsi="Arial" w:eastAsia="Arial"/>
          <w:sz w:val="22"/>
          <w:szCs w:val="22"/>
        </w:rPr>
      </w:pPr>
    </w:p>
    <w:p>
      <w:pPr>
        <w:pStyle w:val="Default"/>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Abstract</w:t>
      </w:r>
    </w:p>
    <w:p>
      <w:pPr>
        <w:pStyle w:val="Default"/>
        <w:spacing w:line="480" w:lineRule="auto"/>
        <w:jc w:val="both"/>
      </w:pPr>
      <w:r>
        <w:rPr>
          <w:rStyle w:val="None A"/>
          <w:rFonts w:ascii="Arial" w:cs="Arial" w:hAnsi="Arial" w:eastAsia="Arial"/>
          <w:sz w:val="22"/>
          <w:szCs w:val="22"/>
        </w:rPr>
        <w:tab/>
      </w:r>
      <w:r>
        <w:rPr>
          <w:rStyle w:val="None A"/>
          <w:rFonts w:ascii="Arial" w:hAnsi="Arial"/>
          <w:i w:val="1"/>
          <w:iCs w:val="1"/>
          <w:sz w:val="22"/>
          <w:szCs w:val="22"/>
          <w:rtl w:val="0"/>
          <w:lang w:val="en-US"/>
        </w:rPr>
        <w:t>Clostridium difficile</w:t>
      </w:r>
      <w:r>
        <w:rPr>
          <w:rStyle w:val="None A"/>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it colonizes the ceca of mice, we performed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-focused RNA-Seq analysis from cecal content of infected mice. This approach revealed numerous variations between condition in metabolic pathways associated with carbohydrate and amino acid catabolism, indicating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likely colonizes alternative nutrient niches across the environments it colonizes. In order to assess which aspects of the gut environment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exploiting during infection, we used a reverse ecology approach and developed a novel substrate scoring algorithm within the genome-scale bipartite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that incorporates both network topology and transcript abundance for enzymes within the model to infer the likelihood that a given substrate in acquired from the environment. Applying the importance algorithm, we found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This work has implications for elucidating specifics of the nutrient niche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and may lead to the discovery of targeted measures for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colonization prevention.</w:t>
      </w:r>
      <w:r>
        <w:rPr>
          <w:rFonts w:ascii="Arial Unicode MS" w:cs="Arial Unicode MS" w:hAnsi="Arial Unicode MS" w:eastAsia="Arial Unicode MS"/>
          <w:b w:val="0"/>
          <w:bCs w:val="0"/>
          <w:i w:val="0"/>
          <w:iCs w:val="0"/>
        </w:rPr>
        <w:br w:type="page"/>
      </w:r>
    </w:p>
    <w:p>
      <w:pPr>
        <w:pStyle w:val="Default"/>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Introduction</w:t>
      </w:r>
    </w:p>
    <w:p>
      <w:pPr>
        <w:pStyle w:val="Default"/>
        <w:spacing w:line="480" w:lineRule="auto"/>
        <w:jc w:val="both"/>
      </w:pPr>
      <w:r>
        <w:rPr>
          <w:rStyle w:val="None A"/>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pacing w:line="480" w:lineRule="auto"/>
        <w:ind w:firstLine="709"/>
        <w:jc w:val="both"/>
      </w:pPr>
      <w:r>
        <w:rPr>
          <w:rStyle w:val="None A"/>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colonization (Chen, 2008; Theriot, 2013; Schubert, 2015). Additionally, 18 hours after initially colonizing a cefoperazone treated mouse,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reaches its maximum vegetative cell density in the cecum before beginning to sporulate (Koenigsknecht, 2015). This provided a single timepoint in which to measure the largest population of metabolically active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Building upon these results, others have shown that many of these antibiotic classes also alter the gut metabolome, increasing the concentrations of known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through limitation of substrates it needs to grow. The ability of a healthy gut community to exclude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pacing w:line="480" w:lineRule="auto"/>
        <w:ind w:firstLine="709"/>
        <w:jc w:val="both"/>
      </w:pPr>
      <w:r>
        <w:rPr>
          <w:rStyle w:val="None A"/>
          <w:rFonts w:ascii="Arial" w:hAnsi="Arial"/>
          <w:sz w:val="22"/>
          <w:szCs w:val="22"/>
          <w:rtl w:val="0"/>
          <w:lang w:val="en-US"/>
        </w:rPr>
        <w:t xml:space="preserve">Based on its genome sequence and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characteristics,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appears to be able to fill multiple nutrient niches.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Style w:val="None A"/>
          <w:rFonts w:ascii="Arial" w:hAnsi="Arial"/>
          <w:i w:val="1"/>
          <w:iCs w:val="1"/>
          <w:sz w:val="22"/>
          <w:szCs w:val="22"/>
          <w:rtl w:val="0"/>
          <w:lang w:val="en-US"/>
        </w:rPr>
        <w:t>C. difficile</w:t>
      </w:r>
      <w:r>
        <w:rPr>
          <w:rStyle w:val="None A"/>
          <w:rFonts w:ascii="Arial" w:hAnsi="Arial" w:hint="default"/>
          <w:sz w:val="22"/>
          <w:szCs w:val="22"/>
          <w:rtl w:val="0"/>
          <w:lang w:val="en-US"/>
        </w:rPr>
        <w:t>’</w:t>
      </w:r>
      <w:r>
        <w:rPr>
          <w:rStyle w:val="None A"/>
          <w:rFonts w:ascii="Arial" w:hAnsi="Arial"/>
          <w:sz w:val="22"/>
          <w:szCs w:val="22"/>
          <w:rtl w:val="0"/>
          <w:lang w:val="en-US"/>
        </w:rPr>
        <w:t xml:space="preserve">s pathogenesis. For example,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when colonizing across sensitive hosts.</w:t>
      </w:r>
    </w:p>
    <w:p>
      <w:pPr>
        <w:pStyle w:val="Default"/>
        <w:spacing w:line="480" w:lineRule="auto"/>
        <w:jc w:val="both"/>
      </w:pPr>
      <w:r>
        <w:rPr>
          <w:rStyle w:val="None A"/>
          <w:rFonts w:ascii="Arial" w:cs="Arial" w:hAnsi="Arial" w:eastAsia="Arial"/>
          <w:sz w:val="22"/>
          <w:szCs w:val="22"/>
          <w:rtl w:val="0"/>
        </w:rPr>
        <w:tab/>
        <w:t xml:space="preserve">Previous transcriptomic studies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have mainly focused on transcription of virulence factors,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(Matamouros, 2007; Antunes, 2011), with some work characterizing transcription during colonization of germ free mice (Janoir, 2013; Kansau, 2016). Relevant to our hypothesis,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up-regulated several phosphotransferase systems (PTS) and ABC transporters in germ free mice, alluding to metabolic adaptation to nutrient availability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must compete against for substrates. Metabolomic analyses have also been used to more directly assay changes in bacterial metabolism as they relate to CDI (Theriot, 2013; Jump, 2014); however, these methods cannot focus on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specifically and more closely exhibit echoes of metabolism, not currently active processes. In contrast to these methods,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w:t>
      </w:r>
      <w:r>
        <w:rPr>
          <w:rStyle w:val="None A"/>
          <w:rFonts w:ascii="Arial" w:hAnsi="Arial" w:hint="default"/>
          <w:sz w:val="22"/>
          <w:szCs w:val="22"/>
          <w:rtl w:val="0"/>
          <w:lang w:val="en-US"/>
        </w:rPr>
        <w:t>’</w:t>
      </w:r>
      <w:r>
        <w:rPr>
          <w:rStyle w:val="None A"/>
          <w:rFonts w:ascii="Arial" w:hAnsi="Arial"/>
          <w:sz w:val="22"/>
          <w:szCs w:val="22"/>
          <w:rtl w:val="0"/>
          <w:lang w:val="en-US"/>
        </w:rPr>
        <w:t xml:space="preserve">s metabolism and which substrates are preferred by the organism (Patil, 2005; Borenstein, 2008; Suthers, 2009). Apply these methods to study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would allow us to directly test our hypothesis.</w:t>
      </w:r>
    </w:p>
    <w:p>
      <w:pPr>
        <w:pStyle w:val="Default"/>
        <w:spacing w:line="480" w:lineRule="auto"/>
        <w:ind w:firstLine="709"/>
        <w:jc w:val="both"/>
      </w:pPr>
      <w:r>
        <w:rPr>
          <w:rStyle w:val="None A"/>
          <w:rFonts w:ascii="Arial" w:hAnsi="Arial"/>
          <w:sz w:val="22"/>
          <w:szCs w:val="22"/>
          <w:rtl w:val="0"/>
          <w:lang w:val="en-US"/>
        </w:rPr>
        <w:t xml:space="preserve">Based on the ability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would encounter a unique subset of nutrients and competitors in each environment, which would necessitate distinct adaptive responses. To determine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expression data. In each of the three antibiotic conditions we challenged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well as in germ free mice, we observed that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adapted its nutrient utilization profile to colonize to high levels and express its virulence factors.</w:t>
      </w:r>
    </w:p>
    <w:p>
      <w:pPr>
        <w:pStyle w:val="Default"/>
        <w:spacing w:line="480" w:lineRule="auto"/>
        <w:ind w:firstLine="709"/>
        <w:jc w:val="both"/>
        <w:rPr>
          <w:rFonts w:ascii="Arial" w:cs="Arial" w:hAnsi="Arial" w:eastAsia="Arial"/>
          <w:sz w:val="22"/>
          <w:szCs w:val="22"/>
        </w:rPr>
      </w:pPr>
    </w:p>
    <w:p>
      <w:pPr>
        <w:pStyle w:val="Default"/>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Results</w:t>
      </w:r>
    </w:p>
    <w:p>
      <w:pPr>
        <w:pStyle w:val="Default"/>
        <w:spacing w:line="480" w:lineRule="auto"/>
        <w:jc w:val="both"/>
      </w:pPr>
      <w:r>
        <w:rPr>
          <w:rStyle w:val="None A"/>
          <w:rFonts w:ascii="Arial" w:hAnsi="Arial"/>
          <w:b w:val="1"/>
          <w:bCs w:val="1"/>
          <w:sz w:val="22"/>
          <w:szCs w:val="22"/>
          <w:rtl w:val="0"/>
          <w:lang w:val="en-US"/>
        </w:rPr>
        <w:t xml:space="preserve">Levels of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sporulation and toxin activity vary between antibiotic-treated specific pathogen free and germ free mice.</w:t>
      </w:r>
    </w:p>
    <w:p>
      <w:pPr>
        <w:pStyle w:val="Default"/>
        <w:spacing w:line="480" w:lineRule="auto"/>
        <w:jc w:val="both"/>
      </w:pPr>
      <w:r>
        <w:rPr>
          <w:rStyle w:val="None A"/>
          <w:rFonts w:ascii="Arial" w:cs="Arial" w:hAnsi="Arial" w:eastAsia="Arial"/>
          <w:sz w:val="22"/>
          <w:szCs w:val="22"/>
          <w:rtl w:val="0"/>
        </w:rPr>
        <w:tab/>
        <w:t xml:space="preserve">Due to the connection between metabolism and sporulation and toxin production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&gt; 0.05; Fig. 2a). All antibiotic treated specific pathogen free (SPF) and germ free (GF) animals were colonized to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8</w:t>
      </w:r>
      <w:r>
        <w:rPr>
          <w:rStyle w:val="None A"/>
          <w:rFonts w:ascii="Arial" w:hAnsi="Arial"/>
          <w:sz w:val="22"/>
          <w:szCs w:val="22"/>
          <w:rtl w:val="0"/>
          <w:lang w:val="en-US"/>
        </w:rPr>
        <w:t xml:space="preserve"> C.f.u. per gram of content, while untreated SPF mice maintained colonization resistance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Despite having the same number of vegetative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cells, large differences were detected in the density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Significantly more spores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was able to colonize different communities to a consistently high level, but that the density of spores and toxin titer varied by treatment and phenotypes have been linked to environmental concentrations of growth substrates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(Antunes, 2012).</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adapts the expression of genes for virulence and key sigma factors that are under the control of environmental nutrient concentrations.</w:t>
      </w:r>
    </w:p>
    <w:p>
      <w:pPr>
        <w:pStyle w:val="Default"/>
        <w:spacing w:line="480" w:lineRule="auto"/>
        <w:jc w:val="both"/>
      </w:pPr>
      <w:r>
        <w:rPr>
          <w:rStyle w:val="None A"/>
          <w:rFonts w:ascii="Arial" w:cs="Arial" w:hAnsi="Arial" w:eastAsia="Arial"/>
          <w:sz w:val="22"/>
          <w:szCs w:val="22"/>
          <w:rtl w:val="0"/>
        </w:rPr>
        <w:tab/>
        <w:t xml:space="preserve">To more closely investigate the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colonizing distinct susceptible gut environments, we performed whole transcriptome analysis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pathway (Alvarez, 2007; Fimlaid, 2013; Saujet, 2014), limiting it to those with the highest overall gene expression (Fig. 3a). Across the four conditions where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Style w:val="None A"/>
          <w:rFonts w:ascii="Arial" w:hAnsi="Arial"/>
          <w:i w:val="1"/>
          <w:iCs w:val="1"/>
          <w:sz w:val="22"/>
          <w:szCs w:val="22"/>
          <w:rtl w:val="0"/>
          <w:lang w:val="en-US"/>
        </w:rPr>
        <w:t>spoVG</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spoVS.</w:t>
      </w:r>
      <w:r>
        <w:rPr>
          <w:rStyle w:val="None A"/>
          <w:rFonts w:ascii="Arial" w:hAnsi="Arial"/>
          <w:sz w:val="22"/>
          <w:szCs w:val="22"/>
          <w:rtl w:val="0"/>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Style w:val="None A"/>
          <w:rFonts w:ascii="Arial" w:hAnsi="Arial"/>
          <w:i w:val="1"/>
          <w:iCs w:val="1"/>
          <w:sz w:val="22"/>
          <w:szCs w:val="22"/>
          <w:rtl w:val="0"/>
          <w:lang w:val="en-US"/>
        </w:rPr>
        <w:t>spoIIAB</w:t>
      </w:r>
      <w:r>
        <w:rPr>
          <w:rStyle w:val="None A"/>
          <w:rFonts w:ascii="Arial" w:hAnsi="Arial"/>
          <w:sz w:val="22"/>
          <w:szCs w:val="22"/>
          <w:rtl w:val="0"/>
          <w:lang w:val="en-US"/>
        </w:rPr>
        <w:t>/</w:t>
      </w:r>
      <w:r>
        <w:rPr>
          <w:rStyle w:val="None A"/>
          <w:rFonts w:ascii="Arial" w:hAnsi="Arial"/>
          <w:i w:val="1"/>
          <w:iCs w:val="1"/>
          <w:sz w:val="22"/>
          <w:szCs w:val="22"/>
          <w:rtl w:val="0"/>
          <w:lang w:val="en-US"/>
        </w:rPr>
        <w:t>spoIIE</w:t>
      </w:r>
      <w:r>
        <w:rPr>
          <w:rStyle w:val="None A"/>
          <w:rFonts w:ascii="Arial" w:hAnsi="Arial"/>
          <w:sz w:val="22"/>
          <w:szCs w:val="22"/>
          <w:rtl w:val="0"/>
          <w:lang w:val="en-US"/>
        </w:rPr>
        <w:t xml:space="preserve">), but they also had relatively high levels of expression of </w:t>
      </w:r>
      <w:r>
        <w:rPr>
          <w:rStyle w:val="None A"/>
          <w:rFonts w:ascii="Arial" w:hAnsi="Arial"/>
          <w:i w:val="1"/>
          <w:iCs w:val="1"/>
          <w:sz w:val="22"/>
          <w:szCs w:val="22"/>
          <w:rtl w:val="0"/>
          <w:lang w:val="en-US"/>
        </w:rPr>
        <w:t xml:space="preserve">sspA </w:t>
      </w:r>
      <w:r>
        <w:rPr>
          <w:rStyle w:val="None A"/>
          <w:rFonts w:ascii="Arial" w:hAnsi="Arial"/>
          <w:sz w:val="22"/>
          <w:szCs w:val="22"/>
          <w:rtl w:val="0"/>
          <w:lang w:val="en-US"/>
        </w:rPr>
        <w:t xml:space="preserve">and </w:t>
      </w:r>
      <w:r>
        <w:rPr>
          <w:rStyle w:val="None A"/>
          <w:rFonts w:ascii="Arial" w:hAnsi="Arial"/>
          <w:i w:val="1"/>
          <w:iCs w:val="1"/>
          <w:sz w:val="22"/>
          <w:szCs w:val="22"/>
          <w:rtl w:val="0"/>
          <w:lang w:val="en-US"/>
        </w:rPr>
        <w:t>sspB</w:t>
      </w:r>
      <w:r>
        <w:rPr>
          <w:rStyle w:val="None A"/>
          <w:rFonts w:ascii="Arial" w:hAnsi="Arial"/>
          <w:sz w:val="22"/>
          <w:szCs w:val="22"/>
          <w:rtl w:val="0"/>
          <w:lang w:val="en-US"/>
        </w:rPr>
        <w:t xml:space="preserve">, which are genes that code for effectors that protect DNA from damage during dormancy. Next, mice treated with clindamycin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expressed genes associated with late stages of sporulation, including those for spore coat components (</w:t>
      </w:r>
      <w:r>
        <w:rPr>
          <w:rStyle w:val="None A"/>
          <w:rFonts w:ascii="Arial" w:hAnsi="Arial"/>
          <w:i w:val="1"/>
          <w:iCs w:val="1"/>
          <w:sz w:val="22"/>
          <w:szCs w:val="22"/>
          <w:rtl w:val="0"/>
          <w:lang w:val="en-US"/>
        </w:rPr>
        <w:t>cdeC</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cotD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cotJB2</w:t>
      </w:r>
      <w:r>
        <w:rPr>
          <w:rStyle w:val="None A"/>
          <w:rFonts w:ascii="Arial" w:hAnsi="Arial"/>
          <w:sz w:val="22"/>
          <w:szCs w:val="22"/>
          <w:rtl w:val="0"/>
          <w:lang w:val="en-US"/>
        </w:rPr>
        <w:t>), spore formation (</w:t>
      </w:r>
      <w:r>
        <w:rPr>
          <w:rStyle w:val="None A"/>
          <w:rFonts w:ascii="Arial" w:hAnsi="Arial"/>
          <w:i w:val="1"/>
          <w:iCs w:val="1"/>
          <w:sz w:val="22"/>
          <w:szCs w:val="22"/>
          <w:rtl w:val="0"/>
          <w:lang w:val="en-US"/>
        </w:rPr>
        <w:t>spoIVA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spoVB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spoVFB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sspA</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sspB</w:t>
      </w:r>
      <w:r>
        <w:rPr>
          <w:rStyle w:val="None A"/>
          <w:rFonts w:ascii="Arial" w:hAnsi="Arial"/>
          <w:sz w:val="22"/>
          <w:szCs w:val="22"/>
          <w:rtl w:val="0"/>
          <w:lang w:val="en-US"/>
        </w:rPr>
        <w:t xml:space="preserve">. Finally, GF mice harbored the highest density of spores and those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primarily expressed the dormancy genes linked with the latest stages sporulation. Together these data demonstrate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differentially expresses stages of sporulation between the gut environments it colonizes.</w:t>
      </w:r>
    </w:p>
    <w:p>
      <w:pPr>
        <w:pStyle w:val="Default"/>
        <w:spacing w:line="480" w:lineRule="auto"/>
        <w:jc w:val="both"/>
        <w:rPr>
          <w:rFonts w:ascii="Arial" w:cs="Arial" w:hAnsi="Arial" w:eastAsia="Arial"/>
          <w:sz w:val="22"/>
          <w:szCs w:val="22"/>
        </w:rPr>
      </w:pPr>
    </w:p>
    <w:p>
      <w:pPr>
        <w:pStyle w:val="Default"/>
        <w:spacing w:line="480" w:lineRule="auto"/>
        <w:jc w:val="both"/>
      </w:pPr>
      <w:r>
        <w:tab/>
      </w:r>
      <w:r>
        <w:rPr>
          <w:rStyle w:val="None A"/>
          <w:rFonts w:ascii="Arial" w:hAnsi="Arial"/>
          <w:sz w:val="22"/>
          <w:szCs w:val="22"/>
          <w:rtl w:val="0"/>
          <w:lang w:val="en-US"/>
        </w:rPr>
        <w:t xml:space="preserve">Expression of genes for quorum sensing and pathogenicity have been linked to changes in the nutrients that can be found in the environment of </w:t>
      </w:r>
      <w:r>
        <w:rPr>
          <w:rStyle w:val="None A"/>
          <w:rFonts w:ascii="Arial" w:hAnsi="Arial"/>
          <w:i w:val="1"/>
          <w:iCs w:val="1"/>
          <w:sz w:val="22"/>
          <w:szCs w:val="22"/>
          <w:rtl w:val="0"/>
          <w:lang w:val="en-US"/>
        </w:rPr>
        <w:t>C. difficil</w:t>
      </w:r>
      <w:r>
        <w:rPr>
          <w:rStyle w:val="None A"/>
          <w:rFonts w:ascii="Arial" w:hAnsi="Arial"/>
          <w:sz w:val="22"/>
          <w:szCs w:val="22"/>
          <w:rtl w:val="0"/>
          <w:lang w:val="en-US"/>
        </w:rPr>
        <w:t xml:space="preserve">e. Both the </w:t>
      </w:r>
      <w:r>
        <w:rPr>
          <w:rStyle w:val="None A"/>
          <w:rFonts w:ascii="Arial" w:hAnsi="Arial"/>
          <w:i w:val="1"/>
          <w:iCs w:val="1"/>
          <w:sz w:val="22"/>
          <w:szCs w:val="22"/>
          <w:rtl w:val="0"/>
          <w:lang w:val="en-US"/>
        </w:rPr>
        <w:t>agr</w:t>
      </w:r>
      <w:r>
        <w:rPr>
          <w:rStyle w:val="None A"/>
          <w:rFonts w:ascii="Arial" w:hAnsi="Arial"/>
          <w:sz w:val="22"/>
          <w:szCs w:val="22"/>
          <w:rtl w:val="0"/>
          <w:lang w:val="en-US"/>
        </w:rPr>
        <w:t xml:space="preserve"> locus and </w:t>
      </w:r>
      <w:r>
        <w:rPr>
          <w:rStyle w:val="None A"/>
          <w:rFonts w:ascii="Arial" w:hAnsi="Arial"/>
          <w:i w:val="1"/>
          <w:iCs w:val="1"/>
          <w:sz w:val="22"/>
          <w:szCs w:val="22"/>
          <w:rtl w:val="0"/>
          <w:lang w:val="en-US"/>
        </w:rPr>
        <w:t>luxS</w:t>
      </w:r>
      <w:r>
        <w:rPr>
          <w:rStyle w:val="None A"/>
          <w:rFonts w:ascii="Arial" w:hAnsi="Arial"/>
          <w:sz w:val="22"/>
          <w:szCs w:val="22"/>
          <w:rtl w:val="0"/>
          <w:lang w:val="en-US"/>
        </w:rPr>
        <w:t xml:space="preserve"> gene are thought to be associated with inducing the expression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 </w:t>
      </w:r>
      <w:r>
        <w:rPr>
          <w:rStyle w:val="None A"/>
          <w:rFonts w:ascii="Arial" w:hAnsi="Arial"/>
          <w:i w:val="1"/>
          <w:iCs w:val="1"/>
          <w:sz w:val="22"/>
          <w:szCs w:val="22"/>
          <w:rtl w:val="0"/>
          <w:lang w:val="en-US"/>
        </w:rPr>
        <w:t xml:space="preserve">tcdA </w:t>
      </w:r>
      <w:r>
        <w:rPr>
          <w:rStyle w:val="None A"/>
          <w:rFonts w:ascii="Arial" w:hAnsi="Arial"/>
          <w:sz w:val="22"/>
          <w:szCs w:val="22"/>
          <w:rtl w:val="0"/>
          <w:lang w:val="en-US"/>
        </w:rPr>
        <w:t>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Default"/>
        <w:spacing w:line="480" w:lineRule="auto"/>
        <w:jc w:val="both"/>
        <w:rPr>
          <w:rFonts w:ascii="Arial" w:cs="Arial" w:hAnsi="Arial" w:eastAsia="Arial"/>
          <w:sz w:val="22"/>
          <w:szCs w:val="22"/>
        </w:rPr>
      </w:pPr>
    </w:p>
    <w:p>
      <w:pPr>
        <w:pStyle w:val="Default"/>
        <w:spacing w:line="480" w:lineRule="auto"/>
        <w:jc w:val="both"/>
      </w:pPr>
      <w:r>
        <w:tab/>
      </w:r>
      <w:r>
        <w:rPr>
          <w:rStyle w:val="None A"/>
          <w:rFonts w:ascii="Arial" w:hAnsi="Arial"/>
          <w:sz w:val="22"/>
          <w:szCs w:val="22"/>
          <w:rtl w:val="0"/>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is responsive to intracellular concentrations of GTP and certain amino acids, which are </w:t>
      </w:r>
      <w:r>
        <w:rPr>
          <w:rStyle w:val="None A"/>
          <w:rFonts w:ascii="Arial" w:hAnsi="Arial"/>
          <w:i w:val="1"/>
          <w:iCs w:val="1"/>
          <w:sz w:val="22"/>
          <w:szCs w:val="22"/>
          <w:rtl w:val="0"/>
          <w:lang w:val="en-US"/>
        </w:rPr>
        <w:t>C. difficile</w:t>
      </w:r>
      <w:r>
        <w:rPr>
          <w:rtl w:val="0"/>
          <w:lang w:val="en-US"/>
        </w:rPr>
        <w:t xml:space="preserve"> </w:t>
      </w:r>
      <w:r>
        <w:rPr>
          <w:rStyle w:val="None A"/>
          <w:rFonts w:ascii="Arial" w:hAnsi="Arial"/>
          <w:sz w:val="22"/>
          <w:szCs w:val="22"/>
          <w:rtl w:val="0"/>
          <w:lang w:val="en-US"/>
        </w:rPr>
        <w:t xml:space="preserve">energy sources (Fig 3d). Highest transcription for this gene was found in cefoperazone-treated and GF mice. Expression of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is dependent on relief of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inhibition and its activity is linked to local concentration of rapidly metabolizable carbon sources. Cefoperazone-treated mice also exhibited increased transcription of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but the GF condition did not follow the same pattern. CcpA acts directly on </w:t>
      </w:r>
      <w:r>
        <w:rPr>
          <w:rStyle w:val="None A"/>
          <w:rFonts w:ascii="Arial" w:hAnsi="Arial"/>
          <w:i w:val="1"/>
          <w:iCs w:val="1"/>
          <w:sz w:val="22"/>
          <w:szCs w:val="22"/>
          <w:rtl w:val="0"/>
          <w:lang w:val="en-US"/>
        </w:rPr>
        <w:t xml:space="preserve">spoA0 </w:t>
      </w:r>
      <w:r>
        <w:rPr>
          <w:rStyle w:val="None A"/>
          <w:rFonts w:ascii="Arial" w:hAnsi="Arial"/>
          <w:sz w:val="22"/>
          <w:szCs w:val="22"/>
          <w:rtl w:val="0"/>
          <w:lang w:val="en-US"/>
        </w:rPr>
        <w:t xml:space="preserve">(Fig. 3d), which positively regulates initiation of the sporulation pathway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Transcripts for </w:t>
      </w:r>
      <w:r>
        <w:rPr>
          <w:rStyle w:val="None A"/>
          <w:rFonts w:ascii="Arial" w:hAnsi="Arial"/>
          <w:i w:val="1"/>
          <w:iCs w:val="1"/>
          <w:sz w:val="22"/>
          <w:szCs w:val="22"/>
          <w:rtl w:val="0"/>
          <w:lang w:val="en-US"/>
        </w:rPr>
        <w:t>spoA0</w:t>
      </w:r>
      <w:r>
        <w:rPr>
          <w:rStyle w:val="None A"/>
          <w:rFonts w:ascii="Arial" w:hAnsi="Arial"/>
          <w:sz w:val="22"/>
          <w:szCs w:val="22"/>
          <w:rtl w:val="0"/>
          <w:lang w:val="en-US"/>
        </w:rPr>
        <w:t xml:space="preserve"> were highly abundant in all conditions tested except for clindamycin-treated mice, where it was still moderately detectable. The </w:t>
      </w:r>
      <w:r>
        <w:rPr>
          <w:rStyle w:val="None A"/>
          <w:rFonts w:ascii="Arial" w:hAnsi="Arial"/>
          <w:i w:val="1"/>
          <w:iCs w:val="1"/>
          <w:sz w:val="22"/>
          <w:szCs w:val="22"/>
          <w:rtl w:val="0"/>
          <w:lang w:val="en-US"/>
        </w:rPr>
        <w:t>sig</w:t>
      </w:r>
      <w:r>
        <w:rPr>
          <w:rStyle w:val="None A"/>
          <w:rFonts w:ascii="Arial" w:hAnsi="Arial"/>
          <w:sz w:val="22"/>
          <w:szCs w:val="22"/>
          <w:rtl w:val="0"/>
          <w:lang w:val="en-US"/>
        </w:rPr>
        <w:t>-family of sigma factors is under the control of SpoA0 and regulate different stages of sporulation. The genes from this family with the highest total transcription (</w:t>
      </w:r>
      <w:r>
        <w:rPr>
          <w:rStyle w:val="None A"/>
          <w:rFonts w:ascii="Arial" w:hAnsi="Arial"/>
          <w:i w:val="1"/>
          <w:iCs w:val="1"/>
          <w:sz w:val="22"/>
          <w:szCs w:val="22"/>
          <w:rtl w:val="0"/>
          <w:lang w:val="en-US"/>
        </w:rPr>
        <w:t>sigA1</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sigF</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sigG</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sigH</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sigK</w:t>
      </w:r>
      <w:r>
        <w:rPr>
          <w:rStyle w:val="None A"/>
          <w:rFonts w:ascii="Arial" w:hAnsi="Arial"/>
          <w:sz w:val="22"/>
          <w:szCs w:val="22"/>
          <w:rtl w:val="0"/>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Style w:val="None A"/>
          <w:rFonts w:ascii="Arial" w:hAnsi="Arial"/>
          <w:i w:val="1"/>
          <w:iCs w:val="1"/>
          <w:sz w:val="22"/>
          <w:szCs w:val="22"/>
          <w:rtl w:val="0"/>
          <w:lang w:val="en-US"/>
        </w:rPr>
        <w:t>tcdC</w:t>
      </w:r>
      <w:r>
        <w:rPr>
          <w:rStyle w:val="None A"/>
          <w:rFonts w:ascii="Arial" w:hAnsi="Arial"/>
          <w:sz w:val="22"/>
          <w:szCs w:val="22"/>
          <w:rtl w:val="0"/>
          <w:lang w:val="en-US"/>
        </w:rPr>
        <w:t>/</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(Fig. 3d). We found expression of the toxin negative regulator </w:t>
      </w:r>
      <w:r>
        <w:rPr>
          <w:rStyle w:val="None A"/>
          <w:rFonts w:ascii="Arial" w:hAnsi="Arial"/>
          <w:i w:val="1"/>
          <w:iCs w:val="1"/>
          <w:sz w:val="22"/>
          <w:szCs w:val="22"/>
          <w:rtl w:val="0"/>
          <w:lang w:val="en-US"/>
        </w:rPr>
        <w:t>tcdC</w:t>
      </w:r>
      <w:r>
        <w:rPr>
          <w:rStyle w:val="None A"/>
          <w:rFonts w:ascii="Arial" w:hAnsi="Arial"/>
          <w:sz w:val="22"/>
          <w:szCs w:val="22"/>
          <w:rtl w:val="0"/>
          <w:lang w:val="en-US"/>
        </w:rPr>
        <w:t xml:space="preserve"> in all of the antibiotic-treated groups, but no detectable transcripts for the positive toxin A/B regulator </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were seen in any treatment. In addition to its effects on sporulation and virulence, CcpA also regulates the expression of other sigma factors that generally mediate distinct forms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as needed.  These targets include </w:t>
      </w:r>
      <w:r>
        <w:rPr>
          <w:rStyle w:val="None A"/>
          <w:rFonts w:ascii="Arial" w:hAnsi="Arial"/>
          <w:i w:val="1"/>
          <w:iCs w:val="1"/>
          <w:sz w:val="22"/>
          <w:szCs w:val="22"/>
          <w:rtl w:val="0"/>
          <w:lang w:val="en-US"/>
        </w:rPr>
        <w:t>rex</w:t>
      </w:r>
      <w:r>
        <w:rPr>
          <w:rStyle w:val="None A"/>
          <w:rFonts w:ascii="Arial" w:hAnsi="Arial"/>
          <w:sz w:val="22"/>
          <w:szCs w:val="22"/>
          <w:rtl w:val="0"/>
          <w:lang w:val="en-US"/>
        </w:rPr>
        <w:t xml:space="preserve"> (general fermentation regulator) and </w:t>
      </w:r>
      <w:r>
        <w:rPr>
          <w:rStyle w:val="None A"/>
          <w:rFonts w:ascii="Arial" w:hAnsi="Arial"/>
          <w:i w:val="1"/>
          <w:iCs w:val="1"/>
          <w:sz w:val="22"/>
          <w:szCs w:val="22"/>
          <w:rtl w:val="0"/>
          <w:lang w:val="en-US"/>
        </w:rPr>
        <w:t>prdR</w:t>
      </w:r>
      <w:r>
        <w:rPr>
          <w:rStyle w:val="None A"/>
          <w:rFonts w:ascii="Arial" w:hAnsi="Arial"/>
          <w:sz w:val="22"/>
          <w:szCs w:val="22"/>
          <w:rtl w:val="0"/>
          <w:lang w:val="en-US"/>
        </w:rPr>
        <w:t xml:space="preserve"> (Stickland fermentation regulator)</w:t>
      </w:r>
      <w:r>
        <w:rPr>
          <w:rStyle w:val="None A"/>
          <w:rFonts w:ascii="Arial" w:hAnsi="Arial"/>
          <w:i w:val="1"/>
          <w:iCs w:val="1"/>
          <w:sz w:val="22"/>
          <w:szCs w:val="22"/>
          <w:rtl w:val="0"/>
          <w:lang w:val="en-US"/>
        </w:rPr>
        <w:t xml:space="preserve"> </w:t>
      </w:r>
      <w:r>
        <w:rPr>
          <w:rStyle w:val="None A"/>
          <w:rFonts w:ascii="Arial" w:hAnsi="Arial"/>
          <w:sz w:val="22"/>
          <w:szCs w:val="22"/>
          <w:rtl w:val="0"/>
          <w:lang w:val="en-US"/>
        </w:rPr>
        <w:t xml:space="preserve">(Fig. 3d). Although the expression of both has been shown to be linked to environmental proline concentrations, </w:t>
      </w:r>
      <w:r>
        <w:rPr>
          <w:rStyle w:val="None A"/>
          <w:rFonts w:ascii="Arial" w:hAnsi="Arial"/>
          <w:i w:val="1"/>
          <w:iCs w:val="1"/>
          <w:sz w:val="22"/>
          <w:szCs w:val="22"/>
          <w:rtl w:val="0"/>
          <w:lang w:val="en-US"/>
        </w:rPr>
        <w:t>rex</w:t>
      </w:r>
      <w:r>
        <w:rPr>
          <w:rStyle w:val="None A"/>
          <w:rFonts w:ascii="Arial" w:hAnsi="Arial"/>
          <w:sz w:val="22"/>
          <w:szCs w:val="22"/>
          <w:rtl w:val="0"/>
          <w:lang w:val="en-US"/>
        </w:rPr>
        <w:t xml:space="preserve"> integrates additional signals from the intracellular NADH/NAD+ ratio to also control carbohydrate fermentation. Low-level transcription of </w:t>
      </w:r>
      <w:r>
        <w:rPr>
          <w:rStyle w:val="None A"/>
          <w:rFonts w:ascii="Arial" w:hAnsi="Arial"/>
          <w:i w:val="1"/>
          <w:iCs w:val="1"/>
          <w:sz w:val="22"/>
          <w:szCs w:val="22"/>
          <w:rtl w:val="0"/>
          <w:lang w:val="en-US"/>
        </w:rPr>
        <w:t>prdR</w:t>
      </w:r>
      <w:r>
        <w:rPr>
          <w:rStyle w:val="None A"/>
          <w:rFonts w:ascii="Arial" w:hAnsi="Arial"/>
          <w:sz w:val="22"/>
          <w:szCs w:val="22"/>
          <w:rtl w:val="0"/>
          <w:lang w:val="en-US"/>
        </w:rPr>
        <w:t xml:space="preserve"> was found across all conditions, however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expression the </w:t>
      </w:r>
      <w:r>
        <w:rPr>
          <w:rStyle w:val="None A"/>
          <w:rFonts w:ascii="Arial" w:hAnsi="Arial"/>
          <w:i w:val="1"/>
          <w:iCs w:val="1"/>
          <w:sz w:val="22"/>
          <w:szCs w:val="22"/>
          <w:rtl w:val="0"/>
          <w:lang w:val="en-US"/>
        </w:rPr>
        <w:t>rex</w:t>
      </w:r>
      <w:r>
        <w:rPr>
          <w:rStyle w:val="None A"/>
          <w:rFonts w:ascii="Arial" w:hAnsi="Arial"/>
          <w:sz w:val="22"/>
          <w:szCs w:val="22"/>
          <w:rtl w:val="0"/>
          <w:lang w:val="en-US"/>
        </w:rPr>
        <w:t xml:space="preserve"> gene highly in both cefoperazone-treated and GF mice. Combined, the variable expression of these sigma factors support the hypothesis that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adapts expression metabolism to fit its needs between colonized environments.</w:t>
      </w:r>
    </w:p>
    <w:p>
      <w:pPr>
        <w:pStyle w:val="Default"/>
        <w:spacing w:line="480" w:lineRule="auto"/>
        <w:jc w:val="both"/>
      </w:pPr>
    </w:p>
    <w:p>
      <w:pPr>
        <w:pStyle w:val="Default"/>
        <w:spacing w:line="480" w:lineRule="auto"/>
        <w:jc w:val="both"/>
      </w:pPr>
      <w:r>
        <w:rPr>
          <w:rStyle w:val="None A"/>
          <w:rFonts w:ascii="Arial" w:hAnsi="Arial"/>
          <w:b w:val="1"/>
          <w:bCs w:val="1"/>
          <w:sz w:val="22"/>
          <w:szCs w:val="22"/>
          <w:rtl w:val="0"/>
          <w:lang w:val="en-US"/>
        </w:rPr>
        <w:t xml:space="preserve">Genes sets from multiple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metabolic pathways are differentially expressed between colonized environments.</w:t>
      </w:r>
    </w:p>
    <w:p>
      <w:pPr>
        <w:pStyle w:val="Default"/>
        <w:spacing w:line="480" w:lineRule="auto"/>
        <w:jc w:val="both"/>
      </w:pPr>
      <w:r>
        <w:rPr>
          <w:rStyle w:val="None A"/>
          <w:rFonts w:ascii="Arial" w:cs="Arial" w:hAnsi="Arial" w:eastAsia="Arial"/>
          <w:sz w:val="22"/>
          <w:szCs w:val="22"/>
          <w:rtl w:val="0"/>
        </w:rPr>
        <w:tab/>
        <w:t xml:space="preserve">In the context of similar colonization between antibiotic-treated animals, differential expression of global metabolic control mechanisms that are under the control of specific nutrient concentrations suggests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adapts to each environment when in competition with the resident microbiota. To test this further, we quantified the percentage of the total expression for all annotated genes on a per gene basis (Fig. 4). The distribution of points indicated that there were large scale differences in expression  between each group</w:t>
      </w:r>
      <w:r>
        <w:rPr>
          <w:rtl w:val="0"/>
          <w:lang w:val="en-US"/>
        </w:rPr>
        <w:t xml:space="preserve"> </w:t>
      </w:r>
      <w:r>
        <w:rPr>
          <w:rStyle w:val="None A"/>
          <w:rFonts w:ascii="Arial" w:hAnsi="Arial"/>
          <w:sz w:val="22"/>
          <w:szCs w:val="22"/>
          <w:rtl w:val="0"/>
          <w:lang w:val="en-US"/>
        </w:rPr>
        <w:t>(Fig. 4a), but lacking functional labels isn</w:t>
      </w:r>
      <w:r>
        <w:rPr>
          <w:rStyle w:val="None A"/>
          <w:rFonts w:ascii="Arial" w:hAnsi="Arial" w:hint="default"/>
          <w:sz w:val="22"/>
          <w:szCs w:val="22"/>
          <w:rtl w:val="0"/>
          <w:lang w:val="en-US"/>
        </w:rPr>
        <w:t>’</w:t>
      </w:r>
      <w:r>
        <w:rPr>
          <w:rStyle w:val="None A"/>
          <w:rFonts w:ascii="Arial" w:hAnsi="Arial"/>
          <w:sz w:val="22"/>
          <w:szCs w:val="22"/>
          <w:rtl w:val="0"/>
          <w:lang w:val="en-US"/>
        </w:rPr>
        <w:t xml:space="preserve">t informative for uncovering differences in metabolic strategy. We then identified gene sets based on established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and displayed highest expression of those genes among the three antibiotic treatment groups. The highest overall expression was for those genes involved in amino acid catabolism (Table S2). These findings suggest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utilizes amino acids for energy as a central part of its metabolism</w:t>
      </w:r>
      <w:r>
        <w:rPr>
          <w:rStyle w:val="None A"/>
          <w:rFonts w:ascii="Arial" w:hAnsi="Arial"/>
          <w:i w:val="1"/>
          <w:iCs w:val="1"/>
          <w:sz w:val="22"/>
          <w:szCs w:val="22"/>
          <w:rtl w:val="0"/>
          <w:lang w:val="en-US"/>
        </w:rPr>
        <w:t xml:space="preserve"> </w:t>
      </w:r>
      <w:r>
        <w:rPr>
          <w:rStyle w:val="None A"/>
          <w:rFonts w:ascii="Arial" w:hAnsi="Arial"/>
          <w:sz w:val="22"/>
          <w:szCs w:val="22"/>
          <w:rtl w:val="0"/>
          <w:lang w:val="en-US"/>
        </w:rPr>
        <w:t>during infection under any condition.</w:t>
      </w:r>
    </w:p>
    <w:p>
      <w:pPr>
        <w:pStyle w:val="Default"/>
        <w:spacing w:line="480" w:lineRule="auto"/>
        <w:jc w:val="both"/>
        <w:rPr>
          <w:rFonts w:ascii="Arial" w:cs="Arial" w:hAnsi="Arial" w:eastAsia="Arial"/>
          <w:sz w:val="22"/>
          <w:szCs w:val="22"/>
        </w:rPr>
      </w:pPr>
    </w:p>
    <w:p>
      <w:pPr>
        <w:pStyle w:val="Default"/>
        <w:spacing w:line="480" w:lineRule="auto"/>
        <w:jc w:val="both"/>
        <w:rPr>
          <w:rFonts w:ascii="Arial" w:cs="Arial" w:hAnsi="Arial" w:eastAsia="Arial"/>
          <w:sz w:val="22"/>
          <w:szCs w:val="22"/>
        </w:rPr>
      </w:pP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cs="Arial" w:hAnsi="Arial" w:eastAsia="Arial"/>
          <w:sz w:val="22"/>
          <w:szCs w:val="22"/>
          <w:rtl w:val="0"/>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Style w:val="None A"/>
          <w:rFonts w:ascii="Arial" w:hAnsi="Arial"/>
          <w:i w:val="1"/>
          <w:iCs w:val="1"/>
          <w:sz w:val="22"/>
          <w:szCs w:val="22"/>
          <w:rtl w:val="0"/>
          <w:lang w:val="en-US"/>
        </w:rPr>
        <w:t>mtl</w:t>
      </w:r>
      <w:r>
        <w:rPr>
          <w:rStyle w:val="None A"/>
          <w:rFonts w:ascii="Arial" w:hAnsi="Arial"/>
          <w:sz w:val="22"/>
          <w:szCs w:val="22"/>
          <w:rtl w:val="0"/>
          <w:lang w:val="en-US"/>
        </w:rPr>
        <w:t xml:space="preserve"> operon) were overrepresented in cefoparazone-treated mice and expression of genes for sorbitol utilization (</w:t>
      </w:r>
      <w:r>
        <w:rPr>
          <w:rStyle w:val="None A"/>
          <w:rFonts w:ascii="Arial" w:hAnsi="Arial"/>
          <w:i w:val="1"/>
          <w:iCs w:val="1"/>
          <w:sz w:val="22"/>
          <w:szCs w:val="22"/>
          <w:rtl w:val="0"/>
          <w:lang w:val="en-US"/>
        </w:rPr>
        <w:t>srl</w:t>
      </w:r>
      <w:r>
        <w:rPr>
          <w:rStyle w:val="None A"/>
          <w:rFonts w:ascii="Arial" w:hAnsi="Arial"/>
          <w:sz w:val="22"/>
          <w:szCs w:val="22"/>
          <w:rtl w:val="0"/>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through separate pathways with shared terminal steps. Transcripts for genes involved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butyrate/butanol metabolism (</w:t>
      </w:r>
      <w:r>
        <w:rPr>
          <w:rStyle w:val="None A"/>
          <w:rFonts w:ascii="Arial" w:hAnsi="Arial"/>
          <w:i w:val="1"/>
          <w:iCs w:val="1"/>
          <w:sz w:val="22"/>
          <w:szCs w:val="22"/>
          <w:rtl w:val="0"/>
          <w:lang w:val="en-US"/>
        </w:rPr>
        <w:t>ptb</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buk1</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cat2</w:t>
      </w:r>
      <w:r>
        <w:rPr>
          <w:rStyle w:val="None A"/>
          <w:rFonts w:ascii="Arial" w:hAnsi="Arial"/>
          <w:sz w:val="22"/>
          <w:szCs w:val="22"/>
          <w:rtl w:val="0"/>
          <w:lang w:val="en-US"/>
        </w:rPr>
        <w:t xml:space="preserve">, and </w:t>
      </w:r>
      <w:bookmarkStart w:name="_DdeLink__1230_954670323" w:id="0"/>
      <w:r>
        <w:rPr>
          <w:rStyle w:val="None A"/>
          <w:rFonts w:ascii="Arial" w:hAnsi="Arial"/>
          <w:i w:val="1"/>
          <w:iCs w:val="1"/>
          <w:sz w:val="22"/>
          <w:szCs w:val="22"/>
          <w:rtl w:val="0"/>
          <w:lang w:val="en-US"/>
        </w:rPr>
        <w:t>adhE</w:t>
      </w:r>
      <w:bookmarkEnd w:id="0"/>
      <w:r>
        <w:rPr>
          <w:rStyle w:val="None A"/>
          <w:rFonts w:ascii="Arial" w:hAnsi="Arial"/>
          <w:sz w:val="22"/>
          <w:szCs w:val="22"/>
          <w:rtl w:val="0"/>
          <w:lang w:val="en-US"/>
        </w:rPr>
        <w:t>) were more abundant in  clindamycin-treated mice. Additionally, alpha/beta-galactosidase genes (</w:t>
      </w:r>
      <w:r>
        <w:rPr>
          <w:rStyle w:val="None A"/>
          <w:rFonts w:ascii="Arial" w:hAnsi="Arial"/>
          <w:i w:val="1"/>
          <w:iCs w:val="1"/>
          <w:sz w:val="22"/>
          <w:szCs w:val="22"/>
          <w:rtl w:val="0"/>
          <w:lang w:val="en-US"/>
        </w:rPr>
        <w:t>aglB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bglA</w:t>
      </w:r>
      <w:r>
        <w:rPr>
          <w:rStyle w:val="None A"/>
          <w:rFonts w:ascii="Arial" w:hAnsi="Arial"/>
          <w:sz w:val="22"/>
          <w:szCs w:val="22"/>
          <w:rtl w:val="0"/>
          <w:lang w:val="en-US"/>
        </w:rPr>
        <w:t>)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rStyle w:val="None A"/>
          <w:rFonts w:ascii="Arial" w:hAnsi="Arial"/>
          <w:i w:val="1"/>
          <w:iCs w:val="1"/>
          <w:sz w:val="22"/>
          <w:szCs w:val="22"/>
          <w:rtl w:val="0"/>
          <w:lang w:val="en-US"/>
        </w:rPr>
        <w:t>eno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gapA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gpmI</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tpi</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pyk</w:t>
      </w:r>
      <w:r>
        <w:rPr>
          <w:rStyle w:val="None A"/>
          <w:rFonts w:ascii="Arial" w:hAnsi="Arial"/>
          <w:sz w:val="22"/>
          <w:szCs w:val="22"/>
          <w:rtl w:val="0"/>
          <w:lang w:val="en-US"/>
        </w:rPr>
        <w:t xml:space="preserve">) were overrepresented in cefoparazone-treated mice, however </w:t>
      </w:r>
      <w:r>
        <w:rPr>
          <w:rStyle w:val="None A"/>
          <w:rFonts w:ascii="Arial" w:hAnsi="Arial"/>
          <w:i w:val="1"/>
          <w:iCs w:val="1"/>
          <w:sz w:val="22"/>
          <w:szCs w:val="22"/>
          <w:rtl w:val="0"/>
          <w:lang w:val="en-US"/>
        </w:rPr>
        <w:t>fruK</w:t>
      </w:r>
      <w:r>
        <w:rPr>
          <w:rStyle w:val="None A"/>
          <w:rFonts w:ascii="Arial" w:hAnsi="Arial"/>
          <w:sz w:val="22"/>
          <w:szCs w:val="22"/>
          <w:rtl w:val="0"/>
          <w:lang w:val="en-US"/>
        </w:rPr>
        <w:t xml:space="preserve"> is overrepresented in streptomycin-treated mice which catalyzes the committed step of glycolysis. Overall, these results support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adapt its metabolism to fit the nutrient availability across different susceptible environments.</w:t>
      </w:r>
    </w:p>
    <w:p>
      <w:pPr>
        <w:pStyle w:val="Default"/>
        <w:spacing w:line="480" w:lineRule="auto"/>
        <w:jc w:val="both"/>
      </w:pPr>
      <w:r>
        <w:tab/>
      </w:r>
      <w:r>
        <w:rPr>
          <w:rStyle w:val="None A"/>
          <w:rFonts w:ascii="Arial" w:hAnsi="Arial"/>
          <w:sz w:val="22"/>
          <w:szCs w:val="22"/>
          <w:rtl w:val="0"/>
          <w:lang w:val="en-US"/>
        </w:rPr>
        <w:t>Conversely, the expression of genes associated with amino acid catabolism were consistently expressed at relatively equal levels across the conditions (Fig. 4h). This gene category includes those enzymes involved in Stickland fermentation (</w:t>
      </w:r>
      <w:r>
        <w:rPr>
          <w:rStyle w:val="None A"/>
          <w:rFonts w:ascii="Arial" w:hAnsi="Arial"/>
          <w:i w:val="1"/>
          <w:iCs w:val="1"/>
          <w:sz w:val="22"/>
          <w:szCs w:val="22"/>
          <w:rtl w:val="0"/>
          <w:lang w:val="en-US"/>
        </w:rPr>
        <w:t>arg</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fdh</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 xml:space="preserve">prd </w:t>
      </w:r>
      <w:r>
        <w:rPr>
          <w:rStyle w:val="None A"/>
          <w:rFonts w:ascii="Arial" w:hAnsi="Arial"/>
          <w:sz w:val="22"/>
          <w:szCs w:val="22"/>
          <w:rtl w:val="0"/>
          <w:lang w:val="en-US"/>
        </w:rPr>
        <w:t>loci) as well as several general peptidases (</w:t>
      </w:r>
      <w:r>
        <w:rPr>
          <w:rStyle w:val="None A"/>
          <w:rFonts w:ascii="Arial" w:hAnsi="Arial"/>
          <w:i w:val="1"/>
          <w:iCs w:val="1"/>
          <w:sz w:val="22"/>
          <w:szCs w:val="22"/>
          <w:rtl w:val="0"/>
          <w:lang w:val="en-US"/>
        </w:rPr>
        <w:t>pep</w:t>
      </w:r>
      <w:r>
        <w:rPr>
          <w:rStyle w:val="None A"/>
          <w:rFonts w:ascii="Arial" w:hAnsi="Arial"/>
          <w:sz w:val="22"/>
          <w:szCs w:val="22"/>
          <w:rtl w:val="0"/>
          <w:lang w:val="en-US"/>
        </w:rPr>
        <w:t xml:space="preserve"> family). Additionally, genes for the metabolism of the host-derived amino sugars N-acetylglucosamine and N-acetylmannosamine were also expressed at consistent levels across each treatment group (</w:t>
      </w:r>
      <w:r>
        <w:rPr>
          <w:rStyle w:val="None A"/>
          <w:rFonts w:ascii="Arial" w:hAnsi="Arial"/>
          <w:i w:val="1"/>
          <w:iCs w:val="1"/>
          <w:sz w:val="22"/>
          <w:szCs w:val="22"/>
          <w:rtl w:val="0"/>
          <w:lang w:val="en-US"/>
        </w:rPr>
        <w:t>glm</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nan</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mur</w:t>
      </w:r>
      <w:r>
        <w:rPr>
          <w:rStyle w:val="None A"/>
          <w:rFonts w:ascii="Arial" w:hAnsi="Arial"/>
          <w:sz w:val="22"/>
          <w:szCs w:val="22"/>
          <w:rtl w:val="0"/>
          <w:lang w:val="en-US"/>
        </w:rPr>
        <w:t>, and</w:t>
      </w:r>
      <w:r>
        <w:rPr>
          <w:rStyle w:val="None A"/>
          <w:rFonts w:ascii="Arial" w:hAnsi="Arial"/>
          <w:i w:val="1"/>
          <w:iCs w:val="1"/>
          <w:sz w:val="22"/>
          <w:szCs w:val="22"/>
          <w:rtl w:val="0"/>
          <w:lang w:val="en-US"/>
        </w:rPr>
        <w:t xml:space="preserve"> acd</w:t>
      </w:r>
      <w:r>
        <w:rPr>
          <w:rStyle w:val="None A"/>
          <w:rFonts w:ascii="Arial" w:hAnsi="Arial"/>
          <w:sz w:val="22"/>
          <w:szCs w:val="22"/>
          <w:rtl w:val="0"/>
          <w:lang w:val="en-US"/>
        </w:rPr>
        <w:t xml:space="preserve"> loci) (Fig. 4i). Along similar lines with closely related molecules, a number of genes for other monosaccharide catabolism were expressed relatively evenly between each condition. This includes glycolysis-associated genes (</w:t>
      </w:r>
      <w:r>
        <w:rPr>
          <w:rStyle w:val="None A"/>
          <w:rFonts w:ascii="Arial" w:hAnsi="Arial"/>
          <w:i w:val="1"/>
          <w:iCs w:val="1"/>
          <w:sz w:val="22"/>
          <w:szCs w:val="22"/>
          <w:rtl w:val="0"/>
          <w:lang w:val="en-US"/>
        </w:rPr>
        <w:t>fba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fbp</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gap</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pfk)</w:t>
      </w:r>
      <w:r>
        <w:rPr>
          <w:rStyle w:val="None A"/>
          <w:rFonts w:ascii="Arial" w:hAnsi="Arial"/>
          <w:sz w:val="22"/>
          <w:szCs w:val="22"/>
          <w:rtl w:val="0"/>
          <w:lang w:val="en-US"/>
        </w:rPr>
        <w:t xml:space="preserve"> as well as several genes (</w:t>
      </w:r>
      <w:r>
        <w:rPr>
          <w:rStyle w:val="None A"/>
          <w:rFonts w:ascii="Arial" w:hAnsi="Arial"/>
          <w:i w:val="1"/>
          <w:iCs w:val="1"/>
          <w:sz w:val="22"/>
          <w:szCs w:val="22"/>
          <w:rtl w:val="0"/>
          <w:lang w:val="en-US"/>
        </w:rPr>
        <w:t>gal</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man</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pmi</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tag</w:t>
      </w:r>
      <w:r>
        <w:rPr>
          <w:rStyle w:val="None A"/>
          <w:rFonts w:ascii="Arial" w:hAnsi="Arial"/>
          <w:sz w:val="22"/>
          <w:szCs w:val="22"/>
          <w:rtl w:val="0"/>
          <w:lang w:val="en-US"/>
        </w:rPr>
        <w:t xml:space="preserve"> loci) for bringing different monosaccharides into glycolysis (including galactose, mannose, and tagatose). Combined, these findings suggest that catabolism of amino acids and specific monosaccharides are core components of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nutritional strategy during infection.</w:t>
      </w:r>
    </w:p>
    <w:p>
      <w:pPr>
        <w:pStyle w:val="Default"/>
        <w:spacing w:line="480" w:lineRule="auto"/>
        <w:jc w:val="both"/>
        <w:rPr>
          <w:rFonts w:ascii="Arial" w:cs="Arial" w:hAnsi="Arial" w:eastAsia="Arial"/>
          <w:sz w:val="22"/>
          <w:szCs w:val="22"/>
        </w:rPr>
      </w:pPr>
    </w:p>
    <w:p>
      <w:pPr>
        <w:pStyle w:val="Default"/>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Genome-scale Bipartite metabolic models underscore known bacterial metabolism.</w:t>
      </w:r>
    </w:p>
    <w:p>
      <w:pPr>
        <w:pStyle w:val="Default"/>
        <w:spacing w:line="480" w:lineRule="auto"/>
        <w:ind w:firstLine="709"/>
        <w:jc w:val="both"/>
      </w:pPr>
      <w:r>
        <w:rPr>
          <w:rStyle w:val="None A"/>
          <w:rFonts w:ascii="Arial" w:hAnsi="Arial"/>
          <w:sz w:val="22"/>
          <w:szCs w:val="22"/>
          <w:rtl w:val="0"/>
          <w:lang w:val="en-US"/>
        </w:rPr>
        <w:t xml:space="preserve">To further investigate which metabolites are differentially utilized between conditions, we represented the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generated for this study (Table S3). In biological terms BC reflects the amount of influence a given hub has on the overall flow of metabolism through the network (Potapov, 2005), and OCCI indicates those enzymes and substrates that are the most central components of the organism</w:t>
      </w:r>
      <w:r>
        <w:rPr>
          <w:rStyle w:val="None A"/>
          <w:rFonts w:ascii="Arial" w:hAnsi="Arial" w:hint="default"/>
          <w:sz w:val="22"/>
          <w:szCs w:val="22"/>
          <w:rtl w:val="0"/>
          <w:lang w:val="en-US"/>
        </w:rPr>
        <w:t>’</w:t>
      </w:r>
      <w:r>
        <w:rPr>
          <w:rStyle w:val="None A"/>
          <w:rFonts w:ascii="Arial" w:hAnsi="Arial"/>
          <w:sz w:val="22"/>
          <w:szCs w:val="22"/>
          <w:rtl w:val="0"/>
          <w:lang w:val="en-US"/>
        </w:rPr>
        <w:t>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i w:val="1"/>
          <w:iCs w:val="1"/>
          <w:sz w:val="22"/>
          <w:szCs w:val="22"/>
          <w:shd w:val="clear" w:color="auto" w:fill="ffffff"/>
          <w:rtl w:val="0"/>
          <w:lang w:val="en-US"/>
        </w:rPr>
        <w:t>In vitro</w:t>
      </w:r>
      <w:r>
        <w:rPr>
          <w:rStyle w:val="None A"/>
          <w:rFonts w:ascii="Arial" w:hAnsi="Arial"/>
          <w:b w:val="1"/>
          <w:bCs w:val="1"/>
          <w:sz w:val="22"/>
          <w:szCs w:val="22"/>
          <w:shd w:val="clear" w:color="auto" w:fill="ffffff"/>
          <w:rtl w:val="0"/>
          <w:lang w:val="en-US"/>
        </w:rPr>
        <w:t xml:space="preserve"> C. difficile transcriptome from defined media validates metabolite importance scores.</w:t>
      </w:r>
    </w:p>
    <w:p>
      <w:pPr>
        <w:pStyle w:val="Default"/>
        <w:spacing w:line="480" w:lineRule="auto"/>
        <w:ind w:firstLine="709"/>
        <w:jc w:val="both"/>
      </w:pPr>
      <w:r>
        <w:rPr>
          <w:rStyle w:val="None A"/>
          <w:rFonts w:ascii="Arial" w:hAnsi="Arial"/>
          <w:sz w:val="22"/>
          <w:szCs w:val="22"/>
          <w:shd w:val="clear" w:color="auto" w:fill="ffffff"/>
          <w:rtl w:val="0"/>
          <w:lang w:val="en-US"/>
        </w:rPr>
        <w:t xml:space="preserve">Moving beyond a strictly topological analysis of the </w:t>
      </w:r>
      <w:r>
        <w:rPr>
          <w:rStyle w:val="None A"/>
          <w:rFonts w:ascii="Arial" w:hAnsi="Arial"/>
          <w:i w:val="1"/>
          <w:iCs w:val="1"/>
          <w:sz w:val="22"/>
          <w:szCs w:val="22"/>
          <w:shd w:val="clear" w:color="auto" w:fill="ffffff"/>
          <w:rtl w:val="0"/>
          <w:lang w:val="en-US"/>
        </w:rPr>
        <w:t>C. difficile</w:t>
      </w:r>
      <w:r>
        <w:rPr>
          <w:rStyle w:val="None A"/>
          <w:rFonts w:ascii="Arial" w:hAnsi="Arial"/>
          <w:sz w:val="22"/>
          <w:szCs w:val="22"/>
          <w:shd w:val="clear" w:color="auto" w:fill="ffffff"/>
          <w:rtl w:val="0"/>
          <w:lang w:val="en-US"/>
        </w:rPr>
        <w:t xml:space="preserve"> metabolic network, we sought to utilize transcriptomic data to infer which metabolites </w:t>
      </w:r>
      <w:r>
        <w:rPr>
          <w:rStyle w:val="None A"/>
          <w:rFonts w:ascii="Arial" w:hAnsi="Arial"/>
          <w:i w:val="1"/>
          <w:iCs w:val="1"/>
          <w:sz w:val="22"/>
          <w:szCs w:val="22"/>
          <w:shd w:val="clear" w:color="auto" w:fill="ffffff"/>
          <w:rtl w:val="0"/>
          <w:lang w:val="en-US"/>
        </w:rPr>
        <w:t>C. difficile</w:t>
      </w:r>
      <w:r>
        <w:rPr>
          <w:rStyle w:val="None A"/>
          <w:rFonts w:ascii="Arial" w:hAnsi="Arial"/>
          <w:sz w:val="22"/>
          <w:szCs w:val="22"/>
          <w:shd w:val="clear" w:color="auto" w:fill="ffffff"/>
          <w:rtl w:val="0"/>
          <w:lang w:val="en-US"/>
        </w:rPr>
        <w:t xml:space="preserve"> 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5a). A metabolite with a high importance score is most likely obtained from the environment because the expression of genes for enzymes that produce the metabolite are low. </w:t>
      </w:r>
    </w:p>
    <w:p>
      <w:pPr>
        <w:pStyle w:val="Default"/>
        <w:spacing w:line="480" w:lineRule="auto"/>
        <w:ind w:firstLine="709"/>
        <w:jc w:val="both"/>
      </w:pPr>
      <w:r>
        <w:rPr>
          <w:rStyle w:val="None A"/>
          <w:rFonts w:ascii="Arial" w:hAnsi="Arial"/>
          <w:sz w:val="22"/>
          <w:szCs w:val="22"/>
          <w:shd w:val="clear" w:color="auto" w:fill="ffffff"/>
          <w:rtl w:val="0"/>
          <w:lang w:val="en-US"/>
        </w:rPr>
        <w:t xml:space="preserve">In order to validate this approach we tested our metabolite importance calculation on transcriptomic data collected from </w:t>
      </w:r>
      <w:r>
        <w:rPr>
          <w:rStyle w:val="None A"/>
          <w:rFonts w:ascii="Arial" w:hAnsi="Arial"/>
          <w:i w:val="1"/>
          <w:iCs w:val="1"/>
          <w:sz w:val="22"/>
          <w:szCs w:val="22"/>
          <w:shd w:val="clear" w:color="auto" w:fill="ffffff"/>
          <w:rtl w:val="0"/>
          <w:lang w:val="en-US"/>
        </w:rPr>
        <w:t xml:space="preserve">C. difficile </w:t>
      </w:r>
      <w:r>
        <w:rPr>
          <w:rStyle w:val="None A"/>
          <w:rFonts w:ascii="Arial" w:hAnsi="Arial"/>
          <w:sz w:val="22"/>
          <w:szCs w:val="22"/>
          <w:shd w:val="clear" w:color="auto" w:fill="ffffff"/>
          <w:rtl w:val="0"/>
          <w:lang w:val="en-US"/>
        </w:rPr>
        <w:t xml:space="preserve">growing at exponential phase in minimal media where the only useable carbohydrate is D-glucose (Fig. 5b). Following importance calculation, </w:t>
      </w:r>
      <w:r>
        <w:rPr>
          <w:rStyle w:val="None A"/>
          <w:rFonts w:ascii="Arial" w:hAnsi="Arial" w:hint="default"/>
          <w:sz w:val="22"/>
          <w:szCs w:val="22"/>
          <w:shd w:val="clear" w:color="auto" w:fill="ffffff"/>
          <w:rtl w:val="0"/>
          <w:lang w:val="en-US"/>
        </w:rPr>
        <w:t xml:space="preserve">… </w:t>
      </w:r>
      <w:r>
        <w:rPr>
          <w:rStyle w:val="None A"/>
          <w:rFonts w:ascii="Arial" w:hAnsi="Arial"/>
          <w:sz w:val="22"/>
          <w:szCs w:val="22"/>
          <w:shd w:val="clear" w:color="auto" w:fill="ffffff"/>
          <w:rtl w:val="0"/>
          <w:lang w:val="en-US"/>
        </w:rPr>
        <w:t xml:space="preserve">(Fig. 5c). This demonstrated the our metabolite importance calculation reflected real biological patterns and could correctly identify the nutrients that </w:t>
      </w:r>
      <w:r>
        <w:rPr>
          <w:rStyle w:val="None A"/>
          <w:rFonts w:ascii="Arial" w:hAnsi="Arial"/>
          <w:i w:val="1"/>
          <w:iCs w:val="1"/>
          <w:sz w:val="22"/>
          <w:szCs w:val="22"/>
          <w:shd w:val="clear" w:color="auto" w:fill="ffffff"/>
          <w:rtl w:val="0"/>
          <w:lang w:val="en-US"/>
        </w:rPr>
        <w:t>C. difficile</w:t>
      </w:r>
      <w:r>
        <w:rPr>
          <w:rStyle w:val="None A"/>
          <w:rFonts w:ascii="Arial" w:hAnsi="Arial"/>
          <w:sz w:val="22"/>
          <w:szCs w:val="22"/>
          <w:shd w:val="clear" w:color="auto" w:fill="ffffff"/>
          <w:rtl w:val="0"/>
          <w:lang w:val="en-US"/>
        </w:rPr>
        <w:t xml:space="preserve"> is consuming from the environment at a given time.</w:t>
      </w:r>
    </w:p>
    <w:p>
      <w:pPr>
        <w:pStyle w:val="Default"/>
        <w:spacing w:line="480" w:lineRule="auto"/>
        <w:ind w:firstLine="709"/>
        <w:jc w:val="both"/>
      </w:pPr>
    </w:p>
    <w:p>
      <w:pPr>
        <w:pStyle w:val="Default"/>
        <w:spacing w:line="480" w:lineRule="auto"/>
        <w:jc w:val="both"/>
      </w:pPr>
      <w:r>
        <w:rPr>
          <w:rStyle w:val="None A"/>
          <w:rFonts w:ascii="Arial" w:hAnsi="Arial"/>
          <w:b w:val="1"/>
          <w:bCs w:val="1"/>
          <w:sz w:val="22"/>
          <w:szCs w:val="22"/>
          <w:shd w:val="clear" w:color="auto" w:fill="ffffff"/>
          <w:rtl w:val="0"/>
          <w:lang w:val="en-US"/>
        </w:rPr>
        <w:t xml:space="preserve">Metabolite importance algorithm reveals adaptive nutritional strategies of </w:t>
      </w:r>
      <w:r>
        <w:rPr>
          <w:rStyle w:val="None A"/>
          <w:rFonts w:ascii="Arial" w:hAnsi="Arial"/>
          <w:b w:val="1"/>
          <w:bCs w:val="1"/>
          <w:i w:val="1"/>
          <w:iCs w:val="1"/>
          <w:sz w:val="22"/>
          <w:szCs w:val="22"/>
          <w:shd w:val="clear" w:color="auto" w:fill="ffffff"/>
          <w:rtl w:val="0"/>
          <w:lang w:val="en-US"/>
        </w:rPr>
        <w:t xml:space="preserve">C. difficile </w:t>
      </w:r>
      <w:r>
        <w:rPr>
          <w:rStyle w:val="None A"/>
          <w:rFonts w:ascii="Arial" w:hAnsi="Arial"/>
          <w:b w:val="1"/>
          <w:bCs w:val="1"/>
          <w:sz w:val="22"/>
          <w:szCs w:val="22"/>
          <w:shd w:val="clear" w:color="auto" w:fill="ffffff"/>
          <w:rtl w:val="0"/>
          <w:lang w:val="en-US"/>
        </w:rPr>
        <w:t>during infection across distinct environments</w:t>
      </w:r>
    </w:p>
    <w:p>
      <w:pPr>
        <w:pStyle w:val="Default"/>
        <w:spacing w:line="480" w:lineRule="auto"/>
        <w:ind w:firstLine="709"/>
        <w:jc w:val="both"/>
      </w:pPr>
      <w:r>
        <w:rPr>
          <w:rStyle w:val="None A"/>
          <w:rFonts w:ascii="Arial" w:hAnsi="Arial"/>
          <w:sz w:val="22"/>
          <w:szCs w:val="22"/>
          <w:shd w:val="clear" w:color="auto" w:fill="ffffff"/>
          <w:rtl w:val="0"/>
          <w:lang w:val="en-US"/>
        </w:rPr>
        <w:t xml:space="preserve">Then applied these methods to the C. difficile transcriptomic data collected from the </w:t>
      </w:r>
      <w:r>
        <w:rPr>
          <w:rStyle w:val="None A"/>
          <w:rFonts w:ascii="Arial" w:hAnsi="Arial"/>
          <w:i w:val="1"/>
          <w:iCs w:val="1"/>
          <w:sz w:val="22"/>
          <w:szCs w:val="22"/>
          <w:shd w:val="clear" w:color="auto" w:fill="ffffff"/>
          <w:rtl w:val="0"/>
          <w:lang w:val="en-US"/>
        </w:rPr>
        <w:t>in vivo</w:t>
      </w:r>
      <w:r>
        <w:rPr>
          <w:rStyle w:val="None A"/>
          <w:rFonts w:ascii="Arial" w:hAnsi="Arial"/>
          <w:sz w:val="22"/>
          <w:szCs w:val="22"/>
          <w:shd w:val="clear" w:color="auto" w:fill="ffffff"/>
          <w:rtl w:val="0"/>
          <w:lang w:val="en-US"/>
        </w:rPr>
        <w:t xml:space="preserve"> CDI models to assess differential patterns of metabolite importance. We first ranked the importance scores to identify the most important metabolites for each treatment group (Table S5), however a more informative effort is to </w:t>
      </w:r>
      <w:r>
        <w:rPr>
          <w:rStyle w:val="None A"/>
          <w:rFonts w:ascii="Arial" w:hAnsi="Arial"/>
          <w:sz w:val="22"/>
          <w:szCs w:val="22"/>
          <w:rtl w:val="0"/>
          <w:lang w:val="en-US"/>
        </w:rPr>
        <w:t xml:space="preserve">identify the core metabolites that are essential to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in any condition. To achieve this goal, we compared the top 50 scoring metabolites from each treatment group to find those metabolites that were important across all conditions (Fig. 6a). Each of the metabolites conserved between all groups scored more highly than the levels simulated from random transcript distributions (vertical black lines). The host derived amino sugar N-acetyl-D-glucosamine was found to be consistently important, indicating that it may be an integral component of the nutrient niche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produces acetate during fermentation and metabolizes it effectively to utilize in glycolysis (Karlsson, 2008). We directly tested the relative concentration of acetate in cefoperazone-treated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-infected mice versus mock-infected mice. We found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led to a significant decrease in the levels of acetate (Fig. S7) suggesting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utilizing acetate. These findings provided validation for our metabolite importance algorithm as well as supporting known elements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w:t>
      </w:r>
    </w:p>
    <w:p>
      <w:pPr>
        <w:pStyle w:val="Default"/>
        <w:spacing w:line="480" w:lineRule="auto"/>
        <w:jc w:val="both"/>
      </w:pPr>
      <w:r>
        <w:rPr>
          <w:rStyle w:val="None A"/>
          <w:rFonts w:ascii="Arial" w:cs="Arial" w:hAnsi="Arial" w:eastAsia="Arial"/>
          <w:sz w:val="22"/>
          <w:szCs w:val="22"/>
          <w:rtl w:val="0"/>
        </w:rPr>
        <w:tab/>
        <w:t xml:space="preserve">Returning to our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adapts its metabolism to fit the surrounding community, we identified those metabolites that were uniquely important to each condition in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colonized. We cross-referenced the top 25 positively scoring substrates between treatment groups to uncover the most important patterns of nutrient utilization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each (Fig. 6b). Only metabolites that were most important in the antibiotic-treated conditions all score more highly than their simulated median scores. Each group of metabolites contained at least one known carbohydrate growth substrate of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(Ng, 2013; Theriot, 2014). This included close analogs of D-fructose, mannitol, N-acetylneuraminic acid, salicin, and D-sorbitol. Furthermore, in GF mice where no other competitors are present, our model indicates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more likely to acquires several amino acids (lysine, leucine, and isoleucine) from the environment instead of expending energy to produce them itself. These data support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may exploit alternative nutrient sources between the susceptible environments it colonizes.</w:t>
      </w:r>
    </w:p>
    <w:p>
      <w:pPr>
        <w:pStyle w:val="Default"/>
        <w:spacing w:line="480" w:lineRule="auto"/>
        <w:jc w:val="both"/>
        <w:rPr>
          <w:rFonts w:ascii="Arial" w:cs="Arial" w:hAnsi="Arial" w:eastAsia="Arial"/>
          <w:b w:val="1"/>
          <w:bCs w:val="1"/>
          <w:sz w:val="22"/>
          <w:szCs w:val="22"/>
        </w:rPr>
      </w:pPr>
    </w:p>
    <w:p>
      <w:pPr>
        <w:pStyle w:val="Default"/>
        <w:spacing w:line="480" w:lineRule="auto"/>
        <w:jc w:val="both"/>
      </w:pPr>
      <w:r>
        <w:rPr>
          <w:rStyle w:val="None A"/>
          <w:rFonts w:ascii="Arial" w:hAnsi="Arial"/>
          <w:b w:val="1"/>
          <w:bCs w:val="1"/>
          <w:sz w:val="22"/>
          <w:szCs w:val="22"/>
          <w:rtl w:val="0"/>
          <w:lang w:val="en-US"/>
        </w:rPr>
        <w:t xml:space="preserve">Important carbon sources </w:t>
      </w:r>
      <w:r>
        <w:rPr>
          <w:rStyle w:val="None A"/>
          <w:rFonts w:ascii="Arial" w:hAnsi="Arial"/>
          <w:b w:val="1"/>
          <w:bCs w:val="1"/>
          <w:i w:val="1"/>
          <w:iCs w:val="1"/>
          <w:sz w:val="22"/>
          <w:szCs w:val="22"/>
          <w:rtl w:val="0"/>
          <w:lang w:val="en-US"/>
        </w:rPr>
        <w:t>in vivo</w:t>
      </w:r>
      <w:r>
        <w:rPr>
          <w:rStyle w:val="None A"/>
          <w:rFonts w:ascii="Arial" w:hAnsi="Arial"/>
          <w:b w:val="1"/>
          <w:bCs w:val="1"/>
          <w:sz w:val="22"/>
          <w:szCs w:val="22"/>
          <w:rtl w:val="0"/>
          <w:lang w:val="en-US"/>
        </w:rPr>
        <w:t xml:space="preserve"> according to network-based approach support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differential growth </w:t>
      </w:r>
      <w:r>
        <w:rPr>
          <w:rStyle w:val="None A"/>
          <w:rFonts w:ascii="Arial" w:hAnsi="Arial"/>
          <w:b w:val="1"/>
          <w:bCs w:val="1"/>
          <w:i w:val="1"/>
          <w:iCs w:val="1"/>
          <w:sz w:val="22"/>
          <w:szCs w:val="22"/>
          <w:rtl w:val="0"/>
          <w:lang w:val="en-US"/>
        </w:rPr>
        <w:t>in vitro</w:t>
      </w:r>
      <w:r>
        <w:rPr>
          <w:rStyle w:val="None A"/>
          <w:rFonts w:ascii="Arial" w:hAnsi="Arial"/>
          <w:b w:val="1"/>
          <w:bCs w:val="1"/>
          <w:sz w:val="22"/>
          <w:szCs w:val="22"/>
          <w:rtl w:val="0"/>
          <w:lang w:val="en-US"/>
        </w:rPr>
        <w:t>.</w:t>
      </w:r>
    </w:p>
    <w:p>
      <w:pPr>
        <w:pStyle w:val="Default"/>
        <w:spacing w:line="480" w:lineRule="auto"/>
        <w:ind w:firstLine="709"/>
        <w:jc w:val="both"/>
      </w:pPr>
      <w:r>
        <w:rPr>
          <w:rStyle w:val="None A"/>
          <w:rFonts w:ascii="Arial" w:hAnsi="Arial"/>
          <w:sz w:val="22"/>
          <w:szCs w:val="22"/>
          <w:rtl w:val="0"/>
          <w:lang w:val="en-US"/>
        </w:rPr>
        <w:t xml:space="preserve">To validate the biological relevance of substrates identified as uniquely important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through our network-based analysis, we tested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was able to utilize each substrate for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(Fig. 6c). This was performed using the modified defined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minimal media, supplemented individually with the selected carbohydrates (Theriot, 2013) implicated by high importance scores. Because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use amino acids for growth through Stickland fermentation, but is auxotrophic for several amino acids. As such, the most effective negative control is growth in media lacking carbohydrates but containing amino acids (Max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0.212). </w:t>
      </w:r>
    </w:p>
    <w:p>
      <w:pPr>
        <w:pStyle w:val="Default"/>
        <w:spacing w:line="480" w:lineRule="auto"/>
        <w:ind w:firstLine="709"/>
        <w:jc w:val="both"/>
      </w:pPr>
      <w:r>
        <w:rPr>
          <w:rStyle w:val="None A"/>
          <w:rFonts w:ascii="Arial" w:hAnsi="Arial"/>
          <w:sz w:val="22"/>
          <w:szCs w:val="22"/>
          <w:rtl w:val="0"/>
          <w:lang w:val="en-US"/>
        </w:rPr>
        <w:t>As previously stated, N-acetyl-D-glucosamine was shown to be important to C. difficile in each condition tested. When tested for improved growth, significantly more growth (Max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0.559) was observed compared to no carbohydrate controls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&lt;&lt; 0.001). This provided evidence that</w:t>
      </w:r>
      <w:r>
        <w:rPr>
          <w:rtl w:val="0"/>
          <w:lang w:val="en-US"/>
        </w:rPr>
        <w:t xml:space="preserve"> </w:t>
      </w:r>
      <w:r>
        <w:rPr>
          <w:rStyle w:val="None A"/>
          <w:rFonts w:ascii="Arial" w:hAnsi="Arial"/>
          <w:sz w:val="22"/>
          <w:szCs w:val="22"/>
          <w:rtl w:val="0"/>
          <w:lang w:val="en-US"/>
        </w:rPr>
        <w:t xml:space="preserve">N-acetyl-D-glucosamine derived from the host mucus layer may be a central component of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nutritional niche during infection. Furthermore, at least one carbohydrate highlighted as distinctly more important in each of the antibiotic treatment groups provided high levels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relative to control wells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&lt;&lt; 0.001). This included D-fructose (streptomycin; Max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0.671), mannitol (cefoperazone; Max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0.464), salicin (clindamycin; Max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0.869), N-acetylneuraminate (GF; Max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0.439). D-sorbitol induced no difference over controls (Fig. S6). Interestingly, this carbohydrate has been shown to moderately promote the growth of other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strains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and may indicate strain to strain variation in nutrient preferences (Theriot, 2014). Together, these results support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adapt its nutritional strategy to carbohydrate availability during infection and may suggest that a hierarchy of nutrient preference exists.</w:t>
      </w:r>
    </w:p>
    <w:p>
      <w:pPr>
        <w:pStyle w:val="Default"/>
        <w:spacing w:line="480" w:lineRule="auto"/>
        <w:jc w:val="both"/>
      </w:pPr>
    </w:p>
    <w:p>
      <w:pPr>
        <w:pStyle w:val="Default"/>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Discussion</w:t>
      </w:r>
    </w:p>
    <w:p>
      <w:pPr>
        <w:pStyle w:val="Default"/>
        <w:spacing w:line="480" w:lineRule="auto"/>
        <w:jc w:val="both"/>
      </w:pPr>
      <w:r>
        <w:rPr>
          <w:rStyle w:val="None A"/>
          <w:rFonts w:ascii="Arial" w:cs="Arial" w:hAnsi="Arial" w:eastAsia="Arial"/>
          <w:sz w:val="22"/>
          <w:szCs w:val="22"/>
          <w:rtl w:val="0"/>
        </w:rPr>
        <w:tab/>
        <w:t xml:space="preserve">Collectively, our results support our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occupies separate nutrient niches across susceptible gut environments.  This behavior could be due to a variety of factors including variations in concentration of certain nutrients or competition with other microorganisms for growth resources. Several previous mass spectrometry-based efforts have been made to study intestinal content obtained from either SPF mice pretreated with the antibiotics used in this study or raised in GF conditions (Antunes, 2011; Theriot, 2013; Matsumoto, 2012; Jump, 2014). These investigation reveal that many of the substrates predicted to be used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a given condition through metabolic modeling (Fig. 4c&amp;d), are increased in the gastrointestinal tract of mice in the corresponding treatment group.  For example, cefoperazone treatment resulted in a 553-fold increase in mannitol concentration in the cecum of mice prior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This general trend is also true in streptomycin and clindamycin pretreatments, as well as in GF mice with different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growth substrates enriched in each. Together, these results provide evidence that our network-based approach accurately predicts which metabolites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chooses to metabolize in a given environments and that these changes are most likely due to nutrient availability.</w:t>
      </w:r>
    </w:p>
    <w:p>
      <w:pPr>
        <w:pStyle w:val="Default"/>
        <w:spacing w:line="480" w:lineRule="auto"/>
        <w:jc w:val="both"/>
      </w:pPr>
      <w:r>
        <w:rPr>
          <w:rStyle w:val="None A"/>
          <w:rFonts w:ascii="Arial" w:cs="Arial" w:hAnsi="Arial" w:eastAsia="Arial"/>
          <w:sz w:val="22"/>
          <w:szCs w:val="22"/>
          <w:rtl w:val="0"/>
        </w:rPr>
        <w:tab/>
        <w:t xml:space="preserve">Initial transcriptional analysis revealed that there was a large amount of variability in the expression of sporulation genes between pretreatments. Aside from the regulating sigma factor </w:t>
      </w:r>
      <w:r>
        <w:rPr>
          <w:rStyle w:val="None A"/>
          <w:rFonts w:ascii="Arial" w:hAnsi="Arial"/>
          <w:i w:val="1"/>
          <w:iCs w:val="1"/>
          <w:sz w:val="22"/>
          <w:szCs w:val="22"/>
          <w:rtl w:val="0"/>
          <w:lang w:val="en-US"/>
        </w:rPr>
        <w:t>spo0A</w:t>
      </w:r>
      <w:r>
        <w:rPr>
          <w:rStyle w:val="None A"/>
          <w:rFonts w:ascii="Arial" w:hAnsi="Arial"/>
          <w:sz w:val="22"/>
          <w:szCs w:val="22"/>
          <w:rtl w:val="0"/>
          <w:lang w:val="en-US"/>
        </w:rPr>
        <w:t xml:space="preserve">, which was consistently highly expressed, </w:t>
      </w:r>
      <w:r>
        <w:rPr>
          <w:rStyle w:val="None A"/>
          <w:rFonts w:ascii="Arial" w:hAnsi="Arial"/>
          <w:i w:val="1"/>
          <w:iCs w:val="1"/>
          <w:sz w:val="22"/>
          <w:szCs w:val="22"/>
          <w:rtl w:val="0"/>
          <w:lang w:val="en-US"/>
        </w:rPr>
        <w:t>spo</w:t>
      </w:r>
      <w:r>
        <w:rPr>
          <w:rStyle w:val="None A"/>
          <w:rFonts w:ascii="Arial" w:hAnsi="Arial"/>
          <w:sz w:val="22"/>
          <w:szCs w:val="22"/>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has begun its final phase before transmission either other antibiotic group. In addition to lifestyle associated genes,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also demonstrated clear trends of expression for genes associated with separate aspects of its carbon metabolism between pretreatment groups. In both cefoperazone and streptomycin pretreatments,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displayed increased relative abundance in gene expression associated with catabolizing monosaccharides and simple sugar alcohols.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expression in the clindamycin treated animals seemed to favor fermentation of polysaccharides. These differences could signify a focus in nutrient catabolism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some treatments and virulence/transmission in others. It has also been previously shown that this bacterium is capable of cleaving host associated glycans and liberating short amino sugars, which is a functionality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lacks (Sebaihia, 2006).</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cs="Arial" w:hAnsi="Arial" w:eastAsia="Arial"/>
          <w:sz w:val="22"/>
          <w:szCs w:val="22"/>
          <w:rtl w:val="0"/>
        </w:rPr>
        <w:tab/>
        <w:t xml:space="preserve">Metabolic modeling results from both cefoperazone and streptomycin-treated mice indicated carbohydrates, known to be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nutrients,</w:t>
      </w:r>
      <w:r>
        <w:rPr>
          <w:rtl w:val="0"/>
          <w:lang w:val="en-US"/>
        </w:rPr>
        <w:t xml:space="preserve"> </w:t>
      </w:r>
      <w:r>
        <w:rPr>
          <w:rStyle w:val="None A"/>
          <w:rFonts w:ascii="Arial" w:hAnsi="Arial"/>
          <w:sz w:val="22"/>
          <w:szCs w:val="22"/>
          <w:rtl w:val="0"/>
          <w:lang w:val="en-US"/>
        </w:rPr>
        <w:t xml:space="preserve">are preferred in these conditions and are also enriched </w:t>
      </w:r>
      <w:r>
        <w:rPr>
          <w:rStyle w:val="None A"/>
          <w:rFonts w:ascii="Arial" w:hAnsi="Arial"/>
          <w:i w:val="1"/>
          <w:iCs w:val="1"/>
          <w:sz w:val="22"/>
          <w:szCs w:val="22"/>
          <w:rtl w:val="0"/>
          <w:lang w:val="en-US"/>
        </w:rPr>
        <w:t>in vivo</w:t>
      </w:r>
      <w:r>
        <w:rPr>
          <w:rStyle w:val="None A"/>
          <w:rFonts w:ascii="Arial" w:hAnsi="Arial"/>
          <w:sz w:val="22"/>
          <w:szCs w:val="22"/>
          <w:rtl w:val="0"/>
          <w:lang w:val="en-US"/>
        </w:rPr>
        <w:t>. These carbon sources are both commonly provided by the host</w:t>
      </w:r>
      <w:r>
        <w:rPr>
          <w:rStyle w:val="None A"/>
          <w:rFonts w:ascii="Arial" w:hAnsi="Arial" w:hint="default"/>
          <w:sz w:val="22"/>
          <w:szCs w:val="22"/>
          <w:rtl w:val="0"/>
          <w:lang w:val="en-US"/>
        </w:rPr>
        <w:t>’</w:t>
      </w:r>
      <w:r>
        <w:rPr>
          <w:rStyle w:val="None A"/>
          <w:rFonts w:ascii="Arial" w:hAnsi="Arial"/>
          <w:sz w:val="22"/>
          <w:szCs w:val="22"/>
          <w:rtl w:val="0"/>
          <w:lang w:val="en-US"/>
        </w:rPr>
        <w:t xml:space="preserve">s diet, but are easily metabolized by a number of resident bacterial species and are therefore highly competed for by the healthy gut microbiota.  In the antibiotic-treated state, the normal competitors for these nutrients may be missing and allows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get the substrates it needs to grow. Interestingly, findings from clindamycin-treated animals using the same approach suggest that salicin, and breakdown analog 4-hydroxybutanoic acid, are also likely to be used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Prior research has shown that salicin is readily fermented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(Nakamura, 1982). Both are members of the nonsteroidal anti-inflammatory drug (or NSAID) class of molecules. Although the exact source is unknown salicin availability in the gut could be derived from the mice</w:t>
      </w:r>
      <w:r>
        <w:rPr>
          <w:rStyle w:val="None A"/>
          <w:rFonts w:ascii="Arial" w:hAnsi="Arial" w:hint="default"/>
          <w:sz w:val="22"/>
          <w:szCs w:val="22"/>
          <w:rtl w:val="0"/>
          <w:lang w:val="en-US"/>
        </w:rPr>
        <w:t>’</w:t>
      </w:r>
      <w:r>
        <w:rPr>
          <w:rStyle w:val="None A"/>
          <w:rFonts w:ascii="Arial" w:hAnsi="Arial"/>
          <w:sz w:val="22"/>
          <w:szCs w:val="22"/>
          <w:rtl w:val="0"/>
          <w:lang w:val="en-US"/>
        </w:rPr>
        <w:t xml:space="preserve">s plant-based diet, possibly following release during degradation of cell wall molecules by other gut bacterial species (Pierpoint, 1994). What makes this result the most interesting is that molecules in the same class have been shown to actually </w:t>
      </w:r>
      <w:r>
        <w:rPr>
          <w:rStyle w:val="None A"/>
          <w:rFonts w:ascii="Arial" w:hAnsi="Arial"/>
          <w:i w:val="1"/>
          <w:iCs w:val="1"/>
          <w:sz w:val="22"/>
          <w:szCs w:val="22"/>
          <w:rtl w:val="0"/>
          <w:lang w:val="en-US"/>
        </w:rPr>
        <w:t>increase</w:t>
      </w:r>
      <w:r>
        <w:rPr>
          <w:rStyle w:val="None A"/>
          <w:rFonts w:ascii="Arial" w:hAnsi="Arial"/>
          <w:sz w:val="22"/>
          <w:szCs w:val="22"/>
          <w:rtl w:val="0"/>
          <w:lang w:val="en-US"/>
        </w:rPr>
        <w:t xml:space="preserve"> severity of CDI symptoms in mice (Trindade, 2016). Network analysis also supports that</w:t>
      </w:r>
      <w:r>
        <w:rPr>
          <w:rtl w:val="0"/>
          <w:lang w:val="en-US"/>
        </w:rPr>
        <w:t xml:space="preserve"> </w:t>
      </w:r>
      <w:r>
        <w:rPr>
          <w:rStyle w:val="None A"/>
          <w:rFonts w:ascii="Arial" w:hAnsi="Arial"/>
          <w:sz w:val="22"/>
          <w:szCs w:val="22"/>
          <w:rtl w:val="0"/>
          <w:lang w:val="en-US"/>
        </w:rPr>
        <w:t xml:space="preserve">in GF mice,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utilizes N-acetylneuraminate as an important carbon source. The capacity to catabolize this amino sugar, and others like it, is highly distributed among bacterial species that inhabit the mammalian gut (Vimr, 2004). This means that N-acetylneuraminate is strongly competed for by the healthy microbiota. Since the largest increase in availability of the molecule is seen when there are no other microbes present, this could demonstrate a preference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for N-acetylneuraminate as a growth substrate above most others. From these data it seems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alters it</w:t>
      </w:r>
      <w:r>
        <w:rPr>
          <w:rStyle w:val="None A"/>
          <w:rFonts w:ascii="Arial" w:hAnsi="Arial" w:hint="default"/>
          <w:sz w:val="22"/>
          <w:szCs w:val="22"/>
          <w:rtl w:val="0"/>
          <w:lang w:val="en-US"/>
        </w:rPr>
        <w:t>’</w:t>
      </w:r>
      <w:r>
        <w:rPr>
          <w:rStyle w:val="None A"/>
          <w:rFonts w:ascii="Arial" w:hAnsi="Arial"/>
          <w:sz w:val="22"/>
          <w:szCs w:val="22"/>
          <w:rtl w:val="0"/>
          <w:lang w:val="en-US"/>
        </w:rPr>
        <w:t>s nutrient preference to fit what is most easily obtained.</w:t>
      </w:r>
    </w:p>
    <w:p>
      <w:pPr>
        <w:pStyle w:val="Default"/>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One potential limitation of the metabolite importance calculation is the inherent dependency on enzyme annotation. For example, the workflow presented here assumes that KEGG annotated biochemical reactions are monodirectional. Although this is not a complete reflection of an organism</w:t>
      </w:r>
      <w:r>
        <w:rPr>
          <w:rStyle w:val="None A"/>
          <w:rFonts w:ascii="Arial" w:hAnsi="Arial" w:hint="default"/>
          <w:sz w:val="22"/>
          <w:szCs w:val="22"/>
          <w:rtl w:val="0"/>
          <w:lang w:val="en-US"/>
        </w:rPr>
        <w:t>’</w:t>
      </w:r>
      <w:r>
        <w:rPr>
          <w:rStyle w:val="None A"/>
          <w:rFonts w:ascii="Arial" w:hAnsi="Arial"/>
          <w:sz w:val="22"/>
          <w:szCs w:val="22"/>
          <w:rtl w:val="0"/>
          <w:lang w:val="en-US"/>
        </w:rPr>
        <w:t>s physiology, it minimizes the likelihood of mislabeling reactions that are removing metabolites from the environment as instead adding to the unused fraction. Limitation of annotation may also be evident in the appearance of apparent metabolic end products score as highly important input metabolites (ex. CO</w:t>
      </w:r>
      <w:r>
        <w:rPr>
          <w:rStyle w:val="None A"/>
          <w:rFonts w:ascii="Arial" w:hAnsi="Arial"/>
          <w:sz w:val="22"/>
          <w:szCs w:val="22"/>
          <w:vertAlign w:val="subscript"/>
          <w:rtl w:val="0"/>
          <w:lang w:val="en-US"/>
        </w:rPr>
        <w:t>2</w:t>
      </w:r>
      <w:r>
        <w:rPr>
          <w:rStyle w:val="None A"/>
          <w:rFonts w:ascii="Arial" w:hAnsi="Arial"/>
          <w:sz w:val="22"/>
          <w:szCs w:val="22"/>
          <w:rtl w:val="0"/>
          <w:lang w:val="en-US"/>
        </w:rPr>
        <w:t xml:space="preserve"> or Ethanol). While this may be a shortcoming inherent in database-driven research, it may instead serve as evidence for yet unappreciated aspects of a bacterium</w:t>
      </w:r>
      <w:r>
        <w:rPr>
          <w:rStyle w:val="None A"/>
          <w:rFonts w:ascii="Arial" w:hAnsi="Arial" w:hint="default"/>
          <w:sz w:val="22"/>
          <w:szCs w:val="22"/>
          <w:rtl w:val="0"/>
          <w:lang w:val="en-US"/>
        </w:rPr>
        <w:t>’</w:t>
      </w:r>
      <w:r>
        <w:rPr>
          <w:rStyle w:val="None A"/>
          <w:rFonts w:ascii="Arial" w:hAnsi="Arial"/>
          <w:sz w:val="22"/>
          <w:szCs w:val="22"/>
          <w:rtl w:val="0"/>
          <w:lang w:val="en-US"/>
        </w:rPr>
        <w:t xml:space="preserve">s metabolism. Along these lines, one group has posited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may actually be an autotrophe under certain conditions which could explain the appearance of CO</w:t>
      </w:r>
      <w:r>
        <w:rPr>
          <w:rStyle w:val="None A"/>
          <w:rFonts w:ascii="Arial" w:hAnsi="Arial"/>
          <w:sz w:val="22"/>
          <w:szCs w:val="22"/>
          <w:vertAlign w:val="subscript"/>
          <w:rtl w:val="0"/>
          <w:lang w:val="en-US"/>
        </w:rPr>
        <w:t>2</w:t>
      </w:r>
      <w:r>
        <w:rPr>
          <w:rStyle w:val="None A"/>
          <w:rFonts w:ascii="Arial" w:hAnsi="Arial"/>
          <w:sz w:val="22"/>
          <w:szCs w:val="22"/>
          <w:rtl w:val="0"/>
          <w:lang w:val="en-US"/>
        </w:rPr>
        <w:t xml:space="preserve"> in the conserved metabolite list between all conditions (Kopke, 2013). As such, this platform may also prove informative for generating hypotheses that could ultimately lead to uncovering new edges of competition between species.</w:t>
      </w:r>
    </w:p>
    <w:p>
      <w:pPr>
        <w:pStyle w:val="Default"/>
        <w:spacing w:line="480" w:lineRule="auto"/>
        <w:jc w:val="both"/>
      </w:pPr>
      <w:r>
        <w:rPr>
          <w:rStyle w:val="None A"/>
          <w:rFonts w:ascii="Arial" w:cs="Arial" w:hAnsi="Arial" w:eastAsia="Arial"/>
          <w:sz w:val="22"/>
          <w:szCs w:val="22"/>
          <w:rtl w:val="0"/>
        </w:rPr>
        <w:tab/>
        <w:t xml:space="preserve">In light of the results presented here, our method strongly supports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from the human gut. Different classes of antibiotics may each result in a unique gut environment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clearance. This could be supported by combining the metabolic modeling technique described here using metatranscriptomic analysis of susceptible versus resistance gut bacterial communities. In conclusion, our findings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cope with distinct nutrient availabilities across vulnerable gut environments which it colonizes. These data support that separate classes of antibiotics cause susceptibility to CDI through slightly different means by opening unique nutrient niches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Context-dependent limitation of certain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from the human gut. By understanding vacant nutrient niches in CDI susceptible individuals, preventative microbiome-focused therapies could be personalized to each patient. </w:t>
      </w:r>
    </w:p>
    <w:p>
      <w:pPr>
        <w:pStyle w:val="Default"/>
        <w:spacing w:line="480" w:lineRule="auto"/>
        <w:jc w:val="both"/>
      </w:pPr>
    </w:p>
    <w:p>
      <w:pPr>
        <w:pStyle w:val="Default"/>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Materials and Methods</w:t>
      </w:r>
    </w:p>
    <w:p>
      <w:pPr>
        <w:pStyle w:val="Default"/>
        <w:spacing w:line="480" w:lineRule="auto"/>
        <w:jc w:val="both"/>
      </w:pPr>
      <w:r>
        <w:rPr>
          <w:rStyle w:val="None A"/>
          <w:rFonts w:ascii="Arial" w:hAnsi="Arial"/>
          <w:b w:val="1"/>
          <w:bCs w:val="1"/>
          <w:sz w:val="22"/>
          <w:szCs w:val="22"/>
          <w:rtl w:val="0"/>
          <w:lang w:val="en-US"/>
        </w:rPr>
        <w:t xml:space="preserve">Animal care and antibiotic administration. </w:t>
      </w:r>
      <w:r>
        <w:rPr>
          <w:rStyle w:val="None A"/>
          <w:rFonts w:ascii="Arial" w:hAnsi="Arial"/>
          <w:sz w:val="22"/>
          <w:szCs w:val="22"/>
          <w:rtl w:val="0"/>
          <w:lang w:val="en-US"/>
        </w:rPr>
        <w:t xml:space="preserve">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rStyle w:val="None A"/>
          <w:rFonts w:ascii="Arial" w:hAnsi="Arial"/>
          <w:i w:val="1"/>
          <w:iCs w:val="1"/>
          <w:sz w:val="22"/>
          <w:szCs w:val="22"/>
          <w:rtl w:val="0"/>
          <w:lang w:val="en-US"/>
        </w:rPr>
        <w:t>ad libitum</w:t>
      </w:r>
      <w:r>
        <w:rPr>
          <w:rStyle w:val="None A"/>
          <w:rFonts w:ascii="Arial" w:hAnsi="Arial"/>
          <w:sz w:val="22"/>
          <w:szCs w:val="22"/>
          <w:rtl w:val="0"/>
          <w:lang w:val="en-US"/>
        </w:rPr>
        <w:t xml:space="preserve"> for 5 days with 2 days recovery with untreated distilled drinking water prior to infection. Clindamycin (10 mg/kg) was given via intraperitoneal injection 24 hours before time of infection.  </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infection and necropsy.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3</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were administered to mice via oral gavage in </w:t>
      </w:r>
      <w:r>
        <w:rPr>
          <w:rStyle w:val="None A"/>
          <w:rFonts w:ascii="Arial" w:hAnsi="Arial" w:hint="default"/>
          <w:sz w:val="22"/>
          <w:szCs w:val="22"/>
          <w:rtl w:val="0"/>
          <w:lang w:val="en-US"/>
        </w:rPr>
        <w:t>×</w:t>
      </w:r>
      <w:r>
        <w:rPr>
          <w:rStyle w:val="None A"/>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w:t>
      </w:r>
      <w:r>
        <w:rPr>
          <w:rStyle w:val="None A"/>
          <w:rFonts w:ascii="Arial" w:hAnsi="Arial" w:hint="default"/>
          <w:sz w:val="22"/>
          <w:szCs w:val="22"/>
          <w:rtl w:val="0"/>
          <w:lang w:val="en-US"/>
        </w:rPr>
        <w:t>×</w:t>
      </w:r>
      <w:r>
        <w:rPr>
          <w:rStyle w:val="None A"/>
          <w:rFonts w:ascii="Arial" w:hAnsi="Arial"/>
          <w:sz w:val="22"/>
          <w:szCs w:val="22"/>
          <w:rtl w:val="0"/>
          <w:lang w:val="en-US"/>
        </w:rPr>
        <w:t xml:space="preserve">1 PBS at the same time as those mice administered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18 hours following infection, mice were euthanized by carbon dioxide asphyxiation. Necropsy was then performed and cecal content was split into three small aliquots (~100 </w:t>
      </w:r>
      <w:r>
        <w:rPr>
          <w:rStyle w:val="None A"/>
          <w:rFonts w:ascii="Arial" w:hAnsi="Arial" w:hint="default"/>
          <w:sz w:val="22"/>
          <w:szCs w:val="22"/>
          <w:rtl w:val="0"/>
          <w:lang w:val="en-US"/>
        </w:rPr>
        <w:t>μ</w:t>
      </w:r>
      <w:r>
        <w:rPr>
          <w:rStyle w:val="None A"/>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subsequent RNA extraction.</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cultivation and quantification. </w:t>
      </w:r>
      <w:r>
        <w:rPr>
          <w:rStyle w:val="None A"/>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C.f.u.s from spores were quantified. Significant differences were determined by Wilcoxon test and Holm-Bonferroni correction.</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toxin titer assay.</w:t>
      </w:r>
      <w:r>
        <w:rPr>
          <w:rStyle w:val="None A"/>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5</w:t>
      </w:r>
      <w:r>
        <w:rPr>
          <w:rStyle w:val="None A"/>
          <w:rFonts w:ascii="Arial" w:hAnsi="Arial"/>
          <w:sz w:val="22"/>
          <w:szCs w:val="22"/>
          <w:rtl w:val="0"/>
          <w:lang w:val="en-US"/>
        </w:rPr>
        <w:t xml:space="preserve"> cells were seeded in each well of a 96-well plate and incubated for 4 hours. Filtered cecal content was serially diluted 1:10 in </w:t>
      </w:r>
      <w:r>
        <w:rPr>
          <w:rStyle w:val="None A"/>
          <w:rFonts w:ascii="Arial" w:hAnsi="Arial" w:hint="default"/>
          <w:sz w:val="22"/>
          <w:szCs w:val="22"/>
          <w:rtl w:val="0"/>
          <w:lang w:val="en-US"/>
        </w:rPr>
        <w:t>×</w:t>
      </w:r>
      <w:r>
        <w:rPr>
          <w:rStyle w:val="None A"/>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Plates were viewed after 24 hours at </w:t>
      </w:r>
      <w:r>
        <w:rPr>
          <w:rStyle w:val="None A"/>
          <w:rFonts w:ascii="Arial" w:hAnsi="Arial" w:hint="default"/>
          <w:sz w:val="22"/>
          <w:szCs w:val="22"/>
          <w:rtl w:val="0"/>
          <w:lang w:val="en-US"/>
        </w:rPr>
        <w:t>×</w:t>
      </w:r>
      <w:r>
        <w:rPr>
          <w:rStyle w:val="None A"/>
          <w:rFonts w:ascii="Arial" w:hAnsi="Arial"/>
          <w:sz w:val="22"/>
          <w:szCs w:val="22"/>
          <w:rtl w:val="0"/>
          <w:lang w:val="en-US"/>
        </w:rPr>
        <w:t xml:space="preserve">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r>
        <w:rPr>
          <w:rStyle w:val="Hyperlink.0"/>
        </w:rPr>
        <w:fldChar w:fldCharType="begin" w:fldLock="0"/>
      </w:r>
      <w:r>
        <w:rPr>
          <w:rStyle w:val="Hyperlink.0"/>
        </w:rPr>
        <w:instrText xml:space="preserve"> HYPERLINK "https://github.com/jlleslie/Intraspecific_Competition/blob/master/methods/Verocell_ToxinActivity_Assay.Rmd"</w:instrText>
      </w:r>
      <w:r>
        <w:rPr>
          <w:rStyle w:val="Hyperlink.0"/>
        </w:rPr>
        <w:fldChar w:fldCharType="separate" w:fldLock="0"/>
      </w:r>
      <w:r>
        <w:rPr>
          <w:rStyle w:val="Hyperlink.0"/>
          <w:rtl w:val="0"/>
          <w:lang w:val="en-US"/>
        </w:rPr>
        <w:t>https://github.com/jlleslie/Intraspecific_Competition/blob/master/methods/Verocell_ToxinActivity_Assa</w:t>
      </w:r>
      <w:r>
        <w:rPr/>
        <w:fldChar w:fldCharType="end" w:fldLock="0"/>
      </w:r>
      <w:r>
        <w:rPr>
          <w:rStyle w:val="Hyperlink.0"/>
        </w:rPr>
        <w:fldChar w:fldCharType="begin" w:fldLock="0"/>
      </w:r>
      <w:r>
        <w:rPr>
          <w:rStyle w:val="Hyperlink.0"/>
        </w:rPr>
        <w:instrText xml:space="preserve"> HYPERLINK "https://github.com/jlleslie/Intraspecific_Competition/blob/master/methods/Verocell_ToxinActivity_Assay.Rmd"</w:instrText>
      </w:r>
      <w:r>
        <w:rPr>
          <w:rStyle w:val="Hyperlink.0"/>
        </w:rPr>
        <w:fldChar w:fldCharType="separate" w:fldLock="0"/>
      </w:r>
      <w:r>
        <w:rPr>
          <w:rStyle w:val="Hyperlink.0"/>
          <w:rtl w:val="0"/>
          <w:lang w:val="en-US"/>
        </w:rPr>
        <w:t>y.Rmd</w:t>
      </w:r>
      <w:r>
        <w:rPr/>
        <w:fldChar w:fldCharType="end" w:fldLock="0"/>
      </w:r>
    </w:p>
    <w:p>
      <w:pPr>
        <w:pStyle w:val="Default"/>
        <w:spacing w:line="480" w:lineRule="auto"/>
        <w:jc w:val="both"/>
        <w:rPr>
          <w:rFonts w:ascii="Arial" w:cs="Arial" w:hAnsi="Arial" w:eastAsia="Arial"/>
          <w:sz w:val="22"/>
          <w:szCs w:val="22"/>
        </w:rPr>
      </w:pPr>
    </w:p>
    <w:p>
      <w:pPr>
        <w:pStyle w:val="Default"/>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RNA extraction, library preparation, and sequencing. </w:t>
      </w:r>
      <w:r>
        <w:rPr>
          <w:rStyle w:val="None A"/>
          <w:rFonts w:ascii="Arial" w:hAnsi="Arial"/>
          <w:sz w:val="22"/>
          <w:szCs w:val="22"/>
          <w:rtl w:val="0"/>
          <w:lang w:val="en-US"/>
        </w:rPr>
        <w:t xml:space="preserve">This procedure was adapted from the RNA isolation protocol defined by Lopez-Medina et. al., 2011. In order to generate enough mRNA biomass contributed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we pooled cecal content from all mouse replicates into a single large isolation for each treatment group. </w:t>
      </w:r>
      <w:r>
        <w:rPr>
          <w:rStyle w:val="None A"/>
          <w:rFonts w:ascii="Arial" w:hAnsi="Arial"/>
          <w:sz w:val="22"/>
          <w:szCs w:val="22"/>
          <w:rtl w:val="0"/>
          <w:lang w:val="en-US"/>
        </w:rPr>
        <w:t xml:space="preserve">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w:t>
      </w:r>
      <w:r>
        <w:rPr>
          <w:rStyle w:val="None A"/>
          <w:rFonts w:ascii="Arial" w:hAnsi="Arial"/>
          <w:sz w:val="22"/>
          <w:szCs w:val="22"/>
          <w:rtl w:val="0"/>
          <w:lang w:val="en-US"/>
        </w:rPr>
        <w:t>This was beneficial because it not only normalized subtle variation in expression between samples, but also simplified the technical process of isolating high-quality RNA from multiple treatment groups at once.</w:t>
      </w:r>
      <w:r>
        <w:rPr>
          <w:rStyle w:val="None A"/>
          <w:rFonts w:ascii="Arial" w:hAnsi="Arial"/>
          <w:sz w:val="22"/>
          <w:szCs w:val="22"/>
          <w:rtl w:val="0"/>
          <w:lang w:val="en-US"/>
        </w:rPr>
        <w:t xml:space="preserve"> For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cultures, 3 separate 5 ml cultures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630, grown anaerobically for 7 hours in CDMM + Glucose at 37</w:t>
      </w:r>
      <w:r>
        <w:rPr>
          <w:rStyle w:val="None A"/>
          <w:rFonts w:ascii="Arial" w:hAnsi="Arial" w:hint="default"/>
          <w:sz w:val="22"/>
          <w:szCs w:val="22"/>
          <w:rtl w:val="0"/>
          <w:lang w:val="en-US"/>
        </w:rPr>
        <w:t>°</w:t>
      </w:r>
      <w:r>
        <w:rPr>
          <w:rStyle w:val="None A"/>
          <w:rFonts w:ascii="Arial" w:hAnsi="Arial"/>
          <w:sz w:val="22"/>
          <w:szCs w:val="22"/>
          <w:rtl w:val="0"/>
          <w:lang w:val="en-US"/>
        </w:rPr>
        <w:t xml:space="preserve"> C, were pooled and pelleted </w:t>
      </w:r>
      <w:r>
        <w:rPr>
          <w:rStyle w:val="None A"/>
          <w:rFonts w:ascii="Arial" w:hAnsi="Arial"/>
          <w:sz w:val="22"/>
          <w:szCs w:val="22"/>
          <w:rtl w:val="0"/>
          <w:lang w:val="en-US"/>
        </w:rPr>
        <w:t>at 1,000 rpm for 5 minutes</w:t>
      </w:r>
      <w:r>
        <w:rPr>
          <w:rStyle w:val="None A"/>
          <w:rFonts w:ascii="Arial" w:hAnsi="Arial"/>
          <w:sz w:val="22"/>
          <w:szCs w:val="22"/>
          <w:rtl w:val="0"/>
          <w:lang w:val="en-US"/>
        </w:rPr>
        <w:t xml:space="preserve">.  Cells were resuspended with 5 ml </w:t>
      </w:r>
      <w:r>
        <w:rPr>
          <w:rStyle w:val="None A"/>
          <w:rFonts w:ascii="Arial" w:hAnsi="Arial" w:hint="default"/>
          <w:sz w:val="22"/>
          <w:szCs w:val="22"/>
          <w:rtl w:val="0"/>
          <w:lang w:val="en-US"/>
        </w:rPr>
        <w:t>×</w:t>
      </w:r>
      <w:r>
        <w:rPr>
          <w:rStyle w:val="None A"/>
          <w:rFonts w:ascii="Arial" w:hAnsi="Arial"/>
          <w:sz w:val="22"/>
          <w:szCs w:val="22"/>
          <w:rtl w:val="0"/>
          <w:lang w:val="en-US"/>
        </w:rPr>
        <w:t>1 PBS</w:t>
      </w:r>
      <w:r>
        <w:rPr>
          <w:rStyle w:val="None A"/>
          <w:rFonts w:ascii="Arial" w:hAnsi="Arial"/>
          <w:sz w:val="22"/>
          <w:szCs w:val="22"/>
          <w:rtl w:val="0"/>
          <w:lang w:val="en-US"/>
        </w:rPr>
        <w:t xml:space="preserve"> in a sterile 15 ml polypropylene conical tube and immediately flash frozen in liquid nitrogen. Samples were stored at -80</w:t>
      </w:r>
      <w:r>
        <w:rPr>
          <w:rStyle w:val="None A"/>
          <w:rFonts w:ascii="Arial" w:hAnsi="Arial" w:hint="default"/>
          <w:sz w:val="22"/>
          <w:szCs w:val="22"/>
          <w:rtl w:val="0"/>
          <w:lang w:val="en-US"/>
        </w:rPr>
        <w:t>°</w:t>
      </w:r>
      <w:r>
        <w:rPr>
          <w:rStyle w:val="None A"/>
          <w:rFonts w:ascii="Arial" w:hAnsi="Arial"/>
          <w:sz w:val="22"/>
          <w:szCs w:val="22"/>
          <w:rtl w:val="0"/>
          <w:lang w:val="en-US"/>
        </w:rPr>
        <w:t xml:space="preserve"> C until the time of extraction.</w:t>
      </w:r>
    </w:p>
    <w:p>
      <w:pPr>
        <w:pStyle w:val="Default"/>
        <w:spacing w:line="480" w:lineRule="auto"/>
        <w:jc w:val="both"/>
      </w:pPr>
      <w:r>
        <w:rPr>
          <w:rStyle w:val="None A"/>
          <w:rFonts w:ascii="Arial" w:cs="Arial" w:hAnsi="Arial" w:eastAsia="Arial"/>
          <w:sz w:val="22"/>
          <w:szCs w:val="22"/>
          <w:rtl w:val="0"/>
        </w:rPr>
        <w:tab/>
        <w:t xml:space="preserve">Immediately before RNA extraction, </w:t>
      </w:r>
      <w:r>
        <w:rPr>
          <w:rStyle w:val="None A"/>
          <w:rFonts w:ascii="Arial" w:hAnsi="Arial"/>
          <w:sz w:val="22"/>
          <w:szCs w:val="22"/>
          <w:rtl w:val="0"/>
          <w:lang w:val="en-US"/>
        </w:rPr>
        <w:t>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acid phenol/chloroform was added to the cecal content lysate and incubated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10 minutes with periodic vortexing. The mixture was the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15 minutes. The aqueous phase was then transferred to a sterile tube and an equal volume of acid phenol/chloroform was added. This mixture was vortexed and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A"/>
          <w:rFonts w:ascii="Arial" w:hAnsi="Arial" w:hint="default"/>
          <w:sz w:val="22"/>
          <w:szCs w:val="22"/>
          <w:rtl w:val="0"/>
          <w:lang w:val="en-US"/>
        </w:rPr>
        <w:t xml:space="preserve">° </w:t>
      </w:r>
      <w:r>
        <w:rPr>
          <w:rStyle w:val="None A"/>
          <w:rFonts w:ascii="Arial" w:hAnsi="Arial"/>
          <w:sz w:val="22"/>
          <w:szCs w:val="22"/>
          <w:rtl w:val="0"/>
          <w:lang w:val="en-US"/>
        </w:rPr>
        <w:t>C. The following day the sample was centrifuged at 12000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45 minutes. The pellet was washed with 0</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100% ethanol and resuspended in 200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of RNase-free water. Following the manufacterer's protocol, samples were then treated with 2 </w:t>
      </w:r>
      <w:r>
        <w:rPr>
          <w:rStyle w:val="None A"/>
          <w:rFonts w:ascii="Arial" w:hAnsi="Arial" w:hint="default"/>
          <w:sz w:val="22"/>
          <w:szCs w:val="22"/>
          <w:rtl w:val="0"/>
          <w:lang w:val="en-US"/>
        </w:rPr>
        <w:t>μ</w:t>
      </w:r>
      <w:r>
        <w:rPr>
          <w:rStyle w:val="None A"/>
          <w:rFonts w:ascii="Arial" w:hAnsi="Arial"/>
          <w:sz w:val="22"/>
          <w:szCs w:val="22"/>
          <w:rtl w:val="0"/>
          <w:lang w:val="en-US"/>
        </w:rPr>
        <w:t>l of Turbo DNase for 30 minutes</w:t>
      </w:r>
      <w:r>
        <w:rPr>
          <w:rtl w:val="0"/>
          <w:lang w:val="en-US"/>
        </w:rPr>
        <w:t xml:space="preserve"> </w:t>
      </w:r>
      <w:r>
        <w:rPr>
          <w:rStyle w:val="None A"/>
          <w:rFonts w:ascii="Arial" w:hAnsi="Arial"/>
          <w:sz w:val="22"/>
          <w:szCs w:val="22"/>
          <w:rtl w:val="0"/>
          <w:lang w:val="en-US"/>
        </w:rPr>
        <w:t>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RNA samples were retrieved using the Zymo Quick-RNA MiniPrep according the manufacterer's protocol. Completion of the reaction was assessed using PCR for the V</w:t>
      </w:r>
      <w:r>
        <w:rPr>
          <w:rStyle w:val="None A"/>
          <w:rFonts w:ascii="Arial" w:hAnsi="Arial"/>
          <w:sz w:val="22"/>
          <w:szCs w:val="22"/>
          <w:rtl w:val="0"/>
          <w:lang w:val="en-US"/>
        </w:rPr>
        <w:t>4</w:t>
      </w:r>
      <w:r>
        <w:rPr>
          <w:rStyle w:val="None A"/>
          <w:rFonts w:ascii="Arial" w:hAnsi="Arial"/>
          <w:sz w:val="22"/>
          <w:szCs w:val="22"/>
          <w:rtl w:val="0"/>
          <w:lang w:val="en-US"/>
        </w:rPr>
        <w:t xml:space="preserve">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r>
        <w:rPr>
          <w:rStyle w:val="Hyperlink.1"/>
        </w:rPr>
        <w:fldChar w:fldCharType="begin" w:fldLock="0"/>
      </w:r>
      <w:r>
        <w:rPr>
          <w:rStyle w:val="Hyperlink.1"/>
        </w:rPr>
        <w:instrText xml:space="preserve"> HYPERLINK "https://github.com/SchlossLab/Jenior_Transcriptomics_2015/blob/master/doc/wetlab_protocol.txt"</w:instrText>
      </w:r>
      <w:r>
        <w:rPr>
          <w:rStyle w:val="Hyperlink.1"/>
        </w:rPr>
        <w:fldChar w:fldCharType="separate" w:fldLock="0"/>
      </w:r>
      <w:r>
        <w:rPr>
          <w:rStyle w:val="Hyperlink.1"/>
          <w:rtl w:val="0"/>
          <w:lang w:val="en-US"/>
        </w:rPr>
        <w:t>https://github.com/SchlossLab/Jenior_Transcriptomics_2015/blob/master/doc/wetlab_protocol.txt</w:t>
      </w:r>
      <w:r>
        <w:rPr/>
        <w:fldChar w:fldCharType="end" w:fldLock="0"/>
      </w:r>
    </w:p>
    <w:p>
      <w:pPr>
        <w:pStyle w:val="Default"/>
        <w:spacing w:line="480" w:lineRule="auto"/>
        <w:jc w:val="both"/>
        <w:rPr>
          <w:rStyle w:val="None A"/>
          <w:rFonts w:ascii="Arial" w:cs="Arial" w:hAnsi="Arial" w:eastAsia="Arial"/>
          <w:sz w:val="22"/>
          <w:szCs w:val="22"/>
          <w:shd w:val="clear" w:color="auto" w:fill="ffff00"/>
        </w:rPr>
      </w:pPr>
    </w:p>
    <w:p>
      <w:pPr>
        <w:pStyle w:val="Default"/>
        <w:spacing w:line="480" w:lineRule="auto"/>
        <w:jc w:val="both"/>
      </w:pPr>
      <w:r>
        <w:rPr>
          <w:rStyle w:val="None A"/>
          <w:rFonts w:ascii="Arial" w:hAnsi="Arial"/>
          <w:b w:val="1"/>
          <w:bCs w:val="1"/>
          <w:sz w:val="22"/>
          <w:szCs w:val="22"/>
          <w:rtl w:val="0"/>
          <w:lang w:val="en-US"/>
        </w:rPr>
        <w:t xml:space="preserve">Sequence curation, read mapping, and normalization. </w:t>
      </w:r>
      <w:r>
        <w:rPr>
          <w:rStyle w:val="None A"/>
          <w:rFonts w:ascii="Arial" w:hAnsi="Arial"/>
          <w:sz w:val="22"/>
          <w:szCs w:val="22"/>
          <w:rtl w:val="0"/>
          <w:lang w:val="en-US"/>
        </w:rPr>
        <w:t>Raw transcript sequencing read curation was performed in a two step process. Residual 5</w:t>
      </w:r>
      <w:r>
        <w:rPr>
          <w:rStyle w:val="None A"/>
          <w:rFonts w:ascii="Arial" w:hAnsi="Arial" w:hint="default"/>
          <w:sz w:val="22"/>
          <w:szCs w:val="22"/>
          <w:rtl w:val="0"/>
          <w:lang w:val="en-US"/>
        </w:rPr>
        <w:t xml:space="preserve">’ </w:t>
      </w:r>
      <w:r>
        <w:rPr>
          <w:rStyle w:val="None A"/>
          <w:rFonts w:ascii="Arial" w:hAnsi="Arial"/>
          <w:sz w:val="22"/>
          <w:szCs w:val="22"/>
          <w:rtl w:val="0"/>
          <w:lang w:val="en-US"/>
        </w:rPr>
        <w:t>and 3</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A"/>
          <w:rFonts w:ascii="Arial" w:hAnsi="Arial"/>
          <w:i w:val="1"/>
          <w:iCs w:val="1"/>
          <w:sz w:val="22"/>
          <w:szCs w:val="22"/>
          <w:rtl w:val="0"/>
          <w:lang w:val="en-US"/>
        </w:rPr>
        <w:t>Peptoclostridium difficile</w:t>
      </w:r>
      <w:r>
        <w:rPr>
          <w:rStyle w:val="None A"/>
          <w:rFonts w:ascii="Arial" w:hAnsi="Arial"/>
          <w:sz w:val="22"/>
          <w:szCs w:val="22"/>
          <w:rtl w:val="0"/>
          <w:lang w:val="en-US"/>
        </w:rPr>
        <w:t xml:space="preserve"> str. 630 from the Kyoto Encyclopedia of Genes and Genomes (KEGG). Optical and PCR duplicates were then removed using Picard MarkDuplicates (</w:t>
      </w:r>
      <w:r>
        <w:rPr>
          <w:rStyle w:val="Hyperlink.1"/>
        </w:rPr>
        <w:fldChar w:fldCharType="begin" w:fldLock="0"/>
      </w:r>
      <w:r>
        <w:rPr>
          <w:rStyle w:val="Hyperlink.1"/>
        </w:rPr>
        <w:instrText xml:space="preserve"> HYPERLINK "http://broadinstitute.github.io/picard/"</w:instrText>
      </w:r>
      <w:r>
        <w:rPr>
          <w:rStyle w:val="Hyperlink.1"/>
        </w:rPr>
        <w:fldChar w:fldCharType="separate" w:fldLock="0"/>
      </w:r>
      <w:r>
        <w:rPr>
          <w:rStyle w:val="Hyperlink.1"/>
          <w:rtl w:val="0"/>
          <w:lang w:val="en-US"/>
        </w:rPr>
        <w:t>http://broadinstitute.github.io/picard/</w:t>
      </w:r>
      <w:r>
        <w:rPr/>
        <w:fldChar w:fldCharType="end" w:fldLock="0"/>
      </w:r>
      <w:r>
        <w:rPr>
          <w:rStyle w:val="None A"/>
          <w:rFonts w:ascii="Arial" w:hAnsi="Arial"/>
          <w:sz w:val="22"/>
          <w:szCs w:val="22"/>
          <w:rtl w:val="0"/>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97,930 reads to generate a median expression value for each gene.  A detailed protocol for red curation can be found in the Github repository associated with this project:  </w:t>
      </w:r>
      <w:r>
        <w:rPr>
          <w:rStyle w:val="Hyperlink.1"/>
        </w:rPr>
        <w:fldChar w:fldCharType="begin" w:fldLock="0"/>
      </w:r>
      <w:r>
        <w:rPr>
          <w:rStyle w:val="Hyperlink.1"/>
        </w:rPr>
        <w:instrText xml:space="preserve"> HYPERLINK "https://github.com/SchlossLab/Jenior_Transcriptomics_2015/blob/master/doc/drylab_protocol.txt"</w:instrText>
      </w:r>
      <w:r>
        <w:rPr>
          <w:rStyle w:val="Hyperlink.1"/>
        </w:rPr>
        <w:fldChar w:fldCharType="separate" w:fldLock="0"/>
      </w:r>
      <w:r>
        <w:rPr>
          <w:rStyle w:val="Hyperlink.1"/>
          <w:rtl w:val="0"/>
          <w:lang w:val="en-US"/>
        </w:rPr>
        <w:t>https://github.com/SchlossLab/Jenior_Transcriptomics_2015/blob/master/doc/drylab_protocol.txt</w:t>
      </w:r>
      <w:r>
        <w:rPr/>
        <w:fldChar w:fldCharType="end" w:fldLock="0"/>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sz w:val="22"/>
          <w:szCs w:val="22"/>
          <w:rtl w:val="0"/>
          <w:lang w:val="en-US"/>
        </w:rPr>
        <w:t xml:space="preserve">Reaction Annotation &amp; Bipartite Network Construction. </w:t>
      </w:r>
      <w:r>
        <w:rPr>
          <w:rStyle w:val="None A"/>
          <w:rFonts w:ascii="Arial" w:hAnsi="Arial"/>
          <w:sz w:val="22"/>
          <w:szCs w:val="22"/>
          <w:rtl w:val="0"/>
          <w:lang w:val="en-US"/>
        </w:rPr>
        <w:t xml:space="preserve">The metabolism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w:t>
      </w:r>
      <w:r>
        <w:rPr>
          <w:rStyle w:val="None A"/>
          <w:rFonts w:ascii="Arial" w:hAnsi="Arial"/>
          <w:sz w:val="22"/>
          <w:szCs w:val="22"/>
          <w:rtl w:val="0"/>
          <w:lang w:val="en-US"/>
        </w:rPr>
        <w:t xml:space="preserve"> </w:t>
      </w:r>
      <w:r>
        <w:rPr>
          <w:rStyle w:val="None A"/>
          <w:rFonts w:ascii="Arial" w:hAnsi="Arial"/>
          <w:sz w:val="22"/>
          <w:szCs w:val="22"/>
          <w:rtl w:val="0"/>
          <w:lang w:val="en-US"/>
        </w:rPr>
        <w:t xml:space="preserve">Those reactions that do not have annotations for the chemical compounds the interact with are discarded. Metabolites were then associated each enzyme in which they interact with and directionality of each biochemical conversion is also saved. </w:t>
      </w:r>
      <w:r>
        <w:rPr>
          <w:rStyle w:val="None A"/>
          <w:rFonts w:ascii="Arial" w:hAnsi="Arial"/>
          <w:sz w:val="22"/>
          <w:szCs w:val="22"/>
          <w:rtl w:val="0"/>
          <w:lang w:val="en-US"/>
        </w:rPr>
        <w:t xml:space="preserve">All reactions were assumed to be monodirectional in order to maximize signal from metabolites most likely being removed from the environment. </w:t>
      </w:r>
      <w:r>
        <w:rPr>
          <w:rStyle w:val="None A"/>
          <w:rFonts w:ascii="Arial" w:hAnsi="Arial"/>
          <w:sz w:val="22"/>
          <w:szCs w:val="22"/>
          <w:rtl w:val="0"/>
          <w:lang w:val="en-US"/>
        </w:rPr>
        <w:t xml:space="preserve">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 </w:t>
      </w:r>
      <w:r>
        <w:rPr>
          <w:rStyle w:val="Hyperlink.2"/>
        </w:rPr>
        <w:fldChar w:fldCharType="begin" w:fldLock="0"/>
      </w:r>
      <w:r>
        <w:rPr>
          <w:rStyle w:val="Hyperlink.2"/>
        </w:rPr>
        <w:instrText xml:space="preserve"> HYPERLINK "http://igraph.org/r/"</w:instrText>
      </w:r>
      <w:r>
        <w:rPr>
          <w:rStyle w:val="Hyperlink.2"/>
        </w:rPr>
        <w:fldChar w:fldCharType="separate" w:fldLock="0"/>
      </w:r>
      <w:r>
        <w:rPr>
          <w:rStyle w:val="Hyperlink.2"/>
          <w:rtl w:val="0"/>
          <w:lang w:val="en-US"/>
        </w:rPr>
        <w:t>http://igraph.org/r/</w:t>
      </w:r>
      <w:r>
        <w:rPr/>
        <w:fldChar w:fldCharType="end" w:fldLock="0"/>
      </w:r>
      <w:r>
        <w:rPr>
          <w:rStyle w:val="Hyperlink.2"/>
          <w:rtl w:val="0"/>
          <w:lang w:val="en-US"/>
        </w:rPr>
        <w:t>.</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sz w:val="22"/>
          <w:szCs w:val="22"/>
          <w:rtl w:val="0"/>
          <w:lang w:val="en-US"/>
        </w:rPr>
        <w:t>Metabolite Importance Calculation.</w:t>
      </w:r>
      <w:r>
        <w:rPr>
          <w:rStyle w:val="Hyperlink.2"/>
          <w:rtl w:val="0"/>
          <w:lang w:val="en-US"/>
        </w:rPr>
        <w:t xml:space="preserve"> The substrate importance algorithm favors metabolites that are more likely acquired from the environment (not produced within the network), and will award them a higher score (Fig. 5a).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w:t>
      </w:r>
      <w:r>
        <w:rPr>
          <w:rStyle w:val="None A"/>
          <w:rFonts w:ascii="Arial" w:hAnsi="Arial"/>
          <w:b w:val="1"/>
          <w:bCs w:val="1"/>
          <w:sz w:val="22"/>
          <w:szCs w:val="22"/>
          <w:rtl w:val="0"/>
          <w:lang w:val="en-US"/>
        </w:rPr>
        <w:t>m</w:t>
      </w:r>
      <w:r>
        <w:rPr>
          <w:rStyle w:val="Hyperlink.2"/>
          <w:rtl w:val="0"/>
          <w:lang w:val="en-US"/>
        </w:rPr>
        <w:t xml:space="preserve">), we used rarefied transcript abundances mapped to respective enzyme nodes.  This is represented by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o</w:t>
      </w:r>
      <w:r>
        <w:rPr>
          <w:rStyle w:val="Hyperlink.2"/>
          <w:rtl w:val="0"/>
          <w:lang w:val="en-US"/>
        </w:rPr>
        <w:t xml:space="preserve"> and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i</w:t>
      </w:r>
      <w:r>
        <w:rPr>
          <w:rStyle w:val="Hyperlink.2"/>
          <w:rtl w:val="0"/>
          <w:lang w:val="en-US"/>
        </w:rPr>
        <w:t xml:space="preserve"> to designate if an enzyme creates or utilizes </w:t>
      </w:r>
      <w:r>
        <w:rPr>
          <w:rStyle w:val="None A"/>
          <w:rFonts w:ascii="Arial" w:hAnsi="Arial"/>
          <w:b w:val="1"/>
          <w:bCs w:val="1"/>
          <w:sz w:val="22"/>
          <w:szCs w:val="22"/>
          <w:rtl w:val="0"/>
          <w:lang w:val="en-US"/>
        </w:rPr>
        <w:t>m</w:t>
      </w:r>
      <w:r>
        <w:rPr>
          <w:rStyle w:val="Hyperlink.2"/>
          <w:rtl w:val="0"/>
          <w:lang w:val="en-US"/>
        </w:rPr>
        <w:t xml:space="preserve">.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w:t>
      </w:r>
      <w:bookmarkStart w:name="MathJaxElement43Frame" w:id="1"/>
      <w:r>
        <w:rPr>
          <w:rStyle w:val="Hyperlink.2"/>
          <w:rtl w:val="0"/>
          <w:lang w:val="en-US"/>
        </w:rPr>
        <w:t>(</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o</w:t>
      </w:r>
      <w:r>
        <w:rPr>
          <w:rStyle w:val="Hyperlink.2"/>
          <w:rtl w:val="0"/>
          <w:lang w:val="en-US"/>
        </w:rPr>
        <w:t xml:space="preserve"> or </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i</w:t>
      </w:r>
      <w:r>
        <w:rPr>
          <w:rStyle w:val="Hyperlink.2"/>
          <w:rtl w:val="0"/>
          <w:lang w:val="en-US"/>
        </w:rPr>
        <w:t>)</w:t>
      </w:r>
      <w:bookmarkEnd w:id="1"/>
      <w:r>
        <w:rPr>
          <w:rStyle w:val="Hyperlink.2"/>
          <w:rtl w:val="0"/>
          <w:lang w:val="en-US"/>
        </w:rPr>
        <w:t xml:space="preserve"> to normalize for highly connected metabolite nodes:</w:t>
      </w:r>
    </w:p>
    <w:p>
      <w:pPr>
        <w:pStyle w:val="Default"/>
        <w:spacing w:line="480" w:lineRule="auto"/>
        <w:jc w:val="center"/>
      </w:pPr>
      <w:r>
        <w:rPr>
          <w:rStyle w:val="Hyperlink.2"/>
          <w:rtl w:val="0"/>
          <w:lang w:val="en-US"/>
        </w:rPr>
        <w:t xml:space="preserve">(i)  </w:t>
      </w:r>
      <w:r>
        <w:rPr>
          <w:rStyle w:val="None A"/>
          <w:rFonts w:ascii="LM Roman Unslanted 10" w:cs="LM Roman Unslanted 10" w:hAnsi="LM Roman Unslanted 10" w:eastAsia="LM Roman Unslanted 10"/>
          <w:i w:val="1"/>
          <w:iCs w:val="1"/>
          <w:sz w:val="22"/>
          <w:szCs w:val="22"/>
          <w:rtl w:val="0"/>
          <w:lang w:val="en-US"/>
        </w:rPr>
        <w:t>µ</w:t>
      </w:r>
      <w:r>
        <w:rPr>
          <w:rStyle w:val="None A"/>
          <w:rFonts w:ascii="Arial" w:hAnsi="Arial"/>
          <w:sz w:val="22"/>
          <w:szCs w:val="22"/>
          <w:vertAlign w:val="subscript"/>
          <w:rtl w:val="0"/>
          <w:lang w:val="en-US"/>
        </w:rPr>
        <w:t>i</w:t>
      </w:r>
      <w:r>
        <w:rPr>
          <w:rStyle w:val="Hyperlink.2"/>
          <w:rtl w:val="0"/>
          <w:lang w:val="en-US"/>
        </w:rPr>
        <w:t xml:space="preserve"> = </w:t>
      </w:r>
      <w:r>
        <w:rPr>
          <w:rStyle w:val="None A"/>
          <w:sz w:val="28"/>
          <w:szCs w:val="28"/>
          <w:rtl w:val="0"/>
          <w:lang w:val="en-US"/>
        </w:rPr>
        <w:t>Σ</w:t>
      </w:r>
      <w:r>
        <w:rPr>
          <w:rStyle w:val="Hyperlink.2"/>
          <w:rtl w:val="0"/>
          <w:lang w:val="en-US"/>
        </w:rPr>
        <w:t>t</w:t>
      </w:r>
      <w:r>
        <w:rPr>
          <w:rStyle w:val="None A"/>
          <w:rFonts w:ascii="Arial" w:hAnsi="Arial"/>
          <w:sz w:val="22"/>
          <w:szCs w:val="22"/>
          <w:vertAlign w:val="subscript"/>
          <w:rtl w:val="0"/>
          <w:lang w:val="en-US"/>
        </w:rPr>
        <w:t>i</w:t>
      </w:r>
      <w:r>
        <w:rPr>
          <w:rStyle w:val="Hyperlink.2"/>
          <w:rtl w:val="0"/>
          <w:lang w:val="en-US"/>
        </w:rPr>
        <w:t xml:space="preserve"> </w:t>
      </w:r>
      <w:r>
        <w:rPr>
          <w:rStyle w:val="None A"/>
          <w:rFonts w:ascii="Arial" w:hAnsi="Arial" w:hint="default"/>
          <w:caps w:val="0"/>
          <w:smallCaps w:val="0"/>
          <w:color w:val="222222"/>
          <w:spacing w:val="0"/>
          <w:sz w:val="22"/>
          <w:szCs w:val="22"/>
          <w:u w:val="none" w:color="222222"/>
          <w:rtl w:val="0"/>
          <w:lang w:val="en-US"/>
        </w:rPr>
        <w:t>÷</w:t>
      </w:r>
      <w:r>
        <w:rPr>
          <w:rStyle w:val="Hyperlink.2"/>
          <w:rtl w:val="0"/>
          <w:lang w:val="en-US"/>
        </w:rPr>
        <w:t xml:space="preserve"> </w:t>
      </w:r>
      <w:r>
        <w:rPr>
          <w:rStyle w:val="None A"/>
          <w:rFonts w:ascii="LM Roman Unslanted 10" w:cs="LM Roman Unslanted 10" w:hAnsi="LM Roman Unslanted 10" w:eastAsia="LM Roman Unslanted 10"/>
          <w:i w:val="1"/>
          <w:iCs w:val="1"/>
          <w:sz w:val="22"/>
          <w:szCs w:val="22"/>
          <w:rtl w:val="0"/>
          <w:lang w:val="en-US"/>
        </w:rPr>
        <w:t>n</w:t>
      </w:r>
      <w:r>
        <w:rPr>
          <w:rStyle w:val="Hyperlink.2"/>
          <w:rtl w:val="0"/>
          <w:lang w:val="en-US"/>
        </w:rPr>
        <w:t>(e</w:t>
      </w:r>
      <w:r>
        <w:rPr>
          <w:rStyle w:val="None A"/>
          <w:rFonts w:ascii="Arial" w:hAnsi="Arial"/>
          <w:sz w:val="22"/>
          <w:szCs w:val="22"/>
          <w:vertAlign w:val="subscript"/>
          <w:rtl w:val="0"/>
          <w:lang w:val="en-US"/>
        </w:rPr>
        <w:t>o</w:t>
      </w:r>
      <w:r>
        <w:rPr>
          <w:rStyle w:val="None A"/>
          <w:rFonts w:ascii="Arial" w:hAnsi="Arial"/>
          <w:position w:val="0"/>
          <w:sz w:val="22"/>
          <w:szCs w:val="22"/>
          <w:vertAlign w:val="baseline"/>
          <w:rtl w:val="0"/>
          <w:lang w:val="en-US"/>
        </w:rPr>
        <w:t>)</w:t>
        <w:tab/>
        <w:tab/>
        <w:tab/>
        <w:t xml:space="preserve">(ii)  </w:t>
      </w:r>
      <w:r>
        <w:rPr>
          <w:rStyle w:val="None A"/>
          <w:rFonts w:ascii="LM Roman Unslanted 10" w:cs="LM Roman Unslanted 10" w:hAnsi="LM Roman Unslanted 10" w:eastAsia="LM Roman Unslanted 10"/>
          <w:i w:val="1"/>
          <w:iCs w:val="1"/>
          <w:position w:val="0"/>
          <w:sz w:val="22"/>
          <w:szCs w:val="22"/>
          <w:vertAlign w:val="baseline"/>
          <w:rtl w:val="0"/>
          <w:lang w:val="en-US"/>
        </w:rPr>
        <w:t>µ</w:t>
      </w:r>
      <w:r>
        <w:rPr>
          <w:rStyle w:val="None A"/>
          <w:rFonts w:ascii="Arial" w:hAnsi="Arial"/>
          <w:sz w:val="22"/>
          <w:szCs w:val="22"/>
          <w:vertAlign w:val="subscript"/>
          <w:rtl w:val="0"/>
          <w:lang w:val="en-US"/>
        </w:rPr>
        <w:t>o</w:t>
      </w:r>
      <w:r>
        <w:rPr>
          <w:rStyle w:val="None A"/>
          <w:rFonts w:ascii="Arial" w:hAnsi="Arial"/>
          <w:position w:val="0"/>
          <w:sz w:val="22"/>
          <w:szCs w:val="22"/>
          <w:vertAlign w:val="baseline"/>
          <w:rtl w:val="0"/>
          <w:lang w:val="en-US"/>
        </w:rPr>
        <w:t xml:space="preserve"> = </w:t>
      </w:r>
      <w:r>
        <w:rPr>
          <w:rStyle w:val="None A"/>
          <w:position w:val="0"/>
          <w:sz w:val="28"/>
          <w:szCs w:val="28"/>
          <w:vertAlign w:val="baseline"/>
          <w:rtl w:val="0"/>
          <w:lang w:val="en-US"/>
        </w:rPr>
        <w:t>Σ</w:t>
      </w:r>
      <w:r>
        <w:rPr>
          <w:rStyle w:val="None A"/>
          <w:rFonts w:ascii="Arial" w:hAnsi="Arial"/>
          <w:position w:val="0"/>
          <w:sz w:val="22"/>
          <w:szCs w:val="22"/>
          <w:vertAlign w:val="baseline"/>
          <w:rtl w:val="0"/>
          <w:lang w:val="en-US"/>
        </w:rPr>
        <w:t>t</w:t>
      </w:r>
      <w:r>
        <w:rPr>
          <w:rStyle w:val="None A"/>
          <w:rFonts w:ascii="Arial" w:hAnsi="Arial"/>
          <w:sz w:val="22"/>
          <w:szCs w:val="22"/>
          <w:vertAlign w:val="subscript"/>
          <w:rtl w:val="0"/>
          <w:lang w:val="en-US"/>
        </w:rPr>
        <w:t>o</w:t>
      </w:r>
      <w:r>
        <w:rPr>
          <w:rStyle w:val="None A"/>
          <w:rFonts w:ascii="Arial" w:hAnsi="Arial"/>
          <w:position w:val="0"/>
          <w:sz w:val="22"/>
          <w:szCs w:val="22"/>
          <w:vertAlign w:val="baseline"/>
          <w:rtl w:val="0"/>
          <w:lang w:val="en-US"/>
        </w:rPr>
        <w:t xml:space="preserve"> </w:t>
      </w:r>
      <w:r>
        <w:rPr>
          <w:rStyle w:val="None A"/>
          <w:rFonts w:ascii="Arial" w:hAnsi="Arial" w:hint="default"/>
          <w:caps w:val="0"/>
          <w:smallCaps w:val="0"/>
          <w:color w:val="222222"/>
          <w:spacing w:val="0"/>
          <w:position w:val="0"/>
          <w:sz w:val="22"/>
          <w:szCs w:val="22"/>
          <w:u w:val="none" w:color="222222"/>
          <w:vertAlign w:val="baseline"/>
          <w:rtl w:val="0"/>
          <w:lang w:val="en-US"/>
        </w:rPr>
        <w:t>÷</w:t>
      </w:r>
      <w:r>
        <w:rPr>
          <w:rStyle w:val="None A"/>
          <w:rFonts w:ascii="Arial" w:hAnsi="Arial"/>
          <w:position w:val="0"/>
          <w:sz w:val="22"/>
          <w:szCs w:val="22"/>
          <w:vertAlign w:val="baseline"/>
          <w:rtl w:val="0"/>
          <w:lang w:val="en-US"/>
        </w:rPr>
        <w:t xml:space="preserve"> </w:t>
      </w:r>
      <w:r>
        <w:rPr>
          <w:rStyle w:val="None A"/>
          <w:rFonts w:ascii="LM Roman Unslanted 10" w:cs="LM Roman Unslanted 10" w:hAnsi="LM Roman Unslanted 10" w:eastAsia="LM Roman Unslanted 10"/>
          <w:i w:val="1"/>
          <w:iCs w:val="1"/>
          <w:position w:val="0"/>
          <w:sz w:val="22"/>
          <w:szCs w:val="22"/>
          <w:vertAlign w:val="baseline"/>
          <w:rtl w:val="0"/>
          <w:lang w:val="en-US"/>
        </w:rPr>
        <w:t>n</w:t>
      </w:r>
      <w:r>
        <w:rPr>
          <w:rStyle w:val="None A"/>
          <w:rFonts w:ascii="Arial" w:hAnsi="Arial"/>
          <w:position w:val="0"/>
          <w:sz w:val="22"/>
          <w:szCs w:val="22"/>
          <w:vertAlign w:val="baseline"/>
          <w:rtl w:val="0"/>
          <w:lang w:val="en-US"/>
        </w:rPr>
        <w:t>(e</w:t>
      </w:r>
      <w:r>
        <w:rPr>
          <w:rStyle w:val="None A"/>
          <w:rFonts w:ascii="Arial" w:hAnsi="Arial"/>
          <w:sz w:val="22"/>
          <w:szCs w:val="22"/>
          <w:vertAlign w:val="subscript"/>
          <w:rtl w:val="0"/>
          <w:lang w:val="en-US"/>
        </w:rPr>
        <w:t>i</w:t>
      </w:r>
      <w:r>
        <w:rPr>
          <w:rStyle w:val="None A"/>
          <w:rFonts w:ascii="Arial" w:hAnsi="Arial"/>
          <w:position w:val="0"/>
          <w:sz w:val="22"/>
          <w:szCs w:val="22"/>
          <w:vertAlign w:val="baseline"/>
          <w:rtl w:val="0"/>
          <w:lang w:val="en-US"/>
        </w:rPr>
        <w:t>)</w:t>
      </w:r>
    </w:p>
    <w:p>
      <w:pPr>
        <w:pStyle w:val="Default"/>
        <w:spacing w:line="480" w:lineRule="auto"/>
      </w:pPr>
      <w:r>
        <w:rPr>
          <w:rStyle w:val="None A"/>
          <w:rFonts w:ascii="Arial" w:hAnsi="Arial"/>
          <w:position w:val="0"/>
          <w:sz w:val="22"/>
          <w:szCs w:val="22"/>
          <w:vertAlign w:val="baseline"/>
          <w:rtl w:val="0"/>
          <w:lang w:val="en-US"/>
        </w:rPr>
        <w:t>Next the raw metabolite importance score is calculated by subtracting the creation value from the consumption value to weight for metabolites that are likely acquired exogenously:</w:t>
      </w:r>
    </w:p>
    <w:p>
      <w:pPr>
        <w:pStyle w:val="Default"/>
        <w:spacing w:line="480" w:lineRule="auto"/>
        <w:jc w:val="center"/>
      </w:pPr>
      <w:r>
        <w:rPr>
          <w:rStyle w:val="Hyperlink.2"/>
          <w:rtl w:val="0"/>
          <w:lang w:val="en-US"/>
        </w:rPr>
        <w:t xml:space="preserve">(iii)  </w:t>
      </w:r>
      <w:r>
        <w:rPr>
          <w:rStyle w:val="None A"/>
          <w:rFonts w:ascii="PT Serif Caption" w:hAnsi="PT Serif Caption"/>
          <w:sz w:val="22"/>
          <w:szCs w:val="22"/>
          <w:rtl w:val="0"/>
          <w:lang w:val="en-US"/>
        </w:rPr>
        <w:t>I</w:t>
      </w:r>
      <w:r>
        <w:rPr>
          <w:rStyle w:val="None A"/>
          <w:rFonts w:ascii="Arial" w:hAnsi="Arial"/>
          <w:sz w:val="22"/>
          <w:szCs w:val="22"/>
          <w:vertAlign w:val="subscript"/>
          <w:rtl w:val="0"/>
          <w:lang w:val="en-US"/>
        </w:rPr>
        <w:t>m</w:t>
      </w:r>
      <w:r>
        <w:rPr>
          <w:rStyle w:val="Hyperlink.2"/>
          <w:rtl w:val="0"/>
          <w:lang w:val="en-US"/>
        </w:rPr>
        <w:t xml:space="preserve"> = </w:t>
      </w:r>
      <w:bookmarkStart w:name="MathJaxElement43Frame1" w:id="2"/>
      <w:r>
        <w:rPr>
          <w:rStyle w:val="None A"/>
          <w:rFonts w:ascii="Arial" w:hAnsi="Arial"/>
          <w:sz w:val="22"/>
          <w:szCs w:val="22"/>
          <w:vertAlign w:val="superscript"/>
          <w:rtl w:val="0"/>
          <w:lang w:val="en-US"/>
        </w:rPr>
        <w:t>2</w:t>
      </w:r>
      <w:r>
        <w:rPr>
          <w:rStyle w:val="Hyperlink.2"/>
          <w:rtl w:val="0"/>
          <w:lang w:val="en-US"/>
        </w:rPr>
        <w:t>√</w:t>
      </w:r>
      <w:r>
        <w:rPr>
          <w:rStyle w:val="Hyperlink.2"/>
          <w:rtl w:val="0"/>
          <w:lang w:val="en-US"/>
        </w:rPr>
        <w:t>(</w:t>
      </w:r>
      <w:bookmarkEnd w:id="2"/>
      <w:r>
        <w:rPr>
          <w:rStyle w:val="None A"/>
          <w:rFonts w:ascii="LM Roman Unslanted 10" w:cs="LM Roman Unslanted 10" w:hAnsi="LM Roman Unslanted 10" w:eastAsia="LM Roman Unslanted 10"/>
          <w:i w:val="1"/>
          <w:iCs w:val="1"/>
          <w:sz w:val="22"/>
          <w:szCs w:val="22"/>
          <w:rtl w:val="0"/>
          <w:lang w:val="en-US"/>
        </w:rPr>
        <w:t>µ</w:t>
      </w:r>
      <w:r>
        <w:rPr>
          <w:rStyle w:val="None A"/>
          <w:rFonts w:ascii="Arial" w:hAnsi="Arial"/>
          <w:sz w:val="22"/>
          <w:szCs w:val="22"/>
          <w:vertAlign w:val="subscript"/>
          <w:rtl w:val="0"/>
          <w:lang w:val="en-US"/>
        </w:rPr>
        <w:t>i</w:t>
      </w:r>
      <w:r>
        <w:rPr>
          <w:rStyle w:val="None A"/>
          <w:rFonts w:ascii="Arial" w:hAnsi="Arial" w:hint="default"/>
          <w:position w:val="0"/>
          <w:sz w:val="22"/>
          <w:szCs w:val="22"/>
          <w:vertAlign w:val="baseline"/>
          <w:rtl w:val="0"/>
          <w:lang w:val="en-US"/>
        </w:rPr>
        <w:t xml:space="preserve"> – </w:t>
      </w:r>
      <w:r>
        <w:rPr>
          <w:rStyle w:val="None A"/>
          <w:rFonts w:ascii="LM Roman Unslanted 10" w:cs="LM Roman Unslanted 10" w:hAnsi="LM Roman Unslanted 10" w:eastAsia="LM Roman Unslanted 10"/>
          <w:i w:val="1"/>
          <w:iCs w:val="1"/>
          <w:position w:val="0"/>
          <w:sz w:val="22"/>
          <w:szCs w:val="22"/>
          <w:vertAlign w:val="baseline"/>
          <w:rtl w:val="0"/>
          <w:lang w:val="en-US"/>
        </w:rPr>
        <w:t>µ</w:t>
      </w:r>
      <w:r>
        <w:rPr>
          <w:rStyle w:val="None A"/>
          <w:rFonts w:ascii="Arial" w:hAnsi="Arial"/>
          <w:sz w:val="22"/>
          <w:szCs w:val="22"/>
          <w:vertAlign w:val="subscript"/>
          <w:rtl w:val="0"/>
          <w:lang w:val="en-US"/>
        </w:rPr>
        <w:t>o</w:t>
      </w:r>
      <w:bookmarkStart w:name="MathJaxElement43Frame2" w:id="3"/>
      <w:r>
        <w:rPr>
          <w:rStyle w:val="Hyperlink.2"/>
          <w:rtl w:val="0"/>
          <w:lang w:val="en-US"/>
        </w:rPr>
        <w:t>)</w:t>
      </w:r>
    </w:p>
    <w:p>
      <w:pPr>
        <w:pStyle w:val="Default"/>
        <w:spacing w:line="480" w:lineRule="auto"/>
      </w:pPr>
      <w:r>
        <w:rPr>
          <w:rStyle w:val="None A"/>
          <w:rFonts w:ascii="Arial" w:hAnsi="Arial"/>
          <w:position w:val="0"/>
          <w:sz w:val="22"/>
          <w:szCs w:val="22"/>
          <w:vertAlign w:val="baseline"/>
          <w:rtl w:val="0"/>
          <w:lang w:val="en-US"/>
        </w:rPr>
        <w:t>The difference is Log</w:t>
      </w:r>
      <w:r>
        <w:rPr>
          <w:rStyle w:val="None A"/>
          <w:rFonts w:ascii="Arial" w:hAnsi="Arial"/>
          <w:sz w:val="22"/>
          <w:szCs w:val="22"/>
          <w:vertAlign w:val="subscript"/>
          <w:rtl w:val="0"/>
          <w:lang w:val="en-US"/>
        </w:rPr>
        <w:t>2</w:t>
      </w:r>
      <w:r>
        <w:rPr>
          <w:rStyle w:val="None A"/>
          <w:rFonts w:ascii="Arial" w:hAnsi="Arial"/>
          <w:position w:val="0"/>
          <w:sz w:val="22"/>
          <w:szCs w:val="22"/>
          <w:vertAlign w:val="baseline"/>
          <w:rtl w:val="0"/>
          <w:lang w:val="en-US"/>
        </w:rPr>
        <w:t xml:space="preserve"> transformed for comparability between scores of individual metabolites. This results in a final value that reflects the likelihood a metabolite is acquired from the environment. </w:t>
      </w:r>
      <w:r>
        <w:rPr>
          <w:rStyle w:val="Hyperlink.2"/>
          <w:rtl w:val="0"/>
          <w:lang w:val="en-US"/>
        </w:rPr>
        <w:t>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w:t>
      </w:r>
      <w:r>
        <w:rPr>
          <w:rStyle w:val="None A"/>
          <w:rFonts w:ascii="Arial" w:hAnsi="Arial"/>
          <w:b w:val="1"/>
          <w:bCs w:val="1"/>
          <w:sz w:val="22"/>
          <w:szCs w:val="22"/>
          <w:rtl w:val="0"/>
          <w:lang w:val="en-US"/>
        </w:rPr>
        <w:t>B</w:t>
      </w:r>
      <w:r>
        <w:rPr>
          <w:rStyle w:val="Hyperlink.2"/>
          <w:rtl w:val="0"/>
          <w:lang w:val="en-US"/>
        </w:rPr>
        <w:t>acter</w:t>
      </w:r>
      <w:r>
        <w:rPr>
          <w:rStyle w:val="None A"/>
          <w:rFonts w:ascii="Arial" w:hAnsi="Arial"/>
          <w:b w:val="1"/>
          <w:bCs w:val="1"/>
          <w:sz w:val="22"/>
          <w:szCs w:val="22"/>
          <w:rtl w:val="0"/>
          <w:lang w:val="en-US"/>
        </w:rPr>
        <w:t>I</w:t>
      </w:r>
      <w:r>
        <w:rPr>
          <w:rStyle w:val="Hyperlink.2"/>
          <w:rtl w:val="0"/>
          <w:lang w:val="en-US"/>
        </w:rPr>
        <w:t xml:space="preserve">al </w:t>
      </w:r>
      <w:r>
        <w:rPr>
          <w:rStyle w:val="None A"/>
          <w:rFonts w:ascii="Arial" w:hAnsi="Arial"/>
          <w:b w:val="1"/>
          <w:bCs w:val="1"/>
          <w:sz w:val="22"/>
          <w:szCs w:val="22"/>
          <w:rtl w:val="0"/>
          <w:lang w:val="en-US"/>
        </w:rPr>
        <w:t>G</w:t>
      </w:r>
      <w:r>
        <w:rPr>
          <w:rStyle w:val="Hyperlink.2"/>
          <w:rtl w:val="0"/>
          <w:lang w:val="en-US"/>
        </w:rPr>
        <w:t>enome-</w:t>
      </w:r>
      <w:r>
        <w:rPr>
          <w:rStyle w:val="None A"/>
          <w:rFonts w:ascii="Arial" w:hAnsi="Arial"/>
          <w:b w:val="1"/>
          <w:bCs w:val="1"/>
          <w:sz w:val="22"/>
          <w:szCs w:val="22"/>
          <w:rtl w:val="0"/>
          <w:lang w:val="en-US"/>
        </w:rPr>
        <w:t>S</w:t>
      </w:r>
      <w:r>
        <w:rPr>
          <w:rStyle w:val="Hyperlink.2"/>
          <w:rtl w:val="0"/>
          <w:lang w:val="en-US"/>
        </w:rPr>
        <w:t xml:space="preserve">cale </w:t>
      </w:r>
      <w:r>
        <w:rPr>
          <w:rStyle w:val="None A"/>
          <w:rFonts w:ascii="Arial" w:hAnsi="Arial"/>
          <w:b w:val="1"/>
          <w:bCs w:val="1"/>
          <w:sz w:val="22"/>
          <w:szCs w:val="22"/>
          <w:rtl w:val="0"/>
          <w:lang w:val="en-US"/>
        </w:rPr>
        <w:t>M</w:t>
      </w:r>
      <w:r>
        <w:rPr>
          <w:rStyle w:val="Hyperlink.2"/>
          <w:rtl w:val="0"/>
          <w:lang w:val="en-US"/>
        </w:rPr>
        <w:t xml:space="preserve">etabolic models for </w:t>
      </w:r>
      <w:r>
        <w:rPr>
          <w:rStyle w:val="None A"/>
          <w:rFonts w:ascii="Arial" w:hAnsi="Arial"/>
          <w:b w:val="1"/>
          <w:bCs w:val="1"/>
          <w:sz w:val="22"/>
          <w:szCs w:val="22"/>
          <w:rtl w:val="0"/>
          <w:lang w:val="en-US"/>
        </w:rPr>
        <w:t>A</w:t>
      </w:r>
      <w:r>
        <w:rPr>
          <w:rStyle w:val="Hyperlink.2"/>
          <w:rtl w:val="0"/>
          <w:lang w:val="en-US"/>
        </w:rPr>
        <w:t>pp</w:t>
      </w:r>
      <w:r>
        <w:rPr>
          <w:rStyle w:val="None A"/>
          <w:rFonts w:ascii="Arial" w:hAnsi="Arial"/>
          <w:b w:val="1"/>
          <w:bCs w:val="1"/>
          <w:sz w:val="22"/>
          <w:szCs w:val="22"/>
          <w:rtl w:val="0"/>
          <w:lang w:val="en-US"/>
        </w:rPr>
        <w:t>L</w:t>
      </w:r>
      <w:r>
        <w:rPr>
          <w:rStyle w:val="Hyperlink.2"/>
          <w:rtl w:val="0"/>
          <w:lang w:val="en-US"/>
        </w:rPr>
        <w:t>ied reverse eco</w:t>
      </w:r>
      <w:r>
        <w:rPr>
          <w:rStyle w:val="None A"/>
          <w:rFonts w:ascii="Arial" w:hAnsi="Arial"/>
          <w:b w:val="1"/>
          <w:bCs w:val="1"/>
          <w:sz w:val="22"/>
          <w:szCs w:val="22"/>
          <w:rtl w:val="0"/>
          <w:lang w:val="en-US"/>
        </w:rPr>
        <w:t>L</w:t>
      </w:r>
      <w:r>
        <w:rPr>
          <w:rStyle w:val="Hyperlink.2"/>
          <w:rtl w:val="0"/>
          <w:lang w:val="en-US"/>
        </w:rPr>
        <w:t xml:space="preserve">ogy) available in a public Github repository at </w:t>
      </w:r>
      <w:r>
        <w:rPr>
          <w:rStyle w:val="Hyperlink.1"/>
        </w:rPr>
        <w:fldChar w:fldCharType="begin" w:fldLock="0"/>
      </w:r>
      <w:r>
        <w:rPr>
          <w:rStyle w:val="Hyperlink.1"/>
        </w:rPr>
        <w:instrText xml:space="preserve"> HYPERLINK "https://github.com/mjenior/bigsmall"</w:instrText>
      </w:r>
      <w:r>
        <w:rPr>
          <w:rStyle w:val="Hyperlink.1"/>
        </w:rPr>
        <w:fldChar w:fldCharType="separate" w:fldLock="0"/>
      </w:r>
      <w:r>
        <w:rPr>
          <w:rStyle w:val="Hyperlink.1"/>
          <w:rtl w:val="0"/>
          <w:lang w:val="en-US"/>
        </w:rPr>
        <w:t>https://github.com/mjenior/bigsmall</w:t>
      </w:r>
      <w:r>
        <w:rPr/>
        <w:fldChar w:fldCharType="end" w:fldLock="0"/>
      </w:r>
      <w:r>
        <w:rPr>
          <w:rStyle w:val="Hyperlink.2"/>
          <w:rtl w:val="0"/>
          <w:lang w:val="en-US"/>
        </w:rPr>
        <w:t>.</w:t>
      </w:r>
    </w:p>
    <w:p>
      <w:pPr>
        <w:pStyle w:val="Default"/>
        <w:spacing w:line="480" w:lineRule="auto"/>
        <w:jc w:val="both"/>
        <w:rPr>
          <w:rFonts w:ascii="Arial" w:cs="Arial" w:hAnsi="Arial" w:eastAsia="Arial"/>
          <w:sz w:val="22"/>
          <w:szCs w:val="22"/>
        </w:rPr>
      </w:pPr>
    </w:p>
    <w:p>
      <w:pPr>
        <w:pStyle w:val="Default"/>
        <w:spacing w:line="480" w:lineRule="auto"/>
        <w:jc w:val="both"/>
      </w:pPr>
      <w:bookmarkStart w:name="MathJaxElement43Frame3" w:id="4"/>
      <w:r>
        <w:rPr>
          <w:rStyle w:val="None A"/>
          <w:rFonts w:ascii="Arial" w:hAnsi="Arial"/>
          <w:b w:val="1"/>
          <w:bCs w:val="1"/>
          <w:sz w:val="22"/>
          <w:szCs w:val="22"/>
          <w:rtl w:val="0"/>
          <w:lang w:val="en-US"/>
        </w:rPr>
        <w:t>Transcriptome Bootstrapping and Probability Distribution Comparison.</w:t>
      </w:r>
      <w:bookmarkEnd w:id="4"/>
      <w:bookmarkEnd w:id="3"/>
      <w:r>
        <w:rPr>
          <w:rStyle w:val="None A"/>
          <w:rFonts w:ascii="Arial" w:hAnsi="Arial"/>
          <w:b w:val="1"/>
          <w:bCs w:val="1"/>
          <w:sz w:val="22"/>
          <w:szCs w:val="22"/>
          <w:rtl w:val="0"/>
          <w:lang w:val="en-US"/>
        </w:rPr>
        <w:t xml:space="preserve"> </w:t>
      </w:r>
      <w:r>
        <w:rPr>
          <w:rStyle w:val="Hyperlink.2"/>
          <w:rtl w:val="0"/>
          <w:lang w:val="en-US"/>
        </w:rPr>
        <w:t xml:space="preserve">As sequencing replicates of </w:t>
      </w:r>
      <w:r>
        <w:rPr>
          <w:rStyle w:val="None A"/>
          <w:rFonts w:ascii="Arial" w:hAnsi="Arial"/>
          <w:i w:val="1"/>
          <w:iCs w:val="1"/>
          <w:sz w:val="22"/>
          <w:szCs w:val="22"/>
          <w:rtl w:val="0"/>
          <w:lang w:val="en-US"/>
        </w:rPr>
        <w:t>in vivo</w:t>
      </w:r>
      <w:r>
        <w:rPr>
          <w:rStyle w:val="Hyperlink.2"/>
          <w:rtl w:val="0"/>
          <w:lang w:val="en-US"/>
        </w:rPr>
        <w:t xml:space="preserve"> transcriptomes was not feasible, we applied a Monte-Carlo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95% confidence interval. This is a superior approach to topology randomization since the connections of the network itself was created through natural selection and any large-scale alterations would yield biologically uninformative comparisons. These calculations are also included within the standard BIGsmall workflow presented above.</w:t>
      </w:r>
    </w:p>
    <w:p>
      <w:pPr>
        <w:pStyle w:val="Default"/>
        <w:spacing w:line="480" w:lineRule="auto"/>
        <w:jc w:val="both"/>
        <w:rPr>
          <w:rStyle w:val="Hyperlink.2"/>
        </w:rPr>
      </w:pPr>
      <w:bookmarkStart w:name="MathJaxElement43Frame5" w:id="5"/>
    </w:p>
    <w:p>
      <w:pPr>
        <w:pStyle w:val="Default"/>
        <w:spacing w:line="480" w:lineRule="auto"/>
        <w:jc w:val="both"/>
      </w:pPr>
      <w:r>
        <w:rPr>
          <w:rStyle w:val="None A"/>
          <w:rFonts w:ascii="Arial" w:hAnsi="Arial"/>
          <w:b w:val="1"/>
          <w:bCs w:val="1"/>
          <w:sz w:val="22"/>
          <w:szCs w:val="22"/>
          <w:rtl w:val="0"/>
          <w:lang w:val="en-US"/>
        </w:rPr>
        <w:t xml:space="preserve">Anaerobic </w:t>
      </w:r>
      <w:r>
        <w:rPr>
          <w:rStyle w:val="None A"/>
          <w:rFonts w:ascii="Arial" w:hAnsi="Arial"/>
          <w:b w:val="1"/>
          <w:bCs w:val="1"/>
          <w:i w:val="1"/>
          <w:iCs w:val="1"/>
          <w:sz w:val="22"/>
          <w:szCs w:val="22"/>
          <w:rtl w:val="0"/>
          <w:lang w:val="en-US"/>
        </w:rPr>
        <w:t>in vitro C. difficile</w:t>
      </w:r>
      <w:r>
        <w:rPr>
          <w:rStyle w:val="None A"/>
          <w:rFonts w:ascii="Arial" w:hAnsi="Arial"/>
          <w:b w:val="1"/>
          <w:bCs w:val="1"/>
          <w:sz w:val="22"/>
          <w:szCs w:val="22"/>
          <w:rtl w:val="0"/>
          <w:lang w:val="en-US"/>
        </w:rPr>
        <w:t xml:space="preserve"> growth curves. </w:t>
      </w:r>
      <w:r>
        <w:rPr>
          <w:rStyle w:val="Hyperlink.2"/>
          <w:rtl w:val="0"/>
          <w:lang w:val="en-US"/>
        </w:rPr>
        <w:t xml:space="preserve">The carbon-free variation of </w:t>
      </w:r>
      <w:r>
        <w:rPr>
          <w:rStyle w:val="None A"/>
          <w:rFonts w:ascii="Arial" w:hAnsi="Arial"/>
          <w:i w:val="1"/>
          <w:iCs w:val="1"/>
          <w:sz w:val="22"/>
          <w:szCs w:val="22"/>
          <w:rtl w:val="0"/>
          <w:lang w:val="en-US"/>
        </w:rPr>
        <w:t>C. difficile</w:t>
      </w:r>
      <w:r>
        <w:rPr>
          <w:rStyle w:val="Hyperlink.2"/>
          <w:rtl w:val="0"/>
          <w:lang w:val="en-US"/>
        </w:rPr>
        <w:t xml:space="preserve"> Basal Defined Medium (NCMM) was prepared as previously described in Theriot et. al., 2014.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w:t>
      </w:r>
      <w:r>
        <w:rPr>
          <w:rStyle w:val="Hyperlink.2"/>
          <w:rtl w:val="0"/>
          <w:lang w:val="en-US"/>
        </w:rPr>
        <w:t>μ</w:t>
      </w:r>
      <w:r>
        <w:rPr>
          <w:rStyle w:val="Hyperlink.2"/>
          <w:rtl w:val="0"/>
          <w:lang w:val="en-US"/>
        </w:rPr>
        <w:t>l of final media mixes were added to a 96-well sterile plate arranged as shown in Table S4. A rich media growth control was also included, consisting of liquid Brain-Heart Infusion + 0.5% cysteine. All culturing and growth measurement were performed anaerobically in a Coy Type B Vinyl Anaerobic Chamber (3.0% H, 5.0% CO</w:t>
      </w:r>
      <w:r>
        <w:rPr>
          <w:rStyle w:val="None A"/>
          <w:rFonts w:ascii="Arial" w:hAnsi="Arial"/>
          <w:sz w:val="22"/>
          <w:szCs w:val="22"/>
          <w:vertAlign w:val="subscript"/>
          <w:rtl w:val="0"/>
          <w:lang w:val="en-US"/>
        </w:rPr>
        <w:t>2</w:t>
      </w:r>
      <w:r>
        <w:rPr>
          <w:rStyle w:val="Hyperlink.2"/>
          <w:rtl w:val="0"/>
          <w:lang w:val="en-US"/>
        </w:rPr>
        <w:t>, 92.0% N, 0.0% O</w:t>
      </w:r>
      <w:r>
        <w:rPr>
          <w:rStyle w:val="None A"/>
          <w:rFonts w:ascii="Arial" w:hAnsi="Arial"/>
          <w:sz w:val="22"/>
          <w:szCs w:val="22"/>
          <w:vertAlign w:val="subscript"/>
          <w:rtl w:val="0"/>
          <w:lang w:val="en-US"/>
        </w:rPr>
        <w:t>2</w:t>
      </w:r>
      <w:r>
        <w:rPr>
          <w:rStyle w:val="Hyperlink.2"/>
          <w:rtl w:val="0"/>
          <w:lang w:val="en-US"/>
        </w:rPr>
        <w:t xml:space="preserve">). </w:t>
      </w:r>
      <w:r>
        <w:rPr>
          <w:rStyle w:val="None A"/>
          <w:rFonts w:ascii="Arial" w:hAnsi="Arial"/>
          <w:i w:val="1"/>
          <w:iCs w:val="1"/>
          <w:sz w:val="22"/>
          <w:szCs w:val="22"/>
          <w:rtl w:val="0"/>
          <w:lang w:val="en-US"/>
        </w:rPr>
        <w:t>C. difficile</w:t>
      </w:r>
      <w:r>
        <w:rPr>
          <w:rStyle w:val="Hyperlink.2"/>
          <w:rtl w:val="0"/>
          <w:lang w:val="en-US"/>
        </w:rPr>
        <w:t xml:space="preserve"> str. 630 was grown for 14 hours at 37</w:t>
      </w:r>
      <w:r>
        <w:rPr>
          <w:rStyle w:val="Hyperlink.2"/>
          <w:rtl w:val="0"/>
          <w:lang w:val="en-US"/>
        </w:rPr>
        <w:t xml:space="preserve">° </w:t>
      </w:r>
      <w:r>
        <w:rPr>
          <w:rStyle w:val="Hyperlink.2"/>
          <w:rtl w:val="0"/>
          <w:lang w:val="en-US"/>
        </w:rPr>
        <w:t xml:space="preserve">C in 3 ml BHI + 0.5% cysteine. Cultures were then centrifuged at 2000 rpm for 5 minutes and resulting pellets were then washed twice with sterile, anaerobic 1 </w:t>
      </w:r>
      <w:r>
        <w:rPr>
          <w:rStyle w:val="Hyperlink.2"/>
          <w:rtl w:val="0"/>
          <w:lang w:val="en-US"/>
        </w:rPr>
        <w:t xml:space="preserve">× </w:t>
      </w:r>
      <w:r>
        <w:rPr>
          <w:rStyle w:val="Hyperlink.2"/>
          <w:rtl w:val="0"/>
          <w:lang w:val="en-US"/>
        </w:rPr>
        <w:t xml:space="preserve">phosphate-buffered saline (PBS). Washed pellets were resuspended in 3 ml more PBS and 5 </w:t>
      </w:r>
      <w:r>
        <w:rPr>
          <w:rStyle w:val="Hyperlink.2"/>
          <w:rtl w:val="0"/>
          <w:lang w:val="en-US"/>
        </w:rPr>
        <w:t>μ</w:t>
      </w:r>
      <w:r>
        <w:rPr>
          <w:rStyle w:val="Hyperlink.2"/>
          <w:rtl w:val="0"/>
          <w:lang w:val="en-US"/>
        </w:rPr>
        <w:t>l of prepped culture was added the each growth well of the plate containing aliquoted media. The plate was then placed in a Tecan Sunrise plate reader, heated to 37</w:t>
      </w:r>
      <w:r>
        <w:rPr>
          <w:rStyle w:val="Hyperlink.2"/>
          <w:rtl w:val="0"/>
          <w:lang w:val="en-US"/>
        </w:rPr>
        <w:t xml:space="preserve">° </w:t>
      </w:r>
      <w:r>
        <w:rPr>
          <w:rStyle w:val="Hyperlink.2"/>
          <w:rtl w:val="0"/>
          <w:lang w:val="en-US"/>
        </w:rPr>
        <w:t>C. Plates were incubated for 24 hours with automatic optical density readings at 600 nm taken every 30 minutes. OD</w:t>
      </w:r>
      <w:r>
        <w:rPr>
          <w:rStyle w:val="None A"/>
          <w:rFonts w:ascii="Arial" w:hAnsi="Arial"/>
          <w:sz w:val="22"/>
          <w:szCs w:val="22"/>
          <w:vertAlign w:val="subscript"/>
          <w:rtl w:val="0"/>
          <w:lang w:val="en-US"/>
        </w:rPr>
        <w:t>600</w:t>
      </w:r>
      <w:r>
        <w:rPr>
          <w:rStyle w:val="Hyperlink.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A"/>
          <w:rFonts w:ascii="Arial" w:hAnsi="Arial"/>
          <w:sz w:val="22"/>
          <w:szCs w:val="22"/>
          <w:vertAlign w:val="subscript"/>
          <w:rtl w:val="0"/>
          <w:lang w:val="en-US"/>
        </w:rPr>
        <w:t>600</w:t>
      </w:r>
      <w:r>
        <w:rPr>
          <w:rStyle w:val="Hyperlink.2"/>
          <w:rtl w:val="0"/>
          <w:lang w:val="en-US"/>
        </w:rPr>
        <w:t xml:space="preserve"> over time in R to obtain the slope at each time point. Significant differences were determined by 2-way ANOVA with Holm-Bonferroni correction.</w:t>
      </w:r>
    </w:p>
    <w:p>
      <w:pPr>
        <w:pStyle w:val="Default"/>
        <w:spacing w:line="480" w:lineRule="auto"/>
        <w:jc w:val="both"/>
        <w:rPr>
          <w:rFonts w:ascii="Arial" w:cs="Arial" w:hAnsi="Arial" w:eastAsia="Arial"/>
          <w:sz w:val="22"/>
          <w:szCs w:val="22"/>
        </w:rPr>
      </w:pPr>
    </w:p>
    <w:p>
      <w:pPr>
        <w:pStyle w:val="Text body"/>
        <w:spacing w:line="480" w:lineRule="auto"/>
        <w:ind w:left="480" w:hanging="480"/>
        <w:jc w:val="both"/>
      </w:pPr>
      <w:r>
        <w:rPr>
          <w:rStyle w:val="None A"/>
          <w:rFonts w:ascii="Arial" w:hAnsi="Arial"/>
          <w:b w:val="1"/>
          <w:bCs w:val="1"/>
          <w:sz w:val="22"/>
          <w:szCs w:val="22"/>
          <w:rtl w:val="0"/>
          <w:lang w:val="en-US"/>
        </w:rPr>
        <w:t>Figure Legends</w:t>
      </w:r>
    </w:p>
    <w:p>
      <w:pPr>
        <w:pStyle w:val="Default"/>
        <w:spacing w:line="480" w:lineRule="auto"/>
        <w:jc w:val="both"/>
      </w:pPr>
      <w:r>
        <w:rPr>
          <w:rStyle w:val="None A"/>
          <w:rFonts w:ascii="Arial" w:hAnsi="Arial"/>
          <w:b w:val="1"/>
          <w:bCs w:val="1"/>
          <w:sz w:val="22"/>
          <w:szCs w:val="22"/>
          <w:rtl w:val="0"/>
          <w:lang w:val="en-US"/>
        </w:rPr>
        <w:t xml:space="preserve">Table 1 | Antibiotics used during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infection models.</w:t>
      </w:r>
    </w:p>
    <w:p>
      <w:pPr>
        <w:pStyle w:val="Default"/>
        <w:spacing w:line="480" w:lineRule="auto"/>
        <w:jc w:val="both"/>
        <w:rPr>
          <w:rFonts w:ascii="Arial" w:cs="Arial" w:hAnsi="Arial" w:eastAsia="Arial"/>
          <w:b w:val="1"/>
          <w:bCs w:val="1"/>
          <w:sz w:val="22"/>
          <w:szCs w:val="22"/>
        </w:rPr>
      </w:pPr>
    </w:p>
    <w:p>
      <w:pPr>
        <w:pStyle w:val="Default"/>
        <w:spacing w:line="480" w:lineRule="auto"/>
        <w:jc w:val="both"/>
      </w:pPr>
      <w:r>
        <w:rPr>
          <w:rStyle w:val="None A"/>
          <w:rFonts w:ascii="Arial" w:hAnsi="Arial"/>
          <w:b w:val="1"/>
          <w:bCs w:val="1"/>
          <w:sz w:val="22"/>
          <w:szCs w:val="22"/>
          <w:rtl w:val="0"/>
          <w:lang w:val="en-US"/>
        </w:rPr>
        <w:t xml:space="preserve">Figure 1 | Experimental time lines for mouse model pretreatments and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infection.</w:t>
      </w:r>
      <w:r>
        <w:rPr>
          <w:rStyle w:val="Hyperlink.2"/>
          <w:rtl w:val="0"/>
          <w:lang w:val="en-US"/>
        </w:rPr>
        <w:t xml:space="preserve"> Nine wild-type C57BL/6 mice were included in each pretreatment group. </w:t>
      </w:r>
      <w:r>
        <w:rPr>
          <w:rStyle w:val="None A"/>
          <w:rFonts w:ascii="Arial" w:hAnsi="Arial"/>
          <w:b w:val="1"/>
          <w:bCs w:val="1"/>
          <w:sz w:val="22"/>
          <w:szCs w:val="22"/>
          <w:rtl w:val="0"/>
          <w:lang w:val="en-US"/>
        </w:rPr>
        <w:t>(a)</w:t>
      </w:r>
      <w:r>
        <w:rPr>
          <w:rStyle w:val="Hyperlink.2"/>
          <w:rtl w:val="0"/>
          <w:lang w:val="en-US"/>
        </w:rPr>
        <w:t xml:space="preserve"> Streptomycin or </w:t>
      </w:r>
      <w:r>
        <w:rPr>
          <w:rStyle w:val="None A"/>
          <w:rFonts w:ascii="Arial" w:hAnsi="Arial"/>
          <w:b w:val="1"/>
          <w:bCs w:val="1"/>
          <w:sz w:val="22"/>
          <w:szCs w:val="22"/>
          <w:rtl w:val="0"/>
          <w:lang w:val="en-US"/>
        </w:rPr>
        <w:t>(b)</w:t>
      </w:r>
      <w:r>
        <w:rPr>
          <w:rStyle w:val="Hyperlink.2"/>
          <w:rtl w:val="0"/>
          <w:lang w:val="en-US"/>
        </w:rPr>
        <w:t xml:space="preserve"> cefoperazone administered </w:t>
      </w:r>
      <w:r>
        <w:rPr>
          <w:rStyle w:val="None A"/>
          <w:rFonts w:ascii="Arial" w:hAnsi="Arial"/>
          <w:i w:val="1"/>
          <w:iCs w:val="1"/>
          <w:sz w:val="22"/>
          <w:szCs w:val="22"/>
          <w:rtl w:val="0"/>
          <w:lang w:val="en-US"/>
        </w:rPr>
        <w:t>ad libitum</w:t>
      </w:r>
      <w:r>
        <w:rPr>
          <w:rStyle w:val="Hyperlink.2"/>
          <w:rtl w:val="0"/>
          <w:lang w:val="en-US"/>
        </w:rPr>
        <w:t xml:space="preserve"> in drinking water for 5 days, with 2 days recovery with untreated drinking water before infection, </w:t>
      </w:r>
      <w:r>
        <w:rPr>
          <w:rStyle w:val="None A"/>
          <w:rFonts w:ascii="Arial" w:hAnsi="Arial"/>
          <w:b w:val="1"/>
          <w:bCs w:val="1"/>
          <w:sz w:val="22"/>
          <w:szCs w:val="22"/>
          <w:rtl w:val="0"/>
          <w:lang w:val="en-US"/>
        </w:rPr>
        <w:t>(c)</w:t>
      </w:r>
      <w:r>
        <w:rPr>
          <w:rStyle w:val="Hyperlink.2"/>
          <w:rtl w:val="0"/>
          <w:lang w:val="en-US"/>
        </w:rPr>
        <w:t xml:space="preserve"> a single clindamycin intraperitoneal injection on Day -1 prior to infection, or </w:t>
      </w:r>
      <w:r>
        <w:rPr>
          <w:rStyle w:val="None A"/>
          <w:rFonts w:ascii="Arial" w:hAnsi="Arial"/>
          <w:b w:val="1"/>
          <w:bCs w:val="1"/>
          <w:sz w:val="22"/>
          <w:szCs w:val="22"/>
          <w:rtl w:val="0"/>
          <w:lang w:val="en-US"/>
        </w:rPr>
        <w:t>(d)</w:t>
      </w:r>
      <w:r>
        <w:rPr>
          <w:rStyle w:val="Hyperlink.2"/>
          <w:rtl w:val="0"/>
          <w:lang w:val="en-US"/>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w:t>
      </w:r>
      <w:r>
        <w:rPr>
          <w:rStyle w:val="Hyperlink.2"/>
          <w:rtl w:val="0"/>
          <w:lang w:val="en-US"/>
        </w:rPr>
        <w:t>×</w:t>
      </w:r>
      <w:r>
        <w:rPr>
          <w:rStyle w:val="Hyperlink.2"/>
          <w:rtl w:val="0"/>
          <w:lang w:val="en-US"/>
        </w:rPr>
        <w:t>10</w:t>
      </w:r>
      <w:r>
        <w:rPr>
          <w:rStyle w:val="None A"/>
          <w:rFonts w:ascii="Arial" w:hAnsi="Arial"/>
          <w:sz w:val="22"/>
          <w:szCs w:val="22"/>
          <w:vertAlign w:val="superscript"/>
          <w:rtl w:val="0"/>
          <w:lang w:val="en-US"/>
        </w:rPr>
        <w:t>3</w:t>
      </w:r>
      <w:r>
        <w:rPr>
          <w:rStyle w:val="Hyperlink.2"/>
          <w:rtl w:val="0"/>
          <w:lang w:val="en-US"/>
        </w:rPr>
        <w:t xml:space="preserve"> </w:t>
      </w:r>
      <w:r>
        <w:rPr>
          <w:rStyle w:val="None A"/>
          <w:rFonts w:ascii="Arial" w:hAnsi="Arial"/>
          <w:i w:val="1"/>
          <w:iCs w:val="1"/>
          <w:sz w:val="22"/>
          <w:szCs w:val="22"/>
          <w:rtl w:val="0"/>
          <w:lang w:val="en-US"/>
        </w:rPr>
        <w:t>C. difficile</w:t>
      </w:r>
      <w:r>
        <w:rPr>
          <w:rStyle w:val="Hyperlink.2"/>
          <w:rtl w:val="0"/>
          <w:lang w:val="en-US"/>
        </w:rPr>
        <w:t xml:space="preserve"> str. 630 spores at the time of infection. Sacrifice and necropsy was done 18 hours post-challenge and cecal content was then collected.</w:t>
      </w:r>
    </w:p>
    <w:p>
      <w:pPr>
        <w:pStyle w:val="Default"/>
        <w:spacing w:line="480" w:lineRule="auto"/>
        <w:jc w:val="both"/>
        <w:rPr>
          <w:rFonts w:ascii="Arial" w:cs="Arial" w:hAnsi="Arial" w:eastAsia="Arial"/>
          <w:b w:val="1"/>
          <w:bCs w:val="1"/>
          <w:sz w:val="22"/>
          <w:szCs w:val="22"/>
        </w:rPr>
      </w:pPr>
    </w:p>
    <w:p>
      <w:pPr>
        <w:pStyle w:val="Default"/>
        <w:spacing w:line="480" w:lineRule="auto"/>
        <w:jc w:val="both"/>
      </w:pPr>
      <w:r>
        <w:rPr>
          <w:rStyle w:val="None A"/>
          <w:rFonts w:ascii="Arial" w:hAnsi="Arial"/>
          <w:b w:val="1"/>
          <w:bCs w:val="1"/>
          <w:sz w:val="22"/>
          <w:szCs w:val="22"/>
          <w:rtl w:val="0"/>
          <w:lang w:val="en-US"/>
        </w:rPr>
        <w:t xml:space="preserve">Figure 2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sporulation and toxin activity quantification after 18 hours of infection. (a)</w:t>
      </w:r>
      <w:r>
        <w:rPr>
          <w:rStyle w:val="Hyperlink.2"/>
          <w:rtl w:val="0"/>
          <w:lang w:val="en-US"/>
        </w:rPr>
        <w:t xml:space="preserve"> Vegetative </w:t>
      </w:r>
      <w:r>
        <w:rPr>
          <w:rStyle w:val="None A"/>
          <w:rFonts w:ascii="Arial" w:hAnsi="Arial"/>
          <w:i w:val="1"/>
          <w:iCs w:val="1"/>
          <w:sz w:val="22"/>
          <w:szCs w:val="22"/>
          <w:rtl w:val="0"/>
          <w:lang w:val="en-US"/>
        </w:rPr>
        <w:t>C. difficile</w:t>
      </w:r>
      <w:r>
        <w:rPr>
          <w:rStyle w:val="Hyperlink.2"/>
          <w:rtl w:val="0"/>
          <w:lang w:val="en-US"/>
        </w:rPr>
        <w:t xml:space="preserve"> c.f.u. per gram of cecal content (n=9 mice per group). No significant differences were observed in between any group colonized by </w:t>
      </w:r>
      <w:r>
        <w:rPr>
          <w:rStyle w:val="None A"/>
          <w:rFonts w:ascii="Arial" w:hAnsi="Arial"/>
          <w:i w:val="1"/>
          <w:iCs w:val="1"/>
          <w:sz w:val="22"/>
          <w:szCs w:val="22"/>
          <w:rtl w:val="0"/>
          <w:lang w:val="en-US"/>
        </w:rPr>
        <w:t>C. difficile</w:t>
      </w:r>
      <w:r>
        <w:rPr>
          <w:rStyle w:val="Hyperlink.2"/>
          <w:rtl w:val="0"/>
          <w:lang w:val="en-US"/>
        </w:rPr>
        <w:t xml:space="preserve">.  </w:t>
      </w:r>
      <w:r>
        <w:rPr>
          <w:rStyle w:val="None A"/>
          <w:rFonts w:ascii="Arial" w:hAnsi="Arial"/>
          <w:b w:val="1"/>
          <w:bCs w:val="1"/>
          <w:sz w:val="22"/>
          <w:szCs w:val="22"/>
          <w:rtl w:val="0"/>
          <w:lang w:val="en-US"/>
        </w:rPr>
        <w:t xml:space="preserve">(b) </w:t>
      </w:r>
      <w:r>
        <w:rPr>
          <w:rStyle w:val="None A"/>
          <w:rFonts w:ascii="Arial" w:hAnsi="Arial"/>
          <w:i w:val="1"/>
          <w:iCs w:val="1"/>
          <w:sz w:val="22"/>
          <w:szCs w:val="22"/>
          <w:rtl w:val="0"/>
          <w:lang w:val="en-US"/>
        </w:rPr>
        <w:t>C. difficile</w:t>
      </w:r>
      <w:r>
        <w:rPr>
          <w:rStyle w:val="Hyperlink.2"/>
          <w:rtl w:val="0"/>
          <w:lang w:val="en-US"/>
        </w:rPr>
        <w:t xml:space="preserve"> spore c.f.u. per gram of cecal content. Significantly more spores were detectable in GF mice compared to any of the antibiotic-treated SPF groups (</w:t>
      </w:r>
      <w:r>
        <w:rPr>
          <w:rStyle w:val="None A"/>
          <w:rFonts w:ascii="Arial" w:hAnsi="Arial"/>
          <w:i w:val="1"/>
          <w:iCs w:val="1"/>
          <w:sz w:val="22"/>
          <w:szCs w:val="22"/>
          <w:rtl w:val="0"/>
          <w:lang w:val="en-US"/>
        </w:rPr>
        <w:t>P</w:t>
      </w:r>
      <w:r>
        <w:rPr>
          <w:rStyle w:val="Hyperlink.2"/>
          <w:rtl w:val="0"/>
          <w:lang w:val="en-US"/>
        </w:rPr>
        <w:t xml:space="preserve"> &lt; 0.05). </w:t>
      </w:r>
      <w:r>
        <w:rPr>
          <w:rStyle w:val="None A"/>
          <w:rFonts w:ascii="Arial" w:hAnsi="Arial"/>
          <w:b w:val="1"/>
          <w:bCs w:val="1"/>
          <w:sz w:val="22"/>
          <w:szCs w:val="22"/>
          <w:rtl w:val="0"/>
          <w:lang w:val="en-US"/>
        </w:rPr>
        <w:t>(c)</w:t>
      </w:r>
      <w:r>
        <w:rPr>
          <w:rStyle w:val="Hyperlink.2"/>
          <w:rtl w:val="0"/>
          <w:lang w:val="en-US"/>
        </w:rPr>
        <w:t xml:space="preserve"> 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rStyle w:val="None A"/>
          <w:rFonts w:ascii="Arial" w:hAnsi="Arial"/>
          <w:i w:val="1"/>
          <w:iCs w:val="1"/>
          <w:sz w:val="22"/>
          <w:szCs w:val="22"/>
          <w:rtl w:val="0"/>
          <w:lang w:val="en-US"/>
        </w:rPr>
        <w:t>P</w:t>
      </w:r>
      <w:r>
        <w:rPr>
          <w:rStyle w:val="Hyperlink.2"/>
          <w:rtl w:val="0"/>
          <w:lang w:val="en-US"/>
        </w:rPr>
        <w:t xml:space="preserve"> &lt; 0.05). UD* in </w:t>
      </w:r>
      <w:r>
        <w:rPr>
          <w:rStyle w:val="None A"/>
          <w:rFonts w:ascii="Arial" w:hAnsi="Arial"/>
          <w:b w:val="1"/>
          <w:bCs w:val="1"/>
          <w:sz w:val="22"/>
          <w:szCs w:val="22"/>
          <w:rtl w:val="0"/>
          <w:lang w:val="en-US"/>
        </w:rPr>
        <w:t>a</w:t>
      </w:r>
      <w:r>
        <w:rPr>
          <w:rStyle w:val="Hyperlink.2"/>
          <w:rtl w:val="0"/>
          <w:lang w:val="en-US"/>
        </w:rPr>
        <w:t>,</w:t>
      </w:r>
      <w:r>
        <w:rPr>
          <w:rStyle w:val="None A"/>
          <w:rFonts w:ascii="Arial" w:hAnsi="Arial"/>
          <w:b w:val="1"/>
          <w:bCs w:val="1"/>
          <w:sz w:val="22"/>
          <w:szCs w:val="22"/>
          <w:rtl w:val="0"/>
          <w:lang w:val="en-US"/>
        </w:rPr>
        <w:t>b</w:t>
      </w:r>
      <w:r>
        <w:rPr>
          <w:rStyle w:val="Hyperlink.2"/>
          <w:rtl w:val="0"/>
          <w:lang w:val="en-US"/>
        </w:rPr>
        <w:t>,</w:t>
      </w:r>
      <w:r>
        <w:rPr>
          <w:rStyle w:val="None A"/>
          <w:rFonts w:ascii="Arial" w:hAnsi="Arial"/>
          <w:b w:val="1"/>
          <w:bCs w:val="1"/>
          <w:sz w:val="22"/>
          <w:szCs w:val="22"/>
          <w:rtl w:val="0"/>
          <w:lang w:val="en-US"/>
        </w:rPr>
        <w:t>c</w:t>
      </w:r>
      <w:r>
        <w:rPr>
          <w:rStyle w:val="Hyperlink.2"/>
          <w:rtl w:val="0"/>
          <w:lang w:val="en-US"/>
        </w:rPr>
        <w:t xml:space="preserve"> indicate that all points in this groups were undetectable and are significantly different from all other groups in each assay (</w:t>
      </w:r>
      <w:r>
        <w:rPr>
          <w:rStyle w:val="None A"/>
          <w:rFonts w:ascii="Arial" w:hAnsi="Arial"/>
          <w:i w:val="1"/>
          <w:iCs w:val="1"/>
          <w:sz w:val="22"/>
          <w:szCs w:val="22"/>
          <w:rtl w:val="0"/>
          <w:lang w:val="en-US"/>
        </w:rPr>
        <w:t>P</w:t>
      </w:r>
      <w:r>
        <w:rPr>
          <w:rStyle w:val="Hyperlink.2"/>
          <w:rtl w:val="0"/>
          <w:lang w:val="en-US"/>
        </w:rPr>
        <w:t xml:space="preserve"> &lt;&lt;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Default"/>
        <w:spacing w:line="480" w:lineRule="auto"/>
        <w:jc w:val="both"/>
      </w:pPr>
    </w:p>
    <w:p>
      <w:pPr>
        <w:pStyle w:val="Default"/>
        <w:spacing w:line="480" w:lineRule="auto"/>
        <w:jc w:val="both"/>
      </w:pPr>
      <w:r>
        <w:rPr>
          <w:rStyle w:val="None A"/>
          <w:rFonts w:ascii="Arial" w:hAnsi="Arial"/>
          <w:b w:val="1"/>
          <w:bCs w:val="1"/>
          <w:sz w:val="22"/>
          <w:szCs w:val="22"/>
          <w:rtl w:val="0"/>
          <w:lang w:val="en-US"/>
        </w:rPr>
        <w:t xml:space="preserve">Figure 3 | Select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gene set expression compared between treatment group. </w:t>
      </w:r>
      <w:r>
        <w:rPr>
          <w:rStyle w:val="Hyperlink.2"/>
          <w:rtl w:val="0"/>
          <w:lang w:val="en-US"/>
        </w:rPr>
        <w:t xml:space="preserve">Relative abundances of rarefied transcript data for each gene from pooled transcriptomic sequencing of </w:t>
      </w:r>
      <w:r>
        <w:rPr>
          <w:rStyle w:val="None A"/>
          <w:rFonts w:ascii="Arial" w:hAnsi="Arial"/>
          <w:i w:val="1"/>
          <w:iCs w:val="1"/>
          <w:sz w:val="22"/>
          <w:szCs w:val="22"/>
          <w:rtl w:val="0"/>
          <w:lang w:val="en-US"/>
        </w:rPr>
        <w:t>C. difficile</w:t>
      </w:r>
      <w:r>
        <w:rPr>
          <w:rStyle w:val="Hyperlink.2"/>
          <w:rtl w:val="0"/>
          <w:lang w:val="en-US"/>
        </w:rPr>
        <w:t xml:space="preserve"> in each condition. </w:t>
      </w:r>
      <w:r>
        <w:rPr>
          <w:rStyle w:val="None A"/>
          <w:rFonts w:ascii="Arial" w:hAnsi="Arial"/>
          <w:b w:val="1"/>
          <w:bCs w:val="1"/>
          <w:sz w:val="22"/>
          <w:szCs w:val="22"/>
          <w:rtl w:val="0"/>
          <w:lang w:val="en-US"/>
        </w:rPr>
        <w:t>(a)</w:t>
      </w:r>
      <w:r>
        <w:rPr>
          <w:rStyle w:val="Hyperlink.2"/>
          <w:rtl w:val="0"/>
          <w:lang w:val="en-US"/>
        </w:rPr>
        <w:t xml:space="preserve"> Select genes from the </w:t>
      </w:r>
      <w:r>
        <w:rPr>
          <w:rStyle w:val="None A"/>
          <w:rFonts w:ascii="Arial" w:hAnsi="Arial"/>
          <w:i w:val="1"/>
          <w:iCs w:val="1"/>
          <w:sz w:val="22"/>
          <w:szCs w:val="22"/>
          <w:rtl w:val="0"/>
          <w:lang w:val="en-US"/>
        </w:rPr>
        <w:t>C. difficile</w:t>
      </w:r>
      <w:r>
        <w:rPr>
          <w:rStyle w:val="Hyperlink.2"/>
          <w:rtl w:val="0"/>
          <w:lang w:val="en-US"/>
        </w:rPr>
        <w:t xml:space="preserve"> sporulation pathway with the greatest variation in expression between the conditions tested. </w:t>
      </w:r>
      <w:r>
        <w:rPr>
          <w:rStyle w:val="None A"/>
          <w:rFonts w:ascii="Arial" w:hAnsi="Arial"/>
          <w:b w:val="1"/>
          <w:bCs w:val="1"/>
          <w:sz w:val="22"/>
          <w:szCs w:val="22"/>
          <w:rtl w:val="0"/>
          <w:lang w:val="en-US"/>
        </w:rPr>
        <w:t>(b)</w:t>
      </w:r>
      <w:r>
        <w:rPr>
          <w:rStyle w:val="Hyperlink.2"/>
          <w:rtl w:val="0"/>
          <w:lang w:val="en-US"/>
        </w:rPr>
        <w:t xml:space="preserve"> Genes for effector proteins included in the </w:t>
      </w:r>
      <w:r>
        <w:rPr>
          <w:rStyle w:val="None A"/>
          <w:rFonts w:ascii="Arial" w:hAnsi="Arial"/>
          <w:i w:val="1"/>
          <w:iCs w:val="1"/>
          <w:sz w:val="22"/>
          <w:szCs w:val="22"/>
          <w:rtl w:val="0"/>
          <w:lang w:val="en-US"/>
        </w:rPr>
        <w:t>C. difficile</w:t>
      </w:r>
      <w:r>
        <w:rPr>
          <w:rStyle w:val="Hyperlink.2"/>
          <w:rtl w:val="0"/>
          <w:lang w:val="en-US"/>
        </w:rPr>
        <w:t xml:space="preserve"> pathogenicity locus. </w:t>
      </w:r>
      <w:r>
        <w:rPr>
          <w:rStyle w:val="None A"/>
          <w:rFonts w:ascii="Arial" w:hAnsi="Arial"/>
          <w:b w:val="1"/>
          <w:bCs w:val="1"/>
          <w:sz w:val="22"/>
          <w:szCs w:val="22"/>
          <w:rtl w:val="0"/>
          <w:lang w:val="en-US"/>
        </w:rPr>
        <w:t>(c)</w:t>
      </w:r>
      <w:r>
        <w:rPr>
          <w:rStyle w:val="Hyperlink.2"/>
          <w:rtl w:val="0"/>
          <w:lang w:val="en-US"/>
        </w:rPr>
        <w:t xml:space="preserve"> Genes that have been associated with quorum sensing in </w:t>
      </w:r>
      <w:r>
        <w:rPr>
          <w:rStyle w:val="None A"/>
          <w:rFonts w:ascii="Arial" w:hAnsi="Arial"/>
          <w:i w:val="1"/>
          <w:iCs w:val="1"/>
          <w:sz w:val="22"/>
          <w:szCs w:val="22"/>
          <w:rtl w:val="0"/>
          <w:lang w:val="en-US"/>
        </w:rPr>
        <w:t>C. difficile</w:t>
      </w:r>
      <w:r>
        <w:rPr>
          <w:rStyle w:val="Hyperlink.2"/>
          <w:rtl w:val="0"/>
          <w:lang w:val="en-US"/>
        </w:rPr>
        <w:t xml:space="preserve">. </w:t>
      </w:r>
      <w:r>
        <w:rPr>
          <w:rStyle w:val="None A"/>
          <w:rFonts w:ascii="Arial" w:hAnsi="Arial"/>
          <w:b w:val="1"/>
          <w:bCs w:val="1"/>
          <w:sz w:val="22"/>
          <w:szCs w:val="22"/>
          <w:rtl w:val="0"/>
          <w:lang w:val="en-US"/>
        </w:rPr>
        <w:t>(d)</w:t>
      </w:r>
      <w:r>
        <w:rPr>
          <w:rStyle w:val="Hyperlink.2"/>
          <w:rtl w:val="0"/>
          <w:lang w:val="en-US"/>
        </w:rPr>
        <w:t xml:space="preserve"> Select sigma factors which expression/activity is under the control of environment nutrient concentrations. Relative abundances were calculated from the total expression within each treatment group for all genes shown in </w:t>
      </w:r>
      <w:r>
        <w:rPr>
          <w:rStyle w:val="None A"/>
          <w:rFonts w:ascii="Arial" w:hAnsi="Arial"/>
          <w:b w:val="1"/>
          <w:bCs w:val="1"/>
          <w:sz w:val="22"/>
          <w:szCs w:val="22"/>
          <w:rtl w:val="0"/>
          <w:lang w:val="en-US"/>
        </w:rPr>
        <w:t xml:space="preserve">a </w:t>
      </w:r>
      <w:r>
        <w:rPr>
          <w:rStyle w:val="Hyperlink.2"/>
          <w:rtl w:val="0"/>
          <w:lang w:val="en-US"/>
        </w:rPr>
        <w:t xml:space="preserve">- </w:t>
      </w:r>
      <w:r>
        <w:rPr>
          <w:rStyle w:val="None A"/>
          <w:rFonts w:ascii="Arial" w:hAnsi="Arial"/>
          <w:b w:val="1"/>
          <w:bCs w:val="1"/>
          <w:sz w:val="22"/>
          <w:szCs w:val="22"/>
          <w:rtl w:val="0"/>
          <w:lang w:val="en-US"/>
        </w:rPr>
        <w:t>d</w:t>
      </w:r>
      <w:r>
        <w:rPr>
          <w:rStyle w:val="Hyperlink.2"/>
          <w:rtl w:val="0"/>
          <w:lang w:val="en-US"/>
        </w:rPr>
        <w:t>. UD indicates genes from which transcript was undetectable.</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sz w:val="22"/>
          <w:szCs w:val="22"/>
          <w:rtl w:val="0"/>
          <w:lang w:val="en-US"/>
        </w:rPr>
        <w:t xml:space="preserve">Figure 4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expression of gene sets for alternative carbon metabolism across antibiotic pretreatments. </w:t>
      </w:r>
      <w:r>
        <w:rPr>
          <w:rStyle w:val="Hyperlink.2"/>
          <w:rtl w:val="0"/>
          <w:lang w:val="en-US"/>
        </w:rPr>
        <w:t xml:space="preserve">Ternary plot of all genes with with any transcripts mapping to them are included. Mapped transcript counts again were iteratively rarefied and the median expression of each gene was used. Each point represents a unique gene from the annotated genome of </w:t>
      </w:r>
      <w:r>
        <w:rPr>
          <w:rStyle w:val="None A"/>
          <w:rFonts w:ascii="Arial" w:hAnsi="Arial"/>
          <w:i w:val="1"/>
          <w:iCs w:val="1"/>
          <w:sz w:val="22"/>
          <w:szCs w:val="22"/>
          <w:rtl w:val="0"/>
          <w:lang w:val="en-US"/>
        </w:rPr>
        <w:t>C. difficile</w:t>
      </w:r>
      <w:r>
        <w:rPr>
          <w:rStyle w:val="Hyperlink.2"/>
          <w:rtl w:val="0"/>
          <w:lang w:val="en-US"/>
        </w:rPr>
        <w:t xml:space="preserve"> 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 </w:t>
      </w:r>
      <w:r>
        <w:rPr>
          <w:rStyle w:val="None A"/>
          <w:rFonts w:ascii="Arial" w:hAnsi="Arial"/>
          <w:b w:val="1"/>
          <w:bCs w:val="1"/>
          <w:sz w:val="22"/>
          <w:szCs w:val="22"/>
          <w:rtl w:val="0"/>
          <w:lang w:val="en-US"/>
        </w:rPr>
        <w:t xml:space="preserve">(a) </w:t>
      </w:r>
      <w:r>
        <w:rPr>
          <w:rStyle w:val="Hyperlink.2"/>
          <w:rtl w:val="0"/>
          <w:lang w:val="en-US"/>
        </w:rPr>
        <w:t xml:space="preserve">Point sizes were determined based on the expression from the condition with the highest value for each gene. Highest overall expression across all experimental groups was seen in genes associated with Stickland (amino acid) fermentation. </w:t>
      </w:r>
      <w:r>
        <w:rPr>
          <w:rStyle w:val="None A"/>
          <w:rFonts w:ascii="Arial" w:hAnsi="Arial"/>
          <w:b w:val="1"/>
          <w:bCs w:val="1"/>
          <w:sz w:val="22"/>
          <w:szCs w:val="22"/>
          <w:rtl w:val="0"/>
          <w:lang w:val="en-US"/>
        </w:rPr>
        <w:t xml:space="preserve">(b </w:t>
      </w:r>
      <w:r>
        <w:rPr>
          <w:rStyle w:val="Hyperlink.2"/>
          <w:rtl w:val="0"/>
          <w:lang w:val="en-US"/>
        </w:rPr>
        <w:t>–</w:t>
      </w:r>
      <w:r>
        <w:rPr>
          <w:rStyle w:val="None A"/>
          <w:rFonts w:ascii="Arial" w:hAnsi="Arial"/>
          <w:b w:val="1"/>
          <w:bCs w:val="1"/>
          <w:sz w:val="22"/>
          <w:szCs w:val="22"/>
          <w:rtl w:val="0"/>
          <w:lang w:val="en-US"/>
        </w:rPr>
        <w:t xml:space="preserve"> i) </w:t>
      </w:r>
      <w:r>
        <w:rPr>
          <w:rStyle w:val="Hyperlink.2"/>
          <w:rtl w:val="0"/>
          <w:lang w:val="en-US"/>
        </w:rPr>
        <w:t xml:space="preserve">Groups from </w:t>
      </w:r>
      <w:r>
        <w:rPr>
          <w:rStyle w:val="None A"/>
          <w:rFonts w:ascii="Arial" w:hAnsi="Arial"/>
          <w:b w:val="1"/>
          <w:bCs w:val="1"/>
          <w:sz w:val="22"/>
          <w:szCs w:val="22"/>
          <w:rtl w:val="0"/>
          <w:lang w:val="en-US"/>
        </w:rPr>
        <w:t>a</w:t>
      </w:r>
      <w:r>
        <w:rPr>
          <w:rStyle w:val="Hyperlink.2"/>
          <w:rtl w:val="0"/>
          <w:lang w:val="en-US"/>
        </w:rPr>
        <w:t xml:space="preserve"> are also plotted separately in without size differences for ca</w:t>
      </w:r>
      <w:r>
        <w:rPr>
          <w:rStyle w:val="Hyperlink.2"/>
          <w:rtl w:val="0"/>
          <w:lang w:val="en-US"/>
        </w:rPr>
        <w:t>l</w:t>
      </w:r>
      <w:r>
        <w:rPr>
          <w:rStyle w:val="Hyperlink.2"/>
          <w:rtl w:val="0"/>
          <w:lang w:val="en-US"/>
        </w:rPr>
        <w:t xml:space="preserve">rity. Genes included in each group and transcript abundances can be found in Table S2. </w:t>
      </w:r>
      <w:r>
        <w:rPr>
          <w:rStyle w:val="Hyperlink.2"/>
          <w:rtl w:val="0"/>
          <w:lang w:val="en-US"/>
        </w:rPr>
        <w:t>Like-c</w:t>
      </w:r>
      <w:r>
        <w:rPr>
          <w:rStyle w:val="Hyperlink.2"/>
          <w:rtl w:val="0"/>
          <w:lang w:val="en-US"/>
        </w:rPr>
        <w:t xml:space="preserve">olored asterisks refer to groups that display significantly different distributions by </w:t>
      </w:r>
      <w:r>
        <w:rPr>
          <w:rStyle w:val="Hyperlink.2"/>
          <w:rtl w:val="0"/>
          <w:lang w:val="en-US"/>
        </w:rPr>
        <w:t>2-way</w:t>
      </w:r>
      <w:r>
        <w:rPr>
          <w:rStyle w:val="Hyperlink.2"/>
          <w:rtl w:val="0"/>
          <w:lang w:val="en-US"/>
        </w:rPr>
        <w:t xml:space="preserve"> MANOVA (</w:t>
      </w:r>
      <w:r>
        <w:rPr>
          <w:rStyle w:val="None A"/>
          <w:rFonts w:ascii="Arial" w:hAnsi="Arial"/>
          <w:i w:val="1"/>
          <w:iCs w:val="1"/>
          <w:sz w:val="22"/>
          <w:szCs w:val="22"/>
          <w:rtl w:val="0"/>
          <w:lang w:val="en-US"/>
        </w:rPr>
        <w:t>P</w:t>
      </w:r>
      <w:r>
        <w:rPr>
          <w:rStyle w:val="Hyperlink.2"/>
          <w:rtl w:val="0"/>
          <w:lang w:val="en-US"/>
        </w:rPr>
        <w:t xml:space="preserve"> &lt; 0.05).</w:t>
      </w:r>
    </w:p>
    <w:p>
      <w:pPr>
        <w:pStyle w:val="Default"/>
        <w:spacing w:line="480" w:lineRule="auto"/>
        <w:jc w:val="both"/>
        <w:rPr>
          <w:sz w:val="22"/>
          <w:szCs w:val="22"/>
        </w:rPr>
      </w:pP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line="480" w:lineRule="auto"/>
        <w:jc w:val="both"/>
      </w:pPr>
      <w:r>
        <w:rPr>
          <w:rStyle w:val="None A"/>
          <w:rFonts w:ascii="Arial" w:hAnsi="Arial"/>
          <w:b w:val="1"/>
          <w:bCs w:val="1"/>
          <w:sz w:val="22"/>
          <w:szCs w:val="22"/>
          <w:rtl w:val="0"/>
          <w:lang w:val="en-US"/>
        </w:rPr>
        <w:t xml:space="preserve">Figure 5 | Genome-scale bipartite metabolic modeling results using the transcriptome of </w:t>
      </w:r>
      <w:r>
        <w:rPr>
          <w:rStyle w:val="None A"/>
          <w:rFonts w:ascii="Arial" w:hAnsi="Arial"/>
          <w:b w:val="1"/>
          <w:bCs w:val="1"/>
          <w:i w:val="1"/>
          <w:iCs w:val="1"/>
          <w:sz w:val="22"/>
          <w:szCs w:val="22"/>
          <w:rtl w:val="0"/>
          <w:lang w:val="it-IT"/>
        </w:rPr>
        <w:t>C. difficile</w:t>
      </w:r>
      <w:r>
        <w:rPr>
          <w:rStyle w:val="None A"/>
          <w:rFonts w:ascii="Arial" w:hAnsi="Arial"/>
          <w:b w:val="1"/>
          <w:bCs w:val="1"/>
          <w:sz w:val="22"/>
          <w:szCs w:val="22"/>
          <w:rtl w:val="0"/>
          <w:lang w:val="en-US"/>
        </w:rPr>
        <w:t xml:space="preserve"> str. 630 in each colonized environment. (a) </w:t>
      </w:r>
      <w:r>
        <w:rPr>
          <w:rStyle w:val="None A"/>
          <w:rFonts w:ascii="Arial" w:hAnsi="Arial"/>
          <w:sz w:val="22"/>
          <w:szCs w:val="22"/>
          <w:rtl w:val="0"/>
          <w:lang w:val="en-US"/>
        </w:rPr>
        <w:t xml:space="preserve">Example of metabolite importance calculation along with the largest component from the bipartite genome-scale metabolic model of </w:t>
      </w:r>
      <w:r>
        <w:rPr>
          <w:rStyle w:val="None A"/>
          <w:rFonts w:ascii="Arial" w:hAnsi="Arial"/>
          <w:i w:val="1"/>
          <w:iCs w:val="1"/>
          <w:sz w:val="22"/>
          <w:szCs w:val="22"/>
          <w:rtl w:val="0"/>
          <w:lang w:val="it-IT"/>
        </w:rPr>
        <w:t>C. difficile</w:t>
      </w:r>
      <w:r>
        <w:rPr>
          <w:rStyle w:val="None A"/>
          <w:rFonts w:ascii="Arial" w:hAnsi="Arial"/>
          <w:sz w:val="22"/>
          <w:szCs w:val="22"/>
          <w:rtl w:val="0"/>
          <w:lang w:val="en-US"/>
        </w:rPr>
        <w:t xml:space="preserve"> str. 630. This portion of the graph includes 1070 nodes (404 enzymes and 666 metabolites), with 2000 directed edges connecting them. The size of enzyme nodes is relative to the number of normalized reads mapping to genes from </w:t>
      </w:r>
      <w:r>
        <w:rPr>
          <w:rStyle w:val="None A"/>
          <w:rFonts w:ascii="Arial" w:hAnsi="Arial"/>
          <w:i w:val="1"/>
          <w:iCs w:val="1"/>
          <w:sz w:val="22"/>
          <w:szCs w:val="22"/>
          <w:rtl w:val="0"/>
          <w:lang w:val="it-IT"/>
        </w:rPr>
        <w:t>C. difficile</w:t>
      </w:r>
      <w:r>
        <w:rPr>
          <w:rStyle w:val="None A"/>
          <w:rFonts w:ascii="Arial" w:hAnsi="Arial"/>
          <w:sz w:val="22"/>
          <w:szCs w:val="22"/>
          <w:rtl w:val="0"/>
          <w:lang w:val="en-US"/>
        </w:rPr>
        <w:t xml:space="preserve"> str. 630 during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using D-glucose. The expanded window displays metabolite importance algorithm and an example of a single importance calculation based on local gene transcription.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12 hour </w:t>
      </w:r>
      <w:r>
        <w:rPr>
          <w:rStyle w:val="None A"/>
          <w:rFonts w:ascii="Arial" w:hAnsi="Arial"/>
          <w:i w:val="1"/>
          <w:iCs w:val="1"/>
          <w:sz w:val="22"/>
          <w:szCs w:val="22"/>
          <w:rtl w:val="0"/>
          <w:lang w:val="en-US"/>
        </w:rPr>
        <w:t>in vitro C. difficile</w:t>
      </w:r>
      <w:r>
        <w:rPr>
          <w:rStyle w:val="None A"/>
          <w:rFonts w:ascii="Arial" w:hAnsi="Arial"/>
          <w:sz w:val="22"/>
          <w:szCs w:val="22"/>
          <w:rtl w:val="0"/>
          <w:lang w:val="en-US"/>
        </w:rPr>
        <w:t xml:space="preserve"> 630 growth curve in defined minimal media. 5 mg/mL glucose resulted in significantly more growth than the carbohydrate negative control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&lt;&lt; 0.001).</w:t>
      </w:r>
      <w:bookmarkEnd w:id="5"/>
      <w:r>
        <w:rPr>
          <w:rStyle w:val="None A"/>
          <w:rFonts w:ascii="Arial" w:hAnsi="Arial"/>
          <w:sz w:val="22"/>
          <w:szCs w:val="22"/>
          <w:rtl w:val="0"/>
          <w:lang w:val="en-US"/>
        </w:rPr>
        <w:t xml:space="preserve"> </w:t>
      </w:r>
      <w:bookmarkStart w:name="MathJaxElement43Frame51" w:id="6"/>
      <w:r>
        <w:rPr>
          <w:rStyle w:val="None A"/>
          <w:rFonts w:ascii="Arial" w:hAnsi="Arial"/>
          <w:sz w:val="22"/>
          <w:szCs w:val="22"/>
          <w:rtl w:val="0"/>
          <w:lang w:val="en-US"/>
        </w:rPr>
        <w:t xml:space="preserve">Other control media contained glucose, but no amino acids and resulted in no detectable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w:t>
      </w:r>
      <w:bookmarkEnd w:id="6"/>
      <w:r>
        <w:rPr>
          <w:rStyle w:val="None A"/>
          <w:rFonts w:ascii="Arial" w:hAnsi="Arial"/>
          <w:sz w:val="22"/>
          <w:szCs w:val="22"/>
          <w:rtl w:val="0"/>
          <w:lang w:val="en-US"/>
        </w:rPr>
        <w:t xml:space="preserve"> </w:t>
      </w:r>
      <w:bookmarkStart w:name="MathJaxElement43Frame52" w:id="7"/>
      <w:r>
        <w:rPr>
          <w:rStyle w:val="None A"/>
          <w:rFonts w:ascii="Arial" w:hAnsi="Arial"/>
          <w:sz w:val="22"/>
          <w:szCs w:val="22"/>
          <w:rtl w:val="0"/>
          <w:lang w:val="en-US"/>
        </w:rPr>
        <w:t xml:space="preserve">Significance was determined using 2-Way ANOVA with Holm-Bonferroni correction. Data is presented as the median </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standard deviation of each point. The red arrow indicates the time with the highest growth rate (slope = 0.085) which was chosen for transcriptomic analysis. </w:t>
      </w:r>
      <w:r>
        <w:rPr>
          <w:rStyle w:val="None A"/>
          <w:rFonts w:ascii="Arial" w:hAnsi="Arial"/>
          <w:b w:val="1"/>
          <w:bCs w:val="1"/>
          <w:sz w:val="22"/>
          <w:szCs w:val="22"/>
          <w:rtl w:val="0"/>
          <w:lang w:val="it-IT"/>
        </w:rPr>
        <w:t>(c)</w:t>
      </w:r>
      <w:r>
        <w:rPr>
          <w:rStyle w:val="None A"/>
          <w:rFonts w:ascii="Arial" w:hAnsi="Arial"/>
          <w:sz w:val="22"/>
          <w:szCs w:val="22"/>
          <w:rtl w:val="0"/>
          <w:lang w:val="nl-NL"/>
        </w:rPr>
        <w:t xml:space="preserve"> Top 25 </w:t>
      </w:r>
      <w:bookmarkEnd w:id="7"/>
      <w:bookmarkStart w:name="MathJaxElement43Frame53" w:id="8"/>
      <w:r>
        <w:rPr>
          <w:rStyle w:val="None A"/>
          <w:rFonts w:ascii="Arial" w:hAnsi="Arial"/>
          <w:sz w:val="22"/>
          <w:szCs w:val="22"/>
          <w:rtl w:val="0"/>
          <w:lang w:val="en-US"/>
        </w:rPr>
        <w:t>metabolite</w:t>
      </w:r>
      <w:bookmarkEnd w:id="8"/>
      <w:r>
        <w:rPr>
          <w:rStyle w:val="None A"/>
          <w:rFonts w:ascii="Arial" w:hAnsi="Arial"/>
          <w:sz w:val="22"/>
          <w:szCs w:val="22"/>
          <w:rtl w:val="0"/>
          <w:lang w:val="en-US"/>
        </w:rPr>
        <w:t xml:space="preserve"> </w:t>
      </w:r>
      <w:bookmarkStart w:name="MathJaxElement43Frame54" w:id="9"/>
      <w:r>
        <w:rPr>
          <w:rStyle w:val="None A"/>
          <w:rFonts w:ascii="Arial" w:hAnsi="Arial"/>
          <w:sz w:val="22"/>
          <w:szCs w:val="22"/>
          <w:rtl w:val="0"/>
          <w:lang w:val="en-US"/>
        </w:rPr>
        <w:t xml:space="preserve">importance scores for calculated from the transcriptome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grown for 7 hours in defined minimal media containing glucose and amino acids. Points are the calculated metabolite importance scores based on the given sequenced transcriptome. Gray vertical lines indicate the median and 95% confidence interval from bootstrapped probability distributions for each metabolite.</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line="480" w:lineRule="auto"/>
        <w:jc w:val="both"/>
        <w:rPr>
          <w:rFonts w:ascii="Arial" w:cs="Arial" w:hAnsi="Arial" w:eastAsia="Arial"/>
          <w:sz w:val="22"/>
          <w:szCs w:val="22"/>
        </w:rPr>
      </w:pP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line="480" w:lineRule="auto"/>
        <w:jc w:val="both"/>
      </w:pPr>
      <w:r>
        <w:rPr>
          <w:rStyle w:val="None A"/>
          <w:rFonts w:ascii="Arial" w:hAnsi="Arial"/>
          <w:b w:val="1"/>
          <w:bCs w:val="1"/>
          <w:sz w:val="22"/>
          <w:szCs w:val="22"/>
          <w:rtl w:val="0"/>
          <w:lang w:val="en-US"/>
        </w:rPr>
        <w:t xml:space="preserve">Figure 6 | Modeling results from </w:t>
      </w:r>
      <w:r>
        <w:rPr>
          <w:rStyle w:val="None A"/>
          <w:rFonts w:ascii="Arial" w:hAnsi="Arial"/>
          <w:b w:val="1"/>
          <w:bCs w:val="1"/>
          <w:i w:val="1"/>
          <w:iCs w:val="1"/>
          <w:sz w:val="22"/>
          <w:szCs w:val="22"/>
          <w:rtl w:val="0"/>
          <w:lang w:val="it-IT"/>
        </w:rPr>
        <w:t>in vivo</w:t>
      </w:r>
      <w:r>
        <w:rPr>
          <w:rStyle w:val="None A"/>
          <w:rFonts w:ascii="Arial" w:hAnsi="Arial"/>
          <w:b w:val="1"/>
          <w:bCs w:val="1"/>
          <w:sz w:val="22"/>
          <w:szCs w:val="22"/>
          <w:rtl w:val="0"/>
          <w:lang w:val="en-US"/>
        </w:rPr>
        <w:t xml:space="preserve"> infection experiments and </w:t>
      </w:r>
      <w:r>
        <w:rPr>
          <w:rStyle w:val="None A"/>
          <w:rFonts w:ascii="Arial" w:hAnsi="Arial"/>
          <w:b w:val="1"/>
          <w:bCs w:val="1"/>
          <w:i w:val="1"/>
          <w:iCs w:val="1"/>
          <w:sz w:val="22"/>
          <w:szCs w:val="22"/>
          <w:rtl w:val="0"/>
          <w:lang w:val="it-IT"/>
        </w:rPr>
        <w:t>in vitro</w:t>
      </w:r>
      <w:r>
        <w:rPr>
          <w:rStyle w:val="None A"/>
          <w:rFonts w:ascii="Arial" w:hAnsi="Arial"/>
          <w:b w:val="1"/>
          <w:bCs w:val="1"/>
          <w:sz w:val="22"/>
          <w:szCs w:val="22"/>
          <w:rtl w:val="0"/>
          <w:lang w:val="en-US"/>
        </w:rPr>
        <w:t xml:space="preserve"> validation of growth nutrients. </w:t>
      </w:r>
      <w:bookmarkEnd w:id="9"/>
      <w:bookmarkStart w:name="MathJaxElement43Frame55" w:id="10"/>
      <w:r>
        <w:rPr>
          <w:rStyle w:val="None A"/>
          <w:rFonts w:ascii="Arial" w:hAnsi="Arial"/>
          <w:b w:val="1"/>
          <w:bCs w:val="1"/>
          <w:sz w:val="22"/>
          <w:szCs w:val="22"/>
          <w:rtl w:val="0"/>
          <w:lang w:val="en-US"/>
        </w:rPr>
        <w:t>(c)</w:t>
      </w:r>
      <w:r>
        <w:rPr>
          <w:rStyle w:val="None A"/>
          <w:rFonts w:ascii="Arial" w:hAnsi="Arial"/>
          <w:sz w:val="22"/>
          <w:szCs w:val="22"/>
          <w:rtl w:val="0"/>
          <w:lang w:val="en-US"/>
        </w:rPr>
        <w:t xml:space="preserve"> S</w:t>
      </w:r>
      <w:bookmarkEnd w:id="10"/>
      <w:bookmarkStart w:name="MathJaxElement43Frame56" w:id="11"/>
      <w:r>
        <w:rPr>
          <w:rStyle w:val="None A"/>
          <w:rFonts w:ascii="Arial" w:hAnsi="Arial"/>
          <w:sz w:val="22"/>
          <w:szCs w:val="22"/>
          <w:rtl w:val="0"/>
          <w:lang w:val="en-US"/>
        </w:rPr>
        <w:t xml:space="preserve">hared </w:t>
      </w:r>
      <w:bookmarkEnd w:id="11"/>
      <w:r>
        <w:rPr>
          <w:rStyle w:val="None A"/>
          <w:rFonts w:ascii="Arial" w:hAnsi="Arial"/>
          <w:sz w:val="22"/>
          <w:szCs w:val="22"/>
          <w:rtl w:val="0"/>
          <w:lang w:val="en-US"/>
        </w:rPr>
        <w:t>m</w:t>
      </w:r>
      <w:bookmarkStart w:name="MathJaxElement43Frame57" w:id="12"/>
      <w:r>
        <w:rPr>
          <w:rStyle w:val="None A"/>
          <w:rFonts w:ascii="Arial" w:hAnsi="Arial"/>
          <w:sz w:val="22"/>
          <w:szCs w:val="22"/>
          <w:rtl w:val="0"/>
          <w:lang w:val="fr-FR"/>
        </w:rPr>
        <w:t>etabolites</w:t>
      </w:r>
      <w:r>
        <w:rPr>
          <w:rStyle w:val="None A"/>
          <w:rFonts w:ascii="Arial" w:hAnsi="Arial"/>
          <w:sz w:val="22"/>
          <w:szCs w:val="22"/>
          <w:rtl w:val="0"/>
          <w:lang w:val="en-US"/>
        </w:rPr>
        <w:t xml:space="preserve"> among the 50 highest scoring metabolites from each</w:t>
      </w:r>
      <w:r>
        <w:rPr>
          <w:rStyle w:val="None A"/>
          <w:rFonts w:ascii="Arial" w:hAnsi="Arial"/>
          <w:sz w:val="22"/>
          <w:szCs w:val="22"/>
          <w:rtl w:val="0"/>
          <w:lang w:val="fr-FR"/>
        </w:rPr>
        <w:t xml:space="preserve"> condition.</w:t>
      </w:r>
      <w:bookmarkEnd w:id="12"/>
      <w:r>
        <w:rPr>
          <w:rStyle w:val="None A"/>
          <w:rFonts w:ascii="Arial" w:hAnsi="Arial"/>
          <w:sz w:val="22"/>
          <w:szCs w:val="22"/>
          <w:rtl w:val="0"/>
          <w:lang w:val="en-US"/>
        </w:rPr>
        <w:t xml:space="preserve"> Median importance scores were calculated per metabolite using the scores from each condition tested. Iterations from random distribution generation were pooled for each compound and unified confidence intervals were then recalculated. </w:t>
      </w:r>
      <w:bookmarkStart w:name="MathJaxElement43Frame58" w:id="13"/>
      <w:r>
        <w:rPr>
          <w:rStyle w:val="None A"/>
          <w:rFonts w:ascii="Arial" w:hAnsi="Arial"/>
          <w:b w:val="1"/>
          <w:bCs w:val="1"/>
          <w:sz w:val="22"/>
          <w:szCs w:val="22"/>
          <w:rtl w:val="0"/>
          <w:lang w:val="en-US"/>
        </w:rPr>
        <w:t>(b)</w:t>
      </w:r>
      <w:r>
        <w:rPr>
          <w:rStyle w:val="None A"/>
          <w:rFonts w:ascii="Arial" w:hAnsi="Arial"/>
          <w:sz w:val="22"/>
          <w:szCs w:val="22"/>
          <w:rtl w:val="0"/>
          <w:lang w:val="en-US"/>
        </w:rPr>
        <w:t xml:space="preserve"> Highest scoring, distinctly important metabolites from each treatment group. The top 25 scoring metabolites from each group was cross-referenced against each other group resulting in</w:t>
      </w:r>
      <w:r>
        <w:rPr>
          <w:rStyle w:val="None A"/>
          <w:rFonts w:ascii="Arial" w:hAnsi="Arial"/>
          <w:sz w:val="22"/>
          <w:szCs w:val="22"/>
          <w:rtl w:val="0"/>
          <w:lang w:val="pt-PT"/>
        </w:rPr>
        <w:t xml:space="preserve"> metabolites </w:t>
      </w:r>
      <w:r>
        <w:rPr>
          <w:rStyle w:val="None A"/>
          <w:rFonts w:ascii="Arial" w:hAnsi="Arial"/>
          <w:sz w:val="22"/>
          <w:szCs w:val="22"/>
          <w:rtl w:val="0"/>
          <w:lang w:val="en-US"/>
        </w:rPr>
        <w:t>that are differentially important between environments.</w:t>
      </w:r>
      <w:bookmarkEnd w:id="13"/>
      <w:r>
        <w:rPr>
          <w:rStyle w:val="None A"/>
          <w:rFonts w:ascii="Arial" w:hAnsi="Arial"/>
          <w:sz w:val="22"/>
          <w:szCs w:val="22"/>
          <w:rtl w:val="0"/>
          <w:lang w:val="en-US"/>
        </w:rPr>
        <w:t xml:space="preserve"> </w:t>
      </w:r>
      <w:bookmarkStart w:name="MathJaxElement43Frame59" w:id="14"/>
      <w:r>
        <w:rPr>
          <w:rStyle w:val="None A"/>
          <w:rFonts w:ascii="Arial" w:hAnsi="Arial"/>
          <w:sz w:val="22"/>
          <w:szCs w:val="22"/>
          <w:rtl w:val="0"/>
          <w:lang w:val="en-US"/>
        </w:rPr>
        <w:t xml:space="preserve">In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&amp;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95% confidence intervals from random probability distributions for each metabolite are shown in grey. </w:t>
      </w:r>
      <w:r>
        <w:rPr>
          <w:rStyle w:val="None A"/>
          <w:rFonts w:ascii="Arial" w:hAnsi="Arial"/>
          <w:b w:val="1"/>
          <w:bCs w:val="1"/>
          <w:sz w:val="22"/>
          <w:szCs w:val="22"/>
          <w:rtl w:val="0"/>
          <w:lang w:val="it-IT"/>
        </w:rPr>
        <w:t xml:space="preserve">(c) </w:t>
      </w:r>
      <w:r>
        <w:rPr>
          <w:rStyle w:val="None A"/>
          <w:rFonts w:ascii="Arial" w:hAnsi="Arial"/>
          <w:i w:val="1"/>
          <w:iCs w:val="1"/>
          <w:sz w:val="22"/>
          <w:szCs w:val="22"/>
          <w:rtl w:val="0"/>
          <w:lang w:val="it-IT"/>
        </w:rPr>
        <w:t>In vitro</w:t>
      </w:r>
      <w:r>
        <w:rPr>
          <w:rStyle w:val="None A"/>
          <w:rFonts w:ascii="Arial" w:hAnsi="Arial"/>
          <w:sz w:val="22"/>
          <w:szCs w:val="22"/>
          <w:rtl w:val="0"/>
          <w:lang w:val="en-US"/>
        </w:rPr>
        <w:t xml:space="preserve"> growth curves validating identified growth nutrients from network analysis. In black are CDMM controls variations with the indicated constituents. At least one metabolite indicated as distinctly important from each group supports </w:t>
      </w:r>
      <w:r>
        <w:rPr>
          <w:rStyle w:val="None A"/>
          <w:rFonts w:ascii="Arial" w:hAnsi="Arial"/>
          <w:i w:val="1"/>
          <w:iCs w:val="1"/>
          <w:sz w:val="22"/>
          <w:szCs w:val="22"/>
          <w:rtl w:val="0"/>
          <w:lang w:val="it-IT"/>
        </w:rPr>
        <w:t>C. difficile</w:t>
      </w:r>
      <w:r>
        <w:rPr>
          <w:rStyle w:val="None A"/>
          <w:rFonts w:ascii="Arial" w:hAnsi="Arial"/>
          <w:sz w:val="22"/>
          <w:szCs w:val="22"/>
          <w:rtl w:val="0"/>
          <w:lang w:val="en-US"/>
        </w:rPr>
        <w:t xml:space="preserve"> growth significantly more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&lt;&lt; 0.001) than No Carbohydrates control.</w:t>
      </w:r>
      <w:bookmarkEnd w:id="14"/>
      <w:r>
        <w:rPr>
          <w:rStyle w:val="None A"/>
          <w:rFonts w:ascii="Arial" w:hAnsi="Arial"/>
          <w:sz w:val="22"/>
          <w:szCs w:val="22"/>
          <w:rtl w:val="0"/>
          <w:lang w:val="en-US"/>
        </w:rPr>
        <w:t xml:space="preserve"> Only those carbon sources that significantly improved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over controls are displayed (Table S6). </w:t>
      </w:r>
      <w:bookmarkStart w:name="MathJaxElement43Frame510" w:id="15"/>
      <w:r>
        <w:rPr>
          <w:rStyle w:val="None A"/>
          <w:rFonts w:ascii="Arial" w:hAnsi="Arial"/>
          <w:sz w:val="22"/>
          <w:szCs w:val="22"/>
          <w:rtl w:val="0"/>
          <w:lang w:val="en-US"/>
        </w:rPr>
        <w:t>Significant differences were calculated using 2-Way ANOVA with Holm-Bonferroni correction.</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sz w:val="22"/>
          <w:szCs w:val="22"/>
          <w:rtl w:val="0"/>
          <w:lang w:val="en-US"/>
        </w:rPr>
        <w:t xml:space="preserve">Supplementary Figure 2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str. 630 gene coverage for each condition. </w:t>
      </w:r>
      <w:r>
        <w:rPr>
          <w:rStyle w:val="Hyperlink.2"/>
          <w:rtl w:val="0"/>
          <w:lang w:val="en-US"/>
        </w:rPr>
        <w:t xml:space="preserve">Normalized read abundances mapped to the full length genome of </w:t>
      </w:r>
      <w:r>
        <w:rPr>
          <w:rStyle w:val="None A"/>
          <w:rFonts w:ascii="Arial" w:hAnsi="Arial"/>
          <w:i w:val="1"/>
          <w:iCs w:val="1"/>
          <w:sz w:val="22"/>
          <w:szCs w:val="22"/>
          <w:rtl w:val="0"/>
          <w:lang w:val="en-US"/>
        </w:rPr>
        <w:t>C. difficile</w:t>
      </w:r>
      <w:r>
        <w:rPr>
          <w:rStyle w:val="Hyperlink.2"/>
          <w:rtl w:val="0"/>
          <w:lang w:val="en-US"/>
        </w:rPr>
        <w:t xml:space="preserve"> str. 630 for each of the antibiotic pretreatments.</w:t>
      </w:r>
    </w:p>
    <w:p>
      <w:pPr>
        <w:pStyle w:val="Default"/>
        <w:spacing w:line="480" w:lineRule="auto"/>
        <w:jc w:val="both"/>
        <w:rPr>
          <w:rStyle w:val="Hyperlink.2"/>
        </w:rPr>
      </w:pPr>
    </w:p>
    <w:p>
      <w:pPr>
        <w:pStyle w:val="Default"/>
        <w:spacing w:line="480" w:lineRule="auto"/>
        <w:jc w:val="both"/>
      </w:pPr>
      <w:r>
        <w:rPr>
          <w:rStyle w:val="None A"/>
          <w:rFonts w:ascii="Arial" w:hAnsi="Arial"/>
          <w:b w:val="1"/>
          <w:bCs w:val="1"/>
          <w:sz w:val="22"/>
          <w:szCs w:val="22"/>
          <w:rtl w:val="0"/>
          <w:lang w:val="en-US"/>
        </w:rPr>
        <w:t xml:space="preserve">Supplementary Figure 3 |  Expression of specific KEGG gene families. </w:t>
      </w:r>
      <w:r>
        <w:rPr>
          <w:rStyle w:val="Hyperlink.2"/>
          <w:rtl w:val="0"/>
          <w:lang w:val="en-US"/>
        </w:rPr>
        <w:t>Description. A). B). C).</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sz w:val="22"/>
          <w:szCs w:val="22"/>
          <w:rtl w:val="0"/>
          <w:lang w:val="en-US"/>
        </w:rPr>
        <w:t xml:space="preserve">Supplementary Figure 4 |  Substrate scores outside of at least two standard deviations from simulated means. </w:t>
      </w:r>
      <w:r>
        <w:rPr>
          <w:rStyle w:val="Hyperlink.2"/>
          <w:rtl w:val="0"/>
          <w:lang w:val="en-US"/>
        </w:rPr>
        <w:t>Description. A). B). C). Demonstrates value for hypothesis generation.</w:t>
      </w:r>
    </w:p>
    <w:p>
      <w:pPr>
        <w:pStyle w:val="Text body"/>
        <w:spacing w:line="480" w:lineRule="auto"/>
        <w:ind w:left="480" w:hanging="480"/>
        <w:jc w:val="both"/>
        <w:rPr>
          <w:rFonts w:ascii="Arial" w:cs="Arial" w:hAnsi="Arial" w:eastAsia="Arial"/>
          <w:b w:val="1"/>
          <w:bCs w:val="1"/>
          <w:sz w:val="22"/>
          <w:szCs w:val="22"/>
        </w:rPr>
      </w:pPr>
    </w:p>
    <w:p>
      <w:pPr>
        <w:pStyle w:val="Default"/>
        <w:spacing w:line="480" w:lineRule="auto"/>
        <w:ind w:left="480" w:hanging="480"/>
        <w:jc w:val="both"/>
      </w:pPr>
      <w:r>
        <w:rPr>
          <w:rStyle w:val="None A"/>
          <w:rFonts w:ascii="Arial" w:hAnsi="Arial"/>
          <w:b w:val="1"/>
          <w:bCs w:val="1"/>
          <w:sz w:val="22"/>
          <w:szCs w:val="22"/>
          <w:rtl w:val="0"/>
          <w:lang w:val="en-US"/>
        </w:rPr>
        <w:t xml:space="preserve">Supplementary Figure 5 |  Acetate data supporting network output. </w:t>
      </w:r>
      <w:r>
        <w:rPr>
          <w:rStyle w:val="Hyperlink.2"/>
          <w:rtl w:val="0"/>
          <w:lang w:val="en-US"/>
        </w:rPr>
        <w:t>Description.</w:t>
      </w:r>
    </w:p>
    <w:p>
      <w:pPr>
        <w:pStyle w:val="Default"/>
        <w:spacing w:line="480" w:lineRule="auto"/>
        <w:ind w:left="480" w:hanging="480"/>
        <w:jc w:val="both"/>
        <w:rPr>
          <w:rFonts w:ascii="Arial" w:cs="Arial" w:hAnsi="Arial" w:eastAsia="Arial"/>
          <w:b w:val="1"/>
          <w:bCs w:val="1"/>
          <w:sz w:val="22"/>
          <w:szCs w:val="22"/>
        </w:rPr>
      </w:pPr>
    </w:p>
    <w:p>
      <w:pPr>
        <w:pStyle w:val="Default"/>
        <w:spacing w:line="480" w:lineRule="auto"/>
        <w:jc w:val="both"/>
      </w:pPr>
      <w:r>
        <w:rPr>
          <w:rStyle w:val="None A"/>
          <w:rFonts w:ascii="Arial" w:hAnsi="Arial"/>
          <w:b w:val="1"/>
          <w:bCs w:val="1"/>
          <w:sz w:val="22"/>
          <w:szCs w:val="22"/>
          <w:rtl w:val="0"/>
          <w:lang w:val="en-US"/>
        </w:rPr>
        <w:t>Acknowledgments</w:t>
      </w:r>
    </w:p>
    <w:p>
      <w:pPr>
        <w:pStyle w:val="Default"/>
        <w:spacing w:line="480" w:lineRule="auto"/>
        <w:jc w:val="both"/>
      </w:pPr>
      <w:r>
        <w:rPr>
          <w:rStyle w:val="Hyperlink.2"/>
          <w:rtl w:val="0"/>
          <w:lang w:val="en-US"/>
        </w:rPr>
        <w:t>The authors would like to acknowledge members of the University of Michigan Germ free Mouse Center, Sequencing Core, and Metabolon for their assistance in experimental design, execution, data collection, and analysis.</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sz w:val="22"/>
          <w:szCs w:val="22"/>
          <w:rtl w:val="0"/>
          <w:lang w:val="en-US"/>
        </w:rPr>
        <w:t>Conflict of Interest</w:t>
      </w:r>
    </w:p>
    <w:p>
      <w:pPr>
        <w:pStyle w:val="Default"/>
        <w:spacing w:line="480" w:lineRule="auto"/>
        <w:jc w:val="both"/>
      </w:pPr>
      <w:r>
        <w:rPr>
          <w:rStyle w:val="Hyperlink.2"/>
          <w:rtl w:val="0"/>
          <w:lang w:val="en-US"/>
        </w:rPr>
        <w:t>The authors declare no conflict of interest.</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sz w:val="22"/>
          <w:szCs w:val="22"/>
          <w:rtl w:val="0"/>
          <w:lang w:val="en-US"/>
        </w:rPr>
        <w:t>References</w:t>
      </w:r>
    </w:p>
    <w:p>
      <w:pPr>
        <w:pStyle w:val="Text body"/>
        <w:ind w:left="480" w:hanging="480"/>
      </w:pPr>
      <w:r>
        <w:rPr>
          <w:rStyle w:val="None A"/>
          <w:rFonts w:ascii="Arial" w:hAnsi="Arial"/>
          <w:sz w:val="18"/>
          <w:szCs w:val="18"/>
          <w:rtl w:val="0"/>
          <w:lang w:val="en-US"/>
        </w:rPr>
        <w:t xml:space="preserve">1. Antunes, A., Camiade, E., Monot, M., Courtois, E., Barbut, F., Sernova, N. V., &amp; Dupuy, B. (2012). Global transcriptional control by glucose and carbon regulator CcpA in Clostridium difficile. </w:t>
      </w:r>
      <w:r>
        <w:rPr>
          <w:rStyle w:val="None A"/>
          <w:rFonts w:ascii="Arial" w:hAnsi="Arial"/>
          <w:i w:val="1"/>
          <w:iCs w:val="1"/>
          <w:sz w:val="18"/>
          <w:szCs w:val="18"/>
          <w:rtl w:val="0"/>
          <w:lang w:val="en-US"/>
        </w:rPr>
        <w:t>Nucleic Acids Research</w:t>
      </w:r>
      <w:r>
        <w:rPr>
          <w:rStyle w:val="None A"/>
          <w:rFonts w:ascii="Arial" w:hAnsi="Arial"/>
          <w:sz w:val="18"/>
          <w:szCs w:val="18"/>
          <w:rtl w:val="0"/>
          <w:lang w:val="en-US"/>
        </w:rPr>
        <w:t>. http://doi.org/10.1093/nar/gks864</w:t>
      </w:r>
    </w:p>
    <w:p>
      <w:pPr>
        <w:pStyle w:val="Text body"/>
        <w:ind w:left="480" w:hanging="480"/>
      </w:pPr>
      <w:r>
        <w:rPr>
          <w:rStyle w:val="None A"/>
          <w:rFonts w:ascii="Arial" w:hAnsi="Arial"/>
          <w:sz w:val="18"/>
          <w:szCs w:val="18"/>
          <w:rtl w:val="0"/>
          <w:lang w:val="en-US"/>
        </w:rPr>
        <w:t xml:space="preserve">2. Antunes, A., Martin-Verstraete, I., &amp; Dupuy, B. (2011). CcpA-mediated repression of Clostridium difficile toxin gene expression.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79</w:t>
      </w:r>
      <w:r>
        <w:rPr>
          <w:rStyle w:val="None A"/>
          <w:rFonts w:ascii="Arial" w:hAnsi="Arial"/>
          <w:sz w:val="18"/>
          <w:szCs w:val="18"/>
          <w:rtl w:val="0"/>
          <w:lang w:val="en-US"/>
        </w:rPr>
        <w:t>(4), 882</w:t>
      </w:r>
      <w:r>
        <w:rPr>
          <w:rStyle w:val="None A"/>
          <w:rFonts w:ascii="Arial" w:hAnsi="Arial" w:hint="default"/>
          <w:sz w:val="18"/>
          <w:szCs w:val="18"/>
          <w:rtl w:val="0"/>
          <w:lang w:val="en-US"/>
        </w:rPr>
        <w:t>–</w:t>
      </w:r>
      <w:r>
        <w:rPr>
          <w:rStyle w:val="None A"/>
          <w:rFonts w:ascii="Arial" w:hAnsi="Arial"/>
          <w:sz w:val="18"/>
          <w:szCs w:val="18"/>
          <w:rtl w:val="0"/>
          <w:lang w:val="en-US"/>
        </w:rPr>
        <w:t>899. http://doi.org/10.1111/j.1365-2958.2010.07495.x</w:t>
      </w:r>
    </w:p>
    <w:p>
      <w:pPr>
        <w:pStyle w:val="Text body"/>
        <w:ind w:left="480" w:hanging="480"/>
      </w:pPr>
      <w:r>
        <w:rPr>
          <w:rStyle w:val="None A"/>
          <w:rFonts w:ascii="Arial" w:hAnsi="Arial"/>
          <w:sz w:val="18"/>
          <w:szCs w:val="18"/>
          <w:rtl w:val="0"/>
          <w:lang w:val="en-US"/>
        </w:rPr>
        <w:t xml:space="preserve">3. 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ind w:left="480" w:hanging="480"/>
      </w:pPr>
      <w:r>
        <w:rPr>
          <w:rStyle w:val="None A"/>
          <w:rFonts w:ascii="Arial" w:hAnsi="Arial"/>
          <w:sz w:val="18"/>
          <w:szCs w:val="18"/>
          <w:rtl w:val="0"/>
          <w:lang w:val="en-US"/>
        </w:rPr>
        <w:t xml:space="preserve">4. 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ind w:left="480" w:hanging="480"/>
      </w:pPr>
      <w:r>
        <w:rPr>
          <w:rStyle w:val="None A"/>
          <w:rFonts w:ascii="Arial" w:hAnsi="Arial"/>
          <w:sz w:val="18"/>
          <w:szCs w:val="18"/>
          <w:rtl w:val="0"/>
          <w:lang w:val="en-US"/>
        </w:rPr>
        <w:t xml:space="preserve">5. Boos, W., &amp; Shuman, H. (1998). Maltose/maltodextrin system of Escherichia coli: transport, metabolism, and regulation.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62</w:t>
      </w:r>
      <w:r>
        <w:rPr>
          <w:rStyle w:val="None A"/>
          <w:rFonts w:ascii="Arial" w:hAnsi="Arial"/>
          <w:sz w:val="18"/>
          <w:szCs w:val="18"/>
          <w:rtl w:val="0"/>
          <w:lang w:val="en-US"/>
        </w:rPr>
        <w:t>(1), 204</w:t>
      </w:r>
      <w:r>
        <w:rPr>
          <w:rStyle w:val="None A"/>
          <w:rFonts w:ascii="Arial" w:hAnsi="Arial" w:hint="default"/>
          <w:sz w:val="18"/>
          <w:szCs w:val="18"/>
          <w:rtl w:val="0"/>
          <w:lang w:val="en-US"/>
        </w:rPr>
        <w:t>–</w:t>
      </w:r>
      <w:r>
        <w:rPr>
          <w:rStyle w:val="None A"/>
          <w:rFonts w:ascii="Arial" w:hAnsi="Arial"/>
          <w:sz w:val="18"/>
          <w:szCs w:val="18"/>
          <w:rtl w:val="0"/>
          <w:lang w:val="en-US"/>
        </w:rPr>
        <w:t>29. Retrieved from http://www.pubmedcentral.nih.gov/articlerender.fcgi?artid=98911&amp;tool=pmcentrez&amp;rendertype=abstract</w:t>
      </w:r>
    </w:p>
    <w:p>
      <w:pPr>
        <w:pStyle w:val="Text body"/>
        <w:ind w:left="480" w:hanging="480"/>
      </w:pPr>
      <w:r>
        <w:rPr>
          <w:rStyle w:val="None A"/>
          <w:rFonts w:ascii="Arial" w:hAnsi="Arial"/>
          <w:sz w:val="18"/>
          <w:szCs w:val="18"/>
          <w:rtl w:val="0"/>
          <w:lang w:val="en-US"/>
        </w:rPr>
        <w:t>6. Borenstein, E., Kupiec, M., Feldman, M. W., &amp; Ruppin, E. (2008). Large-scale reconstruction and phylogenetic analysis of metabolic environments. Proceedings of the National Academy of Sciences, 105(38), 14482</w:t>
      </w:r>
      <w:r>
        <w:rPr>
          <w:rStyle w:val="None A"/>
          <w:rFonts w:ascii="Arial" w:hAnsi="Arial" w:hint="default"/>
          <w:sz w:val="18"/>
          <w:szCs w:val="18"/>
          <w:rtl w:val="0"/>
          <w:lang w:val="en-US"/>
        </w:rPr>
        <w:t>–</w:t>
      </w:r>
      <w:r>
        <w:rPr>
          <w:rStyle w:val="None A"/>
          <w:rFonts w:ascii="Arial" w:hAnsi="Arial"/>
          <w:sz w:val="18"/>
          <w:szCs w:val="18"/>
          <w:rtl w:val="0"/>
          <w:lang w:val="en-US"/>
        </w:rPr>
        <w:t>14487. http://doi.org/10.1073/pnas.0806162105</w:t>
      </w:r>
    </w:p>
    <w:p>
      <w:pPr>
        <w:pStyle w:val="Text body"/>
        <w:ind w:left="480" w:hanging="480"/>
      </w:pPr>
      <w:r>
        <w:rPr>
          <w:rStyle w:val="None A"/>
          <w:rFonts w:ascii="Arial" w:hAnsi="Arial"/>
          <w:sz w:val="18"/>
          <w:szCs w:val="18"/>
          <w:rtl w:val="0"/>
          <w:lang w:val="en-US"/>
        </w:rPr>
        <w:t xml:space="preserve">7. 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ind w:left="480" w:hanging="480"/>
      </w:pPr>
      <w:r>
        <w:rPr>
          <w:rStyle w:val="None A"/>
          <w:rFonts w:ascii="Arial" w:hAnsi="Arial"/>
          <w:sz w:val="18"/>
          <w:szCs w:val="18"/>
          <w:rtl w:val="0"/>
          <w:lang w:val="en-US"/>
        </w:rPr>
        <w:t xml:space="preserve">8. 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ind w:left="480" w:hanging="480"/>
      </w:pPr>
      <w:r>
        <w:rPr>
          <w:rStyle w:val="None A"/>
          <w:rFonts w:ascii="Arial" w:hAnsi="Arial"/>
          <w:sz w:val="18"/>
          <w:szCs w:val="18"/>
          <w:rtl w:val="0"/>
          <w:lang w:val="en-US"/>
        </w:rPr>
        <w:t xml:space="preserve">9. 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ind w:left="480" w:hanging="480"/>
      </w:pPr>
      <w:r>
        <w:rPr>
          <w:rStyle w:val="None A"/>
          <w:rFonts w:ascii="Arial" w:hAnsi="Arial"/>
          <w:sz w:val="18"/>
          <w:szCs w:val="18"/>
          <w:rtl w:val="0"/>
          <w:lang w:val="en-US"/>
        </w:rPr>
        <w:t xml:space="preserve">10. Bouillaut, L., Self, W. T., &amp; Sonenshein, A. L. (2013). Proline-dependent regulation of Clostridium difficile stickland metabolism.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(4), 844</w:t>
      </w:r>
      <w:r>
        <w:rPr>
          <w:rStyle w:val="None A"/>
          <w:rFonts w:ascii="Arial" w:hAnsi="Arial" w:hint="default"/>
          <w:sz w:val="18"/>
          <w:szCs w:val="18"/>
          <w:rtl w:val="0"/>
          <w:lang w:val="en-US"/>
        </w:rPr>
        <w:t>–</w:t>
      </w:r>
      <w:r>
        <w:rPr>
          <w:rStyle w:val="None A"/>
          <w:rFonts w:ascii="Arial" w:hAnsi="Arial"/>
          <w:sz w:val="18"/>
          <w:szCs w:val="18"/>
          <w:rtl w:val="0"/>
          <w:lang w:val="en-US"/>
        </w:rPr>
        <w:t>854. http://doi.org/10.1128/JB.01492-12</w:t>
      </w:r>
    </w:p>
    <w:p>
      <w:pPr>
        <w:pStyle w:val="Text body"/>
        <w:ind w:left="480" w:hanging="480"/>
      </w:pPr>
      <w:r>
        <w:rPr>
          <w:rStyle w:val="None A"/>
          <w:rFonts w:ascii="Arial" w:hAnsi="Arial"/>
          <w:sz w:val="18"/>
          <w:szCs w:val="18"/>
          <w:rtl w:val="0"/>
          <w:lang w:val="en-US"/>
        </w:rPr>
        <w:t xml:space="preserve">11. Carter, G. P., Rood, J. I., &amp; Lyras, D. (2012). The role of toxin A and toxin B in the virulence of Clostridium difficile. </w:t>
      </w:r>
      <w:r>
        <w:rPr>
          <w:rStyle w:val="None A"/>
          <w:rFonts w:ascii="Arial" w:hAnsi="Arial"/>
          <w:i w:val="1"/>
          <w:iCs w:val="1"/>
          <w:sz w:val="18"/>
          <w:szCs w:val="18"/>
          <w:rtl w:val="0"/>
          <w:lang w:val="en-US"/>
        </w:rPr>
        <w:t>Trends in Microbiology</w:t>
      </w:r>
      <w:r>
        <w:rPr>
          <w:rStyle w:val="None A"/>
          <w:rFonts w:ascii="Arial" w:hAnsi="Arial"/>
          <w:sz w:val="18"/>
          <w:szCs w:val="18"/>
          <w:rtl w:val="0"/>
          <w:lang w:val="en-US"/>
        </w:rPr>
        <w:t>. http://doi.org/10.1016/j.tim.2011.11.003</w:t>
      </w:r>
    </w:p>
    <w:p>
      <w:pPr>
        <w:pStyle w:val="Text body"/>
        <w:ind w:left="480" w:hanging="480"/>
      </w:pPr>
      <w:r>
        <w:rPr>
          <w:rStyle w:val="None A"/>
          <w:rFonts w:ascii="Arial" w:hAnsi="Arial"/>
          <w:sz w:val="18"/>
          <w:szCs w:val="18"/>
          <w:rtl w:val="0"/>
          <w:lang w:val="en-US"/>
        </w:rPr>
        <w:t>12. Chen, X., Katchar, K., Goldsmith, J. D., Nanthakumar, N., Cheknis, A., Gerding, D. N., &amp; Kelly, C. P. (2008). A Mouse Model of Clostridium difficile-Associated Disease. Gastroenterology, 135(6), 1984</w:t>
      </w:r>
      <w:r>
        <w:rPr>
          <w:rStyle w:val="None A"/>
          <w:rFonts w:ascii="Arial" w:hAnsi="Arial" w:hint="default"/>
          <w:sz w:val="18"/>
          <w:szCs w:val="18"/>
          <w:rtl w:val="0"/>
          <w:lang w:val="en-US"/>
        </w:rPr>
        <w:t>–</w:t>
      </w:r>
      <w:r>
        <w:rPr>
          <w:rStyle w:val="None A"/>
          <w:rFonts w:ascii="Arial" w:hAnsi="Arial"/>
          <w:sz w:val="18"/>
          <w:szCs w:val="18"/>
          <w:rtl w:val="0"/>
          <w:lang w:val="en-US"/>
        </w:rPr>
        <w:t>1992. http://doi.org/10.1053/j.gastro.2008.09.002</w:t>
      </w:r>
    </w:p>
    <w:p>
      <w:pPr>
        <w:pStyle w:val="Text body"/>
        <w:ind w:left="480" w:hanging="480"/>
      </w:pPr>
      <w:r>
        <w:rPr>
          <w:rStyle w:val="None A"/>
          <w:rFonts w:ascii="Arial" w:hAnsi="Arial"/>
          <w:sz w:val="18"/>
          <w:szCs w:val="18"/>
          <w:rtl w:val="0"/>
          <w:lang w:val="en-US"/>
        </w:rPr>
        <w:t xml:space="preserve">13. Darkoh, C., Dupont, H. L., Norris, S. J., &amp; Kaplan, H. B. (2015). Toxin synthesis by Clostridium difficile is regulated through quorum signaling.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(2). http://doi.org/10.1128/mBio.02569-14</w:t>
      </w:r>
    </w:p>
    <w:p>
      <w:pPr>
        <w:pStyle w:val="Text body"/>
        <w:ind w:left="480" w:hanging="480"/>
      </w:pPr>
      <w:r>
        <w:rPr>
          <w:rStyle w:val="None A"/>
          <w:rFonts w:ascii="Arial" w:hAnsi="Arial"/>
          <w:sz w:val="18"/>
          <w:szCs w:val="18"/>
          <w:rtl w:val="0"/>
          <w:lang w:val="en-US"/>
        </w:rPr>
        <w:t xml:space="preserve">14. Deakin, L. J., Clare, S., Fagan, R. P., Dawson, L. F., Pickard, D. J., West, M. R., &amp; Lawley, T. D. (2012). The Clostridium difficile spo0A gene is a persistence and transmission factor.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80</w:t>
      </w:r>
      <w:r>
        <w:rPr>
          <w:rStyle w:val="None A"/>
          <w:rFonts w:ascii="Arial" w:hAnsi="Arial"/>
          <w:sz w:val="18"/>
          <w:szCs w:val="18"/>
          <w:rtl w:val="0"/>
          <w:lang w:val="en-US"/>
        </w:rPr>
        <w:t>(8), 2704</w:t>
      </w:r>
      <w:r>
        <w:rPr>
          <w:rStyle w:val="None A"/>
          <w:rFonts w:ascii="Arial" w:hAnsi="Arial" w:hint="default"/>
          <w:sz w:val="18"/>
          <w:szCs w:val="18"/>
          <w:rtl w:val="0"/>
          <w:lang w:val="en-US"/>
        </w:rPr>
        <w:t>–</w:t>
      </w:r>
      <w:r>
        <w:rPr>
          <w:rStyle w:val="None A"/>
          <w:rFonts w:ascii="Arial" w:hAnsi="Arial"/>
          <w:sz w:val="18"/>
          <w:szCs w:val="18"/>
          <w:rtl w:val="0"/>
          <w:lang w:val="en-US"/>
        </w:rPr>
        <w:t>2711. http://doi.org/10.1128/IAI.00147-12</w:t>
      </w:r>
    </w:p>
    <w:p>
      <w:pPr>
        <w:pStyle w:val="Text body"/>
        <w:ind w:left="480" w:hanging="480"/>
      </w:pPr>
      <w:r>
        <w:rPr>
          <w:rStyle w:val="None A"/>
          <w:rFonts w:ascii="Arial" w:hAnsi="Arial"/>
          <w:sz w:val="18"/>
          <w:szCs w:val="18"/>
          <w:rtl w:val="0"/>
          <w:lang w:val="en-US"/>
        </w:rPr>
        <w:t xml:space="preserve">15. Deutscher, J., Francke, C., &amp; Postma, P. W. (2006). How phosphotransferase system-related protein phosphorylation regulates carbohydrate metabolism in bacteria.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70</w:t>
      </w:r>
      <w:r>
        <w:rPr>
          <w:rStyle w:val="None A"/>
          <w:rFonts w:ascii="Arial" w:hAnsi="Arial"/>
          <w:sz w:val="18"/>
          <w:szCs w:val="18"/>
          <w:rtl w:val="0"/>
          <w:lang w:val="en-US"/>
        </w:rPr>
        <w:t>(4), 939</w:t>
      </w:r>
      <w:r>
        <w:rPr>
          <w:rStyle w:val="None A"/>
          <w:rFonts w:ascii="Arial" w:hAnsi="Arial" w:hint="default"/>
          <w:sz w:val="18"/>
          <w:szCs w:val="18"/>
          <w:rtl w:val="0"/>
          <w:lang w:val="en-US"/>
        </w:rPr>
        <w:t>–</w:t>
      </w:r>
      <w:r>
        <w:rPr>
          <w:rStyle w:val="None A"/>
          <w:rFonts w:ascii="Arial" w:hAnsi="Arial"/>
          <w:sz w:val="18"/>
          <w:szCs w:val="18"/>
          <w:rtl w:val="0"/>
          <w:lang w:val="en-US"/>
        </w:rPr>
        <w:t>1031. http://doi.org/10.1128/MMBR.00024-06</w:t>
      </w:r>
    </w:p>
    <w:p>
      <w:pPr>
        <w:pStyle w:val="Text body"/>
        <w:ind w:left="480" w:hanging="480"/>
      </w:pPr>
      <w:r>
        <w:rPr>
          <w:rStyle w:val="None A"/>
          <w:rFonts w:ascii="Arial" w:hAnsi="Arial"/>
          <w:sz w:val="18"/>
          <w:szCs w:val="18"/>
          <w:rtl w:val="0"/>
          <w:lang w:val="en-US"/>
        </w:rPr>
        <w:t xml:space="preserve">16. Donnelly, M. L., Fimlaid, K. A., &amp; Shen, A. (2016). Characterization of </w:t>
      </w:r>
      <w:r>
        <w:rPr>
          <w:rStyle w:val="None A"/>
          <w:rFonts w:ascii="Arial" w:hAnsi="Arial"/>
          <w:i w:val="1"/>
          <w:iCs w:val="1"/>
          <w:sz w:val="18"/>
          <w:szCs w:val="18"/>
          <w:rtl w:val="0"/>
          <w:lang w:val="en-US"/>
        </w:rPr>
        <w:t>Clostridium difficile</w:t>
      </w:r>
      <w:r>
        <w:rPr>
          <w:rStyle w:val="None A"/>
          <w:rFonts w:ascii="Arial" w:hAnsi="Arial"/>
          <w:sz w:val="18"/>
          <w:szCs w:val="18"/>
          <w:rtl w:val="0"/>
          <w:lang w:val="en-US"/>
        </w:rPr>
        <w:t xml:space="preserve"> spores lacking either SpoVAC or DPA Synthetase.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(April), JB.00986</w:t>
      </w:r>
      <w:r>
        <w:rPr>
          <w:rStyle w:val="None A"/>
          <w:rFonts w:ascii="Arial" w:hAnsi="Arial" w:hint="default"/>
          <w:sz w:val="18"/>
          <w:szCs w:val="18"/>
          <w:rtl w:val="0"/>
          <w:lang w:val="en-US"/>
        </w:rPr>
        <w:t>–</w:t>
      </w:r>
      <w:r>
        <w:rPr>
          <w:rStyle w:val="None A"/>
          <w:rFonts w:ascii="Arial" w:hAnsi="Arial"/>
          <w:sz w:val="18"/>
          <w:szCs w:val="18"/>
          <w:rtl w:val="0"/>
          <w:lang w:val="en-US"/>
        </w:rPr>
        <w:t>15. http://doi.org/10.1128/JB.00986-15</w:t>
      </w:r>
    </w:p>
    <w:p>
      <w:pPr>
        <w:pStyle w:val="Text body"/>
        <w:ind w:left="480" w:hanging="480"/>
      </w:pPr>
      <w:r>
        <w:rPr>
          <w:rStyle w:val="None A"/>
          <w:rFonts w:ascii="Arial" w:hAnsi="Arial"/>
          <w:sz w:val="18"/>
          <w:szCs w:val="18"/>
          <w:rtl w:val="0"/>
          <w:lang w:val="en-US"/>
        </w:rPr>
        <w:t xml:space="preserve">17. Elsden, S. R., &amp; Hilton, M. G. (1978). Volatile acid production from threonine, valine, leucine and isoleucine by clostridia. </w:t>
      </w:r>
      <w:r>
        <w:rPr>
          <w:rStyle w:val="None A"/>
          <w:rFonts w:ascii="Arial" w:hAnsi="Arial"/>
          <w:i w:val="1"/>
          <w:iCs w:val="1"/>
          <w:sz w:val="18"/>
          <w:szCs w:val="18"/>
          <w:rtl w:val="0"/>
          <w:lang w:val="en-US"/>
        </w:rPr>
        <w:t>Archives of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117</w:t>
      </w:r>
      <w:r>
        <w:rPr>
          <w:rStyle w:val="None A"/>
          <w:rFonts w:ascii="Arial" w:hAnsi="Arial"/>
          <w:sz w:val="18"/>
          <w:szCs w:val="18"/>
          <w:rtl w:val="0"/>
          <w:lang w:val="en-US"/>
        </w:rPr>
        <w:t>(2), 165</w:t>
      </w:r>
      <w:r>
        <w:rPr>
          <w:rStyle w:val="None A"/>
          <w:rFonts w:ascii="Arial" w:hAnsi="Arial" w:hint="default"/>
          <w:sz w:val="18"/>
          <w:szCs w:val="18"/>
          <w:rtl w:val="0"/>
          <w:lang w:val="en-US"/>
        </w:rPr>
        <w:t>–</w:t>
      </w:r>
      <w:r>
        <w:rPr>
          <w:rStyle w:val="None A"/>
          <w:rFonts w:ascii="Arial" w:hAnsi="Arial"/>
          <w:sz w:val="18"/>
          <w:szCs w:val="18"/>
          <w:rtl w:val="0"/>
          <w:lang w:val="en-US"/>
        </w:rPr>
        <w:t>172. http://doi.org/10.1007/BF00402304</w:t>
      </w:r>
    </w:p>
    <w:p>
      <w:pPr>
        <w:pStyle w:val="Text body"/>
        <w:ind w:left="480" w:hanging="480"/>
      </w:pPr>
      <w:r>
        <w:rPr>
          <w:rStyle w:val="None A"/>
          <w:rFonts w:ascii="Arial" w:hAnsi="Arial"/>
          <w:sz w:val="18"/>
          <w:szCs w:val="18"/>
          <w:rtl w:val="0"/>
          <w:lang w:val="en-US"/>
        </w:rPr>
        <w:t xml:space="preserve">18. Fabich, A. J., Jones, S. A., Chowdhury, F. Z., Cernosek, A., Anderson, A., Smalley, D., &amp; Conway, T. (2008). Comparison of carbon nutrition for pathogenic and commensal Escherichia coli strains in the mouse intestine.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76</w:t>
      </w:r>
      <w:r>
        <w:rPr>
          <w:rStyle w:val="None A"/>
          <w:rFonts w:ascii="Arial" w:hAnsi="Arial"/>
          <w:sz w:val="18"/>
          <w:szCs w:val="18"/>
          <w:rtl w:val="0"/>
          <w:lang w:val="en-US"/>
        </w:rPr>
        <w:t>(3), 1143</w:t>
      </w:r>
      <w:r>
        <w:rPr>
          <w:rStyle w:val="None A"/>
          <w:rFonts w:ascii="Arial" w:hAnsi="Arial" w:hint="default"/>
          <w:sz w:val="18"/>
          <w:szCs w:val="18"/>
          <w:rtl w:val="0"/>
          <w:lang w:val="en-US"/>
        </w:rPr>
        <w:t>–</w:t>
      </w:r>
      <w:r>
        <w:rPr>
          <w:rStyle w:val="None A"/>
          <w:rFonts w:ascii="Arial" w:hAnsi="Arial"/>
          <w:sz w:val="18"/>
          <w:szCs w:val="18"/>
          <w:rtl w:val="0"/>
          <w:lang w:val="en-US"/>
        </w:rPr>
        <w:t>1152. http://doi.org/10.1128/IAI.01386-07</w:t>
      </w:r>
    </w:p>
    <w:p>
      <w:pPr>
        <w:pStyle w:val="Text body"/>
        <w:ind w:left="480" w:hanging="480"/>
      </w:pPr>
      <w:r>
        <w:rPr>
          <w:rStyle w:val="None A"/>
          <w:rFonts w:ascii="Arial" w:hAnsi="Arial"/>
          <w:sz w:val="18"/>
          <w:szCs w:val="18"/>
          <w:rtl w:val="0"/>
          <w:lang w:val="en-US"/>
        </w:rPr>
        <w:t xml:space="preserve">19. Ferreyra, J. A., Wu, K. J., Hryckowian, A. J., Bouley, D. M., Weimer, B. C., &amp; Sonnenburg, J. L. (2014). Gut microbiota-produced succinate promotes C. Difficile infection after antibiotic treatment or motility disturbance. </w:t>
      </w:r>
      <w:r>
        <w:rPr>
          <w:rStyle w:val="None A"/>
          <w:rFonts w:ascii="Arial" w:hAnsi="Arial"/>
          <w:i w:val="1"/>
          <w:iCs w:val="1"/>
          <w:sz w:val="18"/>
          <w:szCs w:val="18"/>
          <w:rtl w:val="0"/>
          <w:lang w:val="en-US"/>
        </w:rPr>
        <w:t>Cell Host and Microbe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(6), 770</w:t>
      </w:r>
      <w:r>
        <w:rPr>
          <w:rStyle w:val="None A"/>
          <w:rFonts w:ascii="Arial" w:hAnsi="Arial" w:hint="default"/>
          <w:sz w:val="18"/>
          <w:szCs w:val="18"/>
          <w:rtl w:val="0"/>
          <w:lang w:val="en-US"/>
        </w:rPr>
        <w:t>–</w:t>
      </w:r>
      <w:r>
        <w:rPr>
          <w:rStyle w:val="None A"/>
          <w:rFonts w:ascii="Arial" w:hAnsi="Arial"/>
          <w:sz w:val="18"/>
          <w:szCs w:val="18"/>
          <w:rtl w:val="0"/>
          <w:lang w:val="en-US"/>
        </w:rPr>
        <w:t>777. http://doi.org/10.1016/j.chom.2014.11.003</w:t>
      </w:r>
    </w:p>
    <w:p>
      <w:pPr>
        <w:pStyle w:val="Text body"/>
        <w:ind w:left="480" w:hanging="480"/>
      </w:pPr>
      <w:r>
        <w:rPr>
          <w:rStyle w:val="None A"/>
          <w:rFonts w:ascii="Arial" w:hAnsi="Arial"/>
          <w:sz w:val="18"/>
          <w:szCs w:val="18"/>
          <w:rtl w:val="0"/>
          <w:lang w:val="en-US"/>
        </w:rPr>
        <w:t xml:space="preserve">20. 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ind w:left="480" w:hanging="480"/>
      </w:pPr>
      <w:r>
        <w:rPr>
          <w:rStyle w:val="None A"/>
          <w:rFonts w:ascii="Arial" w:hAnsi="Arial"/>
          <w:sz w:val="18"/>
          <w:szCs w:val="18"/>
          <w:rtl w:val="0"/>
          <w:lang w:val="en-US"/>
        </w:rPr>
        <w:t xml:space="preserve">21. 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ind w:left="480" w:hanging="480"/>
      </w:pPr>
      <w:r>
        <w:rPr>
          <w:rStyle w:val="None A"/>
          <w:rFonts w:ascii="Arial" w:hAnsi="Arial"/>
          <w:sz w:val="18"/>
          <w:szCs w:val="18"/>
          <w:rtl w:val="0"/>
          <w:lang w:val="en-US"/>
        </w:rPr>
        <w:t xml:space="preserve">22. Fimlaid, K. A., &amp; Shen, A. (2015). Diverse mechanisms regulate sporulation sigma factor activity in the Firmicutes. </w:t>
      </w:r>
      <w:r>
        <w:rPr>
          <w:rStyle w:val="None A"/>
          <w:rFonts w:ascii="Arial" w:hAnsi="Arial"/>
          <w:i w:val="1"/>
          <w:iCs w:val="1"/>
          <w:sz w:val="18"/>
          <w:szCs w:val="18"/>
          <w:rtl w:val="0"/>
          <w:lang w:val="en-US"/>
        </w:rPr>
        <w:t>Current Opinion in Microbiology</w:t>
      </w:r>
      <w:r>
        <w:rPr>
          <w:rStyle w:val="None A"/>
          <w:rFonts w:ascii="Arial" w:hAnsi="Arial"/>
          <w:sz w:val="18"/>
          <w:szCs w:val="18"/>
          <w:rtl w:val="0"/>
          <w:lang w:val="en-US"/>
        </w:rPr>
        <w:t>. http://doi.org/10.1016/j.mib.2015.01.006</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en-US"/>
        </w:rPr>
        <w:t xml:space="preserve">23. Freter, R. 1983. Mechanisms that control the microflora in the large intestine, p. 33-54. In D. J. Hentges (ed.), </w:t>
      </w:r>
      <w:r>
        <w:rPr>
          <w:rStyle w:val="None A"/>
          <w:rFonts w:ascii="Arial" w:hAnsi="Arial"/>
          <w:i w:val="1"/>
          <w:iCs w:val="1"/>
          <w:sz w:val="18"/>
          <w:szCs w:val="18"/>
          <w:rtl w:val="0"/>
          <w:lang w:val="fr-FR"/>
        </w:rPr>
        <w:t xml:space="preserve">Human </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cs="Arial" w:hAnsi="Arial" w:eastAsia="Arial"/>
          <w:i w:val="1"/>
          <w:iCs w:val="1"/>
          <w:sz w:val="18"/>
          <w:szCs w:val="18"/>
          <w:rtl w:val="0"/>
        </w:rPr>
        <w:tab/>
        <w:t>intestinal microflora in health and disease</w:t>
      </w:r>
      <w:r>
        <w:rPr>
          <w:rStyle w:val="None A"/>
          <w:rFonts w:ascii="Arial" w:hAnsi="Arial"/>
          <w:sz w:val="18"/>
          <w:szCs w:val="18"/>
          <w:rtl w:val="0"/>
          <w:lang w:val="en-US"/>
        </w:rPr>
        <w:t>. Academic Press, Inc., New York, NY.</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en-US"/>
        </w:rPr>
        <w:t xml:space="preserve">24. Ho, T. D., &amp; Ellermeier, C. D. (2015). Ferric uptake regulator fur control of putative iron acquisition systems in Clostridium </w:t>
        <w:tab/>
        <w:tab/>
      </w:r>
      <w:r>
        <w:rPr>
          <w:rStyle w:val="None A"/>
          <w:rFonts w:ascii="Arial" w:hAnsi="Arial"/>
          <w:sz w:val="18"/>
          <w:szCs w:val="18"/>
          <w:rtl w:val="0"/>
          <w:lang w:val="it-IT"/>
        </w:rPr>
        <w:t xml:space="preserve">difficile.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197</w:t>
      </w:r>
      <w:r>
        <w:rPr>
          <w:rStyle w:val="None A"/>
          <w:rFonts w:ascii="Arial" w:hAnsi="Arial"/>
          <w:sz w:val="18"/>
          <w:szCs w:val="18"/>
          <w:rtl w:val="0"/>
          <w:lang w:val="en-US"/>
        </w:rPr>
        <w:t>(18), 2930</w:t>
      </w:r>
      <w:r>
        <w:rPr>
          <w:rStyle w:val="None A"/>
          <w:rFonts w:ascii="Arial" w:hAnsi="Arial" w:hint="default"/>
          <w:sz w:val="18"/>
          <w:szCs w:val="18"/>
          <w:rtl w:val="0"/>
          <w:lang w:val="en-US"/>
        </w:rPr>
        <w:t>–</w:t>
      </w:r>
      <w:r>
        <w:rPr>
          <w:rStyle w:val="None A"/>
          <w:rFonts w:ascii="Arial" w:hAnsi="Arial"/>
          <w:sz w:val="18"/>
          <w:szCs w:val="18"/>
          <w:rtl w:val="0"/>
          <w:lang w:val="it-IT"/>
        </w:rPr>
        <w:t xml:space="preserve">2940.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"http://doi.org/10.1128/JB.00098-15"</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http://doi.org/10.1128/JB.00098-15</w:t>
      </w:r>
      <w:r>
        <w:rPr/>
        <w:fldChar w:fldCharType="end" w:fldLock="0"/>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de-DE"/>
        </w:rPr>
        <w:t xml:space="preserve">25. Hundsberger, T., Braun, V., Weidmann, M., Leukel, P., Sauerborn, M., &amp; von Eichel-Streiber, C. (1997). Transcription </w:t>
        <w:tab/>
        <w:t xml:space="preserve">analysis </w:t>
      </w:r>
      <w:r>
        <w:rPr>
          <w:rStyle w:val="None A"/>
          <w:rFonts w:ascii="Arial" w:hAnsi="Arial"/>
          <w:sz w:val="18"/>
          <w:szCs w:val="18"/>
          <w:rtl w:val="0"/>
          <w:lang w:val="en-US"/>
        </w:rPr>
        <w:t xml:space="preserve">of the genes tcdA-E of the pathogenicity locus of Clostridium difficile. </w:t>
      </w:r>
      <w:r>
        <w:rPr>
          <w:rStyle w:val="None A"/>
          <w:rFonts w:ascii="Arial" w:hAnsi="Arial"/>
          <w:i w:val="1"/>
          <w:iCs w:val="1"/>
          <w:sz w:val="18"/>
          <w:szCs w:val="18"/>
          <w:rtl w:val="0"/>
          <w:lang w:val="en-US"/>
        </w:rPr>
        <w:t xml:space="preserve">European Journal of Biochemistry / </w:t>
        <w:tab/>
        <w:t>FEBS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244</w:t>
      </w:r>
      <w:r>
        <w:rPr>
          <w:rStyle w:val="None A"/>
          <w:rFonts w:ascii="Arial" w:hAnsi="Arial"/>
          <w:sz w:val="18"/>
          <w:szCs w:val="18"/>
          <w:rtl w:val="0"/>
          <w:lang w:val="en-US"/>
        </w:rPr>
        <w:t>(3), 735</w:t>
      </w:r>
      <w:r>
        <w:rPr>
          <w:rStyle w:val="None A"/>
          <w:rFonts w:ascii="Arial" w:hAnsi="Arial" w:hint="default"/>
          <w:sz w:val="18"/>
          <w:szCs w:val="18"/>
          <w:rtl w:val="0"/>
          <w:lang w:val="en-US"/>
        </w:rPr>
        <w:t>–</w:t>
      </w:r>
      <w:r>
        <w:rPr>
          <w:rStyle w:val="None A"/>
          <w:rFonts w:ascii="Arial" w:hAnsi="Arial"/>
          <w:sz w:val="18"/>
          <w:szCs w:val="18"/>
          <w:rtl w:val="0"/>
          <w:lang w:val="en-US"/>
        </w:rPr>
        <w:t xml:space="preserve">742.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"http://doi.org/10.1111/j.1432-1033.1997.t01-1-00735.x"</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http://doi.org/10.1111/j.1432-1033.1997.t01-1-00735.x</w:t>
      </w:r>
      <w:r>
        <w:rPr/>
        <w:fldChar w:fldCharType="end" w:fldLock="0"/>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fr-FR"/>
        </w:rPr>
        <w:t>26. Janoir, C., Den</w:t>
      </w:r>
      <w:r>
        <w:rPr>
          <w:rStyle w:val="None A"/>
          <w:rFonts w:ascii="Arial" w:hAnsi="Arial" w:hint="default"/>
          <w:sz w:val="18"/>
          <w:szCs w:val="18"/>
          <w:rtl w:val="0"/>
          <w:lang w:val="fr-FR"/>
        </w:rPr>
        <w:t>è</w:t>
      </w:r>
      <w:r>
        <w:rPr>
          <w:rStyle w:val="None A"/>
          <w:rFonts w:ascii="Arial" w:hAnsi="Arial"/>
          <w:sz w:val="18"/>
          <w:szCs w:val="18"/>
          <w:rtl w:val="0"/>
          <w:lang w:val="en-US"/>
        </w:rPr>
        <w:t xml:space="preserve">ve, C., Bouttier, S., Barbut, F., Hoys, S., Caleechum, L., &amp; Dupuy, B. (2013). Adaptive strategies and </w:t>
        <w:tab/>
        <w:t xml:space="preserve">pathogenesis of clostridium difficile from In vivo transcriptomics.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81</w:t>
      </w:r>
      <w:r>
        <w:rPr>
          <w:rStyle w:val="None A"/>
          <w:rFonts w:ascii="Arial" w:hAnsi="Arial"/>
          <w:sz w:val="18"/>
          <w:szCs w:val="18"/>
          <w:rtl w:val="0"/>
          <w:lang w:val="en-US"/>
        </w:rPr>
        <w:t>(10), 3757</w:t>
      </w:r>
      <w:r>
        <w:rPr>
          <w:rStyle w:val="None A"/>
          <w:rFonts w:ascii="Arial" w:hAnsi="Arial" w:hint="default"/>
          <w:sz w:val="18"/>
          <w:szCs w:val="18"/>
          <w:rtl w:val="0"/>
          <w:lang w:val="en-US"/>
        </w:rPr>
        <w:t>–</w:t>
      </w:r>
      <w:r>
        <w:rPr>
          <w:rStyle w:val="None A"/>
          <w:rFonts w:ascii="Arial" w:hAnsi="Arial"/>
          <w:sz w:val="18"/>
          <w:szCs w:val="18"/>
          <w:rtl w:val="0"/>
          <w:lang w:val="en-US"/>
        </w:rPr>
        <w:t>3769.</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cs="Arial" w:hAnsi="Arial" w:eastAsia="Arial"/>
          <w:sz w:val="18"/>
          <w:szCs w:val="18"/>
        </w:rPr>
        <w:tab/>
      </w:r>
      <w:r>
        <w:rPr>
          <w:rStyle w:val="Hyperlink.4"/>
        </w:rPr>
        <w:fldChar w:fldCharType="begin" w:fldLock="0"/>
      </w:r>
      <w:r>
        <w:rPr>
          <w:rStyle w:val="Hyperlink.4"/>
        </w:rPr>
        <w:instrText xml:space="preserve"> HYPERLINK "http://doi.org/10.1128/IAI.00515-13"</w:instrText>
      </w:r>
      <w:r>
        <w:rPr>
          <w:rStyle w:val="Hyperlink.4"/>
        </w:rPr>
        <w:fldChar w:fldCharType="separate" w:fldLock="0"/>
      </w:r>
      <w:r>
        <w:rPr>
          <w:rStyle w:val="Hyperlink.4"/>
          <w:rtl w:val="0"/>
          <w:lang w:val="en-US"/>
        </w:rPr>
        <w:t>http://doi.org/10.1128/IAI.00515-13</w:t>
      </w:r>
      <w:r>
        <w:rPr/>
        <w:fldChar w:fldCharType="end" w:fldLock="0"/>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en-US"/>
        </w:rPr>
        <w:t xml:space="preserve">27. Joshi, N., &amp; Fass, J. (2011). Sickle: A sliding-window, adaptive, quality-based trimming tool for FastQ files (Version 1.33) </w:t>
        <w:tab/>
        <w:tab/>
        <w:t xml:space="preserve">[Software]. </w:t>
      </w:r>
      <w:r>
        <w:rPr>
          <w:rStyle w:val="None A"/>
          <w:rFonts w:ascii="Arial" w:hAnsi="Arial"/>
          <w:i w:val="1"/>
          <w:iCs w:val="1"/>
          <w:sz w:val="18"/>
          <w:szCs w:val="18"/>
          <w:rtl w:val="0"/>
          <w:lang w:val="en-US"/>
        </w:rPr>
        <w:t>Available at Https://github.com/najoshi/sickle.</w:t>
      </w:r>
      <w:r>
        <w:rPr>
          <w:rStyle w:val="None A"/>
          <w:rFonts w:ascii="Arial" w:hAnsi="Arial"/>
          <w:sz w:val="18"/>
          <w:szCs w:val="18"/>
          <w:rtl w:val="0"/>
          <w:lang w:val="en-US"/>
        </w:rPr>
        <w:t>, 2011.</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Text body"/>
        <w:ind w:left="480" w:hanging="480"/>
      </w:pPr>
      <w:r>
        <w:rPr>
          <w:rStyle w:val="None A"/>
          <w:rFonts w:ascii="Arial" w:hAnsi="Arial"/>
          <w:sz w:val="18"/>
          <w:szCs w:val="18"/>
          <w:rtl w:val="0"/>
          <w:lang w:val="en-US"/>
        </w:rPr>
        <w:t xml:space="preserve">28. 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sz w:val="18"/>
          <w:szCs w:val="18"/>
          <w:rtl w:val="0"/>
          <w:lang w:val="en-US"/>
        </w:rPr>
        <w:t>PLoS ONE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(7). http://doi.org/10.1371/journal.pone.0101267</w:t>
      </w:r>
    </w:p>
    <w:p>
      <w:pPr>
        <w:pStyle w:val="Text body"/>
        <w:ind w:left="480" w:hanging="480"/>
      </w:pPr>
      <w:r>
        <w:rPr>
          <w:rStyle w:val="None A"/>
          <w:rFonts w:ascii="Arial" w:hAnsi="Arial"/>
          <w:color w:val="000000"/>
          <w:sz w:val="18"/>
          <w:szCs w:val="18"/>
          <w:u w:val="none" w:color="000000"/>
          <w:rtl w:val="0"/>
          <w:lang w:val="en-US"/>
        </w:rPr>
        <w:t xml:space="preserve">29. 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color w:val="000000"/>
          <w:sz w:val="18"/>
          <w:szCs w:val="18"/>
          <w:u w:val="none" w:color="000000"/>
          <w:rtl w:val="0"/>
          <w:lang w:val="en-US"/>
        </w:rPr>
        <w:t>PLoS ONE</w:t>
      </w:r>
      <w:r>
        <w:rPr>
          <w:rStyle w:val="None A"/>
          <w:rFonts w:ascii="Arial" w:hAnsi="Arial"/>
          <w:color w:val="000000"/>
          <w:sz w:val="18"/>
          <w:szCs w:val="18"/>
          <w:u w:val="none" w:color="000000"/>
          <w:rtl w:val="0"/>
          <w:lang w:val="en-US"/>
        </w:rPr>
        <w:t xml:space="preserve">, </w:t>
      </w:r>
      <w:r>
        <w:rPr>
          <w:rStyle w:val="None A"/>
          <w:rFonts w:ascii="Arial" w:hAnsi="Arial"/>
          <w:i w:val="1"/>
          <w:iCs w:val="1"/>
          <w:color w:val="000000"/>
          <w:sz w:val="18"/>
          <w:szCs w:val="18"/>
          <w:u w:val="none" w:color="000000"/>
          <w:rtl w:val="0"/>
          <w:lang w:val="en-US"/>
        </w:rPr>
        <w:t>9</w:t>
      </w:r>
      <w:r>
        <w:rPr>
          <w:rStyle w:val="None A"/>
          <w:rFonts w:ascii="Arial" w:hAnsi="Arial"/>
          <w:color w:val="000000"/>
          <w:sz w:val="18"/>
          <w:szCs w:val="18"/>
          <w:u w:val="none" w:color="000000"/>
          <w:rtl w:val="0"/>
          <w:lang w:val="en-US"/>
        </w:rPr>
        <w:t>(7). http://doi.org/10.1371/journal.pone.0101267</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color w:val="000000"/>
          <w:u w:val="none" w:color="000000"/>
        </w:rPr>
      </w:pP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color w:val="000000"/>
          <w:sz w:val="18"/>
          <w:szCs w:val="18"/>
          <w:u w:val="none" w:color="000000"/>
          <w:rtl w:val="0"/>
          <w:lang w:val="en-US"/>
        </w:rPr>
        <w:t xml:space="preserve">30. Kansau, I., Barketi-Klai, A., Monot, M., Hoy, S., Dupuy, B., &amp; Janoir, C. (2016). Deciphering Adaptation Strategies of the </w:t>
        <w:tab/>
        <w:t xml:space="preserve">Epidemic Clostridium difficile 027 Strain during Infection through In Vivo Transcriptional Analysis. </w:t>
      </w:r>
      <w:r>
        <w:rPr>
          <w:rStyle w:val="None A"/>
          <w:rFonts w:ascii="Arial" w:hAnsi="Arial"/>
          <w:i w:val="1"/>
          <w:iCs w:val="1"/>
          <w:color w:val="000000"/>
          <w:sz w:val="18"/>
          <w:szCs w:val="18"/>
          <w:u w:val="none" w:color="000000"/>
          <w:rtl w:val="0"/>
          <w:lang w:val="de-DE"/>
        </w:rPr>
        <w:t>PLoS ONE</w:t>
      </w:r>
      <w:r>
        <w:rPr>
          <w:rStyle w:val="None A"/>
          <w:rFonts w:ascii="Arial" w:hAnsi="Arial"/>
          <w:color w:val="000000"/>
          <w:sz w:val="18"/>
          <w:szCs w:val="18"/>
          <w:u w:val="none" w:color="000000"/>
          <w:rtl w:val="0"/>
          <w:lang w:val="en-US"/>
        </w:rPr>
        <w:t xml:space="preserve">, 11(6). </w:t>
        <w:tab/>
        <w:t>http://dx.doi.org/10.1371/journal.pone.0158204</w:t>
      </w:r>
    </w:p>
    <w:p>
      <w:pPr>
        <w:pStyle w:val="Text body"/>
        <w:ind w:left="480" w:hanging="480"/>
        <w:rPr>
          <w:rStyle w:val="None A"/>
          <w:rFonts w:ascii="Arial" w:cs="Arial" w:hAnsi="Arial" w:eastAsia="Arial"/>
          <w:color w:val="000000"/>
          <w:sz w:val="18"/>
          <w:szCs w:val="18"/>
          <w:u w:val="none" w:color="000000"/>
        </w:rPr>
      </w:pPr>
    </w:p>
    <w:p>
      <w:pPr>
        <w:pStyle w:val="Text body"/>
        <w:ind w:left="480" w:hanging="480"/>
      </w:pPr>
      <w:r>
        <w:rPr>
          <w:rStyle w:val="None A"/>
          <w:rFonts w:ascii="Arial" w:hAnsi="Arial"/>
          <w:color w:val="000000"/>
          <w:sz w:val="18"/>
          <w:szCs w:val="18"/>
          <w:u w:val="none" w:color="000000"/>
          <w:rtl w:val="0"/>
          <w:lang w:val="en-US"/>
        </w:rPr>
        <w:t xml:space="preserve">31. Karasawa, T., Maegawa, T., Nojiri, T., Yamakawa, K., &amp; Nakamura, S. (1997). Effect of arginine on toxin production by </w:t>
      </w:r>
      <w:r>
        <w:rPr>
          <w:rStyle w:val="None A"/>
          <w:rFonts w:ascii="Arial" w:hAnsi="Arial"/>
          <w:sz w:val="18"/>
          <w:szCs w:val="18"/>
          <w:rtl w:val="0"/>
          <w:lang w:val="en-US"/>
        </w:rPr>
        <w:t xml:space="preserve">Clostridium difficile in defined medium. </w:t>
      </w:r>
      <w:r>
        <w:rPr>
          <w:rStyle w:val="None A"/>
          <w:rFonts w:ascii="Arial" w:hAnsi="Arial"/>
          <w:i w:val="1"/>
          <w:iCs w:val="1"/>
          <w:sz w:val="18"/>
          <w:szCs w:val="18"/>
          <w:rtl w:val="0"/>
          <w:lang w:val="en-US"/>
        </w:rPr>
        <w:t>Microbiology and 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41</w:t>
      </w:r>
      <w:r>
        <w:rPr>
          <w:rStyle w:val="None A"/>
          <w:rFonts w:ascii="Arial" w:hAnsi="Arial"/>
          <w:sz w:val="18"/>
          <w:szCs w:val="18"/>
          <w:rtl w:val="0"/>
          <w:lang w:val="en-US"/>
        </w:rPr>
        <w:t>(8), 581</w:t>
      </w:r>
      <w:r>
        <w:rPr>
          <w:rStyle w:val="None A"/>
          <w:rFonts w:ascii="Arial" w:hAnsi="Arial" w:hint="default"/>
          <w:sz w:val="18"/>
          <w:szCs w:val="18"/>
          <w:rtl w:val="0"/>
          <w:lang w:val="en-US"/>
        </w:rPr>
        <w:t>–</w:t>
      </w:r>
      <w:r>
        <w:rPr>
          <w:rStyle w:val="None A"/>
          <w:rFonts w:ascii="Arial" w:hAnsi="Arial"/>
          <w:sz w:val="18"/>
          <w:szCs w:val="18"/>
          <w:rtl w:val="0"/>
          <w:lang w:val="en-US"/>
        </w:rPr>
        <w:t>5. Retrieved from http://www.ncbi.nlm.nih.gov/pubmed/9310936</w:t>
      </w:r>
    </w:p>
    <w:p>
      <w:pPr>
        <w:pStyle w:val="Text body"/>
        <w:ind w:left="480" w:hanging="480"/>
      </w:pPr>
      <w:r>
        <w:rPr>
          <w:rStyle w:val="None A"/>
          <w:rFonts w:ascii="Arial" w:hAnsi="Arial"/>
          <w:sz w:val="18"/>
          <w:szCs w:val="18"/>
          <w:rtl w:val="0"/>
          <w:lang w:val="en-US"/>
        </w:rPr>
        <w:t xml:space="preserve">32. Karlsson, S., Dupuy, B., Mukherjee, K., Norin, E., Burman, L. G., &amp; </w:t>
      </w:r>
      <w:r>
        <w:rPr>
          <w:rStyle w:val="None A"/>
          <w:rFonts w:ascii="Arial" w:hAnsi="Arial" w:hint="default"/>
          <w:sz w:val="18"/>
          <w:szCs w:val="18"/>
          <w:rtl w:val="0"/>
          <w:lang w:val="en-US"/>
        </w:rPr>
        <w:t>Å</w:t>
      </w:r>
      <w:r>
        <w:rPr>
          <w:rStyle w:val="None A"/>
          <w:rFonts w:ascii="Arial" w:hAnsi="Arial"/>
          <w:sz w:val="18"/>
          <w:szCs w:val="18"/>
          <w:rtl w:val="0"/>
          <w:lang w:val="en-US"/>
        </w:rPr>
        <w:t xml:space="preserve">kerlund, T. (2003). Expression of Clostridium difficile toxins A and B and their sigma factor TcdD is controlled by temperature.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71</w:t>
      </w:r>
      <w:r>
        <w:rPr>
          <w:rStyle w:val="None A"/>
          <w:rFonts w:ascii="Arial" w:hAnsi="Arial"/>
          <w:sz w:val="18"/>
          <w:szCs w:val="18"/>
          <w:rtl w:val="0"/>
          <w:lang w:val="en-US"/>
        </w:rPr>
        <w:t>(4), 1784</w:t>
      </w:r>
      <w:r>
        <w:rPr>
          <w:rStyle w:val="None A"/>
          <w:rFonts w:ascii="Arial" w:hAnsi="Arial" w:hint="default"/>
          <w:sz w:val="18"/>
          <w:szCs w:val="18"/>
          <w:rtl w:val="0"/>
          <w:lang w:val="en-US"/>
        </w:rPr>
        <w:t>–</w:t>
      </w:r>
      <w:r>
        <w:rPr>
          <w:rStyle w:val="None A"/>
          <w:rFonts w:ascii="Arial" w:hAnsi="Arial"/>
          <w:sz w:val="18"/>
          <w:szCs w:val="18"/>
          <w:rtl w:val="0"/>
          <w:lang w:val="en-US"/>
        </w:rPr>
        <w:t>1793. http://doi.org/10.1128/IAI.71.4.1784-1793.2003</w:t>
      </w:r>
    </w:p>
    <w:p>
      <w:pPr>
        <w:pStyle w:val="Text body"/>
        <w:ind w:left="480" w:hanging="480"/>
      </w:pPr>
      <w:r>
        <w:rPr>
          <w:rStyle w:val="None A"/>
          <w:rFonts w:ascii="Arial" w:hAnsi="Arial"/>
          <w:sz w:val="18"/>
          <w:szCs w:val="18"/>
          <w:rtl w:val="0"/>
          <w:lang w:val="en-US"/>
        </w:rPr>
        <w:t xml:space="preserve">33. Karlsson, S., Burman, L. G., &amp; </w:t>
      </w:r>
      <w:r>
        <w:rPr>
          <w:rStyle w:val="None A"/>
          <w:rFonts w:ascii="Arial" w:hAnsi="Arial" w:hint="default"/>
          <w:sz w:val="18"/>
          <w:szCs w:val="18"/>
          <w:rtl w:val="0"/>
          <w:lang w:val="en-US"/>
        </w:rPr>
        <w:t>Å</w:t>
      </w:r>
      <w:r>
        <w:rPr>
          <w:rStyle w:val="None A"/>
          <w:rFonts w:ascii="Arial" w:hAnsi="Arial"/>
          <w:sz w:val="18"/>
          <w:szCs w:val="18"/>
          <w:rtl w:val="0"/>
          <w:lang w:val="en-US"/>
        </w:rPr>
        <w:t>kerlund, T. (2008). Induction of toxins in Clostridium difficile is associated with dramatic changes of its metabolism. Microbiology, 154(11), 3430</w:t>
      </w:r>
      <w:r>
        <w:rPr>
          <w:rStyle w:val="None A"/>
          <w:rFonts w:ascii="Arial" w:hAnsi="Arial" w:hint="default"/>
          <w:sz w:val="18"/>
          <w:szCs w:val="18"/>
          <w:rtl w:val="0"/>
          <w:lang w:val="en-US"/>
        </w:rPr>
        <w:t>–</w:t>
      </w:r>
      <w:r>
        <w:rPr>
          <w:rStyle w:val="None A"/>
          <w:rFonts w:ascii="Arial" w:hAnsi="Arial"/>
          <w:sz w:val="18"/>
          <w:szCs w:val="18"/>
          <w:rtl w:val="0"/>
          <w:lang w:val="en-US"/>
        </w:rPr>
        <w:t>3436. http://doi.org/10.1099/mic.0.2008/019778-0</w:t>
      </w:r>
    </w:p>
    <w:p>
      <w:pPr>
        <w:pStyle w:val="Text body"/>
        <w:ind w:left="480" w:hanging="480"/>
      </w:pPr>
      <w:r>
        <w:rPr>
          <w:rStyle w:val="None A"/>
          <w:rFonts w:ascii="Arial" w:hAnsi="Arial"/>
          <w:sz w:val="18"/>
          <w:szCs w:val="18"/>
          <w:rtl w:val="0"/>
          <w:lang w:val="en-US"/>
        </w:rPr>
        <w:t xml:space="preserve">34. Kim, J., Hetzel, M., Boiangiu, C. D., &amp; Buckel, W. (2004). Dehydration of (R)-2-hydroxyacyl-CoA to enoyl-CoA in the fermentation of </w:t>
      </w:r>
      <w:r>
        <w:rPr>
          <w:rStyle w:val="None A"/>
          <w:rFonts w:ascii="Arial" w:hAnsi="Arial" w:hint="default"/>
          <w:sz w:val="18"/>
          <w:szCs w:val="18"/>
          <w:rtl w:val="0"/>
          <w:lang w:val="en-US"/>
        </w:rPr>
        <w:t>α</w:t>
      </w:r>
      <w:r>
        <w:rPr>
          <w:rStyle w:val="None A"/>
          <w:rFonts w:ascii="Arial" w:hAnsi="Arial"/>
          <w:sz w:val="18"/>
          <w:szCs w:val="18"/>
          <w:rtl w:val="0"/>
          <w:lang w:val="en-US"/>
        </w:rPr>
        <w:t xml:space="preserve">-amino acids by anaerobic bacteria. </w:t>
      </w:r>
      <w:r>
        <w:rPr>
          <w:rStyle w:val="None A"/>
          <w:rFonts w:ascii="Arial" w:hAnsi="Arial"/>
          <w:i w:val="1"/>
          <w:iCs w:val="1"/>
          <w:sz w:val="18"/>
          <w:szCs w:val="18"/>
          <w:rtl w:val="0"/>
          <w:lang w:val="en-US"/>
        </w:rPr>
        <w:t>FEMS Microbiology Reviews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28</w:t>
      </w:r>
      <w:r>
        <w:rPr>
          <w:rStyle w:val="None A"/>
          <w:rFonts w:ascii="Arial" w:hAnsi="Arial"/>
          <w:sz w:val="18"/>
          <w:szCs w:val="18"/>
          <w:rtl w:val="0"/>
          <w:lang w:val="en-US"/>
        </w:rPr>
        <w:t>(4), 455</w:t>
      </w:r>
      <w:r>
        <w:rPr>
          <w:rStyle w:val="None A"/>
          <w:rFonts w:ascii="Arial" w:hAnsi="Arial" w:hint="default"/>
          <w:sz w:val="18"/>
          <w:szCs w:val="18"/>
          <w:rtl w:val="0"/>
          <w:lang w:val="en-US"/>
        </w:rPr>
        <w:t>–</w:t>
      </w:r>
      <w:r>
        <w:rPr>
          <w:rStyle w:val="None A"/>
          <w:rFonts w:ascii="Arial" w:hAnsi="Arial"/>
          <w:sz w:val="18"/>
          <w:szCs w:val="18"/>
          <w:rtl w:val="0"/>
          <w:lang w:val="en-US"/>
        </w:rPr>
        <w:t>468. http://doi.org/10.1016/j.femsre.2004.03.001</w:t>
      </w:r>
    </w:p>
    <w:p>
      <w:pPr>
        <w:pStyle w:val="Text body"/>
        <w:ind w:left="480" w:hanging="480"/>
      </w:pPr>
      <w:r>
        <w:rPr>
          <w:rStyle w:val="None A"/>
          <w:rFonts w:ascii="Arial" w:hAnsi="Arial"/>
          <w:sz w:val="18"/>
          <w:szCs w:val="18"/>
          <w:rtl w:val="0"/>
          <w:lang w:val="en-US"/>
        </w:rPr>
        <w:t xml:space="preserve">35. Koenigsknecht, M. J., Theriot, C. M., Bergin, I. L., Schumacher, C. A., Schloss, P. D., &amp; Young, V. B. (2015). Dynamics and establishment of Clostridium difficile infection in the murine gastrointestinal tract.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83</w:t>
      </w:r>
      <w:r>
        <w:rPr>
          <w:rStyle w:val="None A"/>
          <w:rFonts w:ascii="Arial" w:hAnsi="Arial"/>
          <w:sz w:val="18"/>
          <w:szCs w:val="18"/>
          <w:rtl w:val="0"/>
          <w:lang w:val="en-US"/>
        </w:rPr>
        <w:t>(3), 934</w:t>
      </w:r>
      <w:r>
        <w:rPr>
          <w:rStyle w:val="None A"/>
          <w:rFonts w:ascii="Arial" w:hAnsi="Arial" w:hint="default"/>
          <w:sz w:val="18"/>
          <w:szCs w:val="18"/>
          <w:rtl w:val="0"/>
          <w:lang w:val="en-US"/>
        </w:rPr>
        <w:t>–</w:t>
      </w:r>
      <w:r>
        <w:rPr>
          <w:rStyle w:val="None A"/>
          <w:rFonts w:ascii="Arial" w:hAnsi="Arial"/>
          <w:sz w:val="18"/>
          <w:szCs w:val="18"/>
          <w:rtl w:val="0"/>
          <w:lang w:val="en-US"/>
        </w:rPr>
        <w:t>941. http://doi.org/10.1128/IAI.02768-14</w:t>
      </w:r>
    </w:p>
    <w:p>
      <w:pPr>
        <w:pStyle w:val="Text body"/>
        <w:ind w:left="480" w:hanging="480"/>
      </w:pPr>
      <w:r>
        <w:rPr>
          <w:rStyle w:val="None A"/>
          <w:rFonts w:ascii="Arial" w:hAnsi="Arial"/>
          <w:sz w:val="18"/>
          <w:szCs w:val="18"/>
          <w:rtl w:val="0"/>
          <w:lang w:val="en-US"/>
        </w:rPr>
        <w:t xml:space="preserve">36. Langmead, B., Trapnell, C., Pop, M., &amp; Salzberg, S. L. (2009). Ultrafast and memory-efficient alignment of short DNA sequences to the human genome. </w:t>
      </w:r>
      <w:r>
        <w:rPr>
          <w:rStyle w:val="None A"/>
          <w:rFonts w:ascii="Arial" w:hAnsi="Arial"/>
          <w:i w:val="1"/>
          <w:iCs w:val="1"/>
          <w:sz w:val="18"/>
          <w:szCs w:val="18"/>
          <w:rtl w:val="0"/>
          <w:lang w:val="en-US"/>
        </w:rPr>
        <w:t>Genome Biol</w:t>
      </w:r>
      <w:r>
        <w:rPr>
          <w:rStyle w:val="None A"/>
          <w:rFonts w:ascii="Arial" w:hAnsi="Arial"/>
          <w:sz w:val="18"/>
          <w:szCs w:val="18"/>
          <w:rtl w:val="0"/>
          <w:lang w:val="en-US"/>
        </w:rPr>
        <w:t>, 1</w:t>
      </w:r>
      <w:r>
        <w:rPr>
          <w:rStyle w:val="None A"/>
          <w:rFonts w:ascii="Arial" w:hAnsi="Arial" w:hint="default"/>
          <w:sz w:val="18"/>
          <w:szCs w:val="18"/>
          <w:rtl w:val="0"/>
          <w:lang w:val="en-US"/>
        </w:rPr>
        <w:t>–</w:t>
      </w:r>
      <w:r>
        <w:rPr>
          <w:rStyle w:val="None A"/>
          <w:rFonts w:ascii="Arial" w:hAnsi="Arial"/>
          <w:sz w:val="18"/>
          <w:szCs w:val="18"/>
          <w:rtl w:val="0"/>
          <w:lang w:val="en-US"/>
        </w:rPr>
        <w:t>10. http://doi.org/gb-2009-10-3-r25 [pii]\r10.1186/gb-2009-10-3-r25</w:t>
      </w:r>
    </w:p>
    <w:p>
      <w:pPr>
        <w:pStyle w:val="Text body"/>
        <w:ind w:left="480" w:hanging="480"/>
      </w:pPr>
      <w:r>
        <w:rPr>
          <w:rStyle w:val="None A"/>
          <w:rFonts w:ascii="Arial" w:hAnsi="Arial"/>
          <w:sz w:val="18"/>
          <w:szCs w:val="18"/>
          <w:rtl w:val="0"/>
          <w:lang w:val="en-US"/>
        </w:rPr>
        <w:t xml:space="preserve">37. Lawley, T. D., &amp; Walker, A. W. (2013). Intestinal colonization resistance. </w:t>
      </w:r>
      <w:r>
        <w:rPr>
          <w:rStyle w:val="None A"/>
          <w:rFonts w:ascii="Arial" w:hAnsi="Arial"/>
          <w:i w:val="1"/>
          <w:iCs w:val="1"/>
          <w:sz w:val="18"/>
          <w:szCs w:val="18"/>
          <w:rtl w:val="0"/>
          <w:lang w:val="en-US"/>
        </w:rPr>
        <w:t>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138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11. http://doi.org/10.1111/j.1365-2567.2012.03616.x</w:t>
      </w:r>
    </w:p>
    <w:p>
      <w:pPr>
        <w:pStyle w:val="Text body"/>
        <w:ind w:left="480" w:hanging="480"/>
      </w:pPr>
      <w:r>
        <w:rPr>
          <w:rStyle w:val="None A"/>
          <w:rFonts w:ascii="Arial" w:hAnsi="Arial"/>
          <w:sz w:val="18"/>
          <w:szCs w:val="18"/>
          <w:rtl w:val="0"/>
          <w:lang w:val="en-US"/>
        </w:rPr>
        <w:t>38. Lee, A. S. Y., &amp; Song, K. P. (2005). LuxS/autoinducer-2 quorum sensing molecule regulates transcriptional virulence gene expression in Clostridium difficile. Biochemical and Biophysical Research Communications, 335(3), 659</w:t>
      </w:r>
      <w:r>
        <w:rPr>
          <w:rStyle w:val="None A"/>
          <w:rFonts w:ascii="Arial" w:hAnsi="Arial" w:hint="default"/>
          <w:sz w:val="18"/>
          <w:szCs w:val="18"/>
          <w:rtl w:val="0"/>
          <w:lang w:val="en-US"/>
        </w:rPr>
        <w:t>–</w:t>
      </w:r>
      <w:r>
        <w:rPr>
          <w:rStyle w:val="None A"/>
          <w:rFonts w:ascii="Arial" w:hAnsi="Arial"/>
          <w:sz w:val="18"/>
          <w:szCs w:val="18"/>
          <w:rtl w:val="0"/>
          <w:lang w:val="en-US"/>
        </w:rPr>
        <w:t xml:space="preserve">666. http://doi.org/10.1016/j.bbrc.2005.07.131Leffler, D. A., &amp; Lamont, J. T. (2015). Clostridium difficile Infection. </w:t>
      </w:r>
      <w:r>
        <w:rPr>
          <w:rStyle w:val="None A"/>
          <w:rFonts w:ascii="Arial" w:hAnsi="Arial"/>
          <w:i w:val="1"/>
          <w:iCs w:val="1"/>
          <w:sz w:val="18"/>
          <w:szCs w:val="18"/>
          <w:rtl w:val="0"/>
          <w:lang w:val="en-US"/>
        </w:rPr>
        <w:t>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(16), 1539</w:t>
      </w:r>
      <w:r>
        <w:rPr>
          <w:rStyle w:val="None A"/>
          <w:rFonts w:ascii="Arial" w:hAnsi="Arial" w:hint="default"/>
          <w:sz w:val="18"/>
          <w:szCs w:val="18"/>
          <w:rtl w:val="0"/>
          <w:lang w:val="en-US"/>
        </w:rPr>
        <w:t>–</w:t>
      </w:r>
      <w:r>
        <w:rPr>
          <w:rStyle w:val="None A"/>
          <w:rFonts w:ascii="Arial" w:hAnsi="Arial"/>
          <w:sz w:val="18"/>
          <w:szCs w:val="18"/>
          <w:rtl w:val="0"/>
          <w:lang w:val="en-US"/>
        </w:rPr>
        <w:t>1548. http://doi.org/10.1056/NEJMra1403772</w:t>
      </w:r>
    </w:p>
    <w:p>
      <w:pPr>
        <w:pStyle w:val="Text body"/>
        <w:ind w:left="480" w:hanging="480"/>
      </w:pPr>
      <w:r>
        <w:rPr>
          <w:rStyle w:val="None A"/>
          <w:rFonts w:ascii="Arial" w:hAnsi="Arial"/>
          <w:sz w:val="18"/>
          <w:szCs w:val="18"/>
          <w:rtl w:val="0"/>
          <w:lang w:val="en-US"/>
        </w:rPr>
        <w:t xml:space="preserve">39. Lessa, F. C., Gould, C. V, &amp; McDonald, L. C. (2012). Current status of Clostridium difficile infection epidemiology. </w:t>
      </w:r>
      <w:r>
        <w:rPr>
          <w:rStyle w:val="None A"/>
          <w:rFonts w:ascii="Arial" w:hAnsi="Arial"/>
          <w:i w:val="1"/>
          <w:iCs w:val="1"/>
          <w:sz w:val="18"/>
          <w:szCs w:val="18"/>
          <w:rtl w:val="0"/>
          <w:lang w:val="en-US"/>
        </w:rPr>
        <w:t>Clinical Infectious Diseases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An Official Publication of the Infectious Diseases Society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 Suppl 2</w:t>
      </w:r>
      <w:r>
        <w:rPr>
          <w:rStyle w:val="None A"/>
          <w:rFonts w:ascii="Arial" w:hAnsi="Arial"/>
          <w:sz w:val="18"/>
          <w:szCs w:val="18"/>
          <w:rtl w:val="0"/>
          <w:lang w:val="en-US"/>
        </w:rPr>
        <w:t>(Suppl 2), S65</w:t>
      </w:r>
      <w:r>
        <w:rPr>
          <w:rStyle w:val="None A"/>
          <w:rFonts w:ascii="Arial" w:hAnsi="Arial" w:hint="default"/>
          <w:sz w:val="18"/>
          <w:szCs w:val="18"/>
          <w:rtl w:val="0"/>
          <w:lang w:val="en-US"/>
        </w:rPr>
        <w:t>–</w:t>
      </w:r>
      <w:r>
        <w:rPr>
          <w:rStyle w:val="None A"/>
          <w:rFonts w:ascii="Arial" w:hAnsi="Arial"/>
          <w:sz w:val="18"/>
          <w:szCs w:val="18"/>
          <w:rtl w:val="0"/>
          <w:lang w:val="en-US"/>
        </w:rPr>
        <w:t>70. http://doi.org/10.1093/cid/cis319</w:t>
      </w:r>
    </w:p>
    <w:p>
      <w:pPr>
        <w:pStyle w:val="Text body"/>
        <w:ind w:left="480" w:hanging="480"/>
      </w:pPr>
      <w:r>
        <w:rPr>
          <w:rStyle w:val="None A"/>
          <w:rFonts w:ascii="Arial" w:hAnsi="Arial"/>
          <w:sz w:val="18"/>
          <w:szCs w:val="18"/>
          <w:rtl w:val="0"/>
          <w:lang w:val="en-US"/>
        </w:rPr>
        <w:t xml:space="preserve">40. Lessa, F. C., Mu, Y., Bamberg, W. M., Beldavs, Z. G., Dumyati, G. K., Dunn, J. R., &amp; McDonald, L. C. (2015). Burden of Clostridium difficile Infection in the United States. </w:t>
      </w:r>
      <w:r>
        <w:rPr>
          <w:rStyle w:val="None A"/>
          <w:rFonts w:ascii="Arial" w:hAnsi="Arial"/>
          <w:i w:val="1"/>
          <w:iCs w:val="1"/>
          <w:sz w:val="18"/>
          <w:szCs w:val="18"/>
          <w:rtl w:val="0"/>
          <w:lang w:val="en-US"/>
        </w:rPr>
        <w:t>The 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(9), 825</w:t>
      </w:r>
      <w:r>
        <w:rPr>
          <w:rStyle w:val="None A"/>
          <w:rFonts w:ascii="Arial" w:hAnsi="Arial" w:hint="default"/>
          <w:sz w:val="18"/>
          <w:szCs w:val="18"/>
          <w:rtl w:val="0"/>
          <w:lang w:val="en-US"/>
        </w:rPr>
        <w:t>–</w:t>
      </w:r>
      <w:r>
        <w:rPr>
          <w:rStyle w:val="None A"/>
          <w:rFonts w:ascii="Arial" w:hAnsi="Arial"/>
          <w:sz w:val="18"/>
          <w:szCs w:val="18"/>
          <w:rtl w:val="0"/>
          <w:lang w:val="en-US"/>
        </w:rPr>
        <w:t xml:space="preserve">834. </w:t>
      </w:r>
      <w:r>
        <w:rPr>
          <w:rStyle w:val="Hyperlink.5"/>
        </w:rPr>
        <w:fldChar w:fldCharType="begin" w:fldLock="0"/>
      </w:r>
      <w:r>
        <w:rPr>
          <w:rStyle w:val="Hyperlink.5"/>
        </w:rPr>
        <w:instrText xml:space="preserve"> HYPERLINK "http://doi.org/10.1056/NEJMoa1408913"</w:instrText>
      </w:r>
      <w:r>
        <w:rPr>
          <w:rStyle w:val="Hyperlink.5"/>
        </w:rPr>
        <w:fldChar w:fldCharType="separate" w:fldLock="0"/>
      </w:r>
      <w:r>
        <w:rPr>
          <w:rStyle w:val="Hyperlink.5"/>
          <w:rtl w:val="0"/>
          <w:lang w:val="en-US"/>
        </w:rPr>
        <w:t>http://doi.org/10.1056/NEJMoa1408913</w:t>
      </w:r>
      <w:r>
        <w:rPr/>
        <w:fldChar w:fldCharType="end" w:fldLock="0"/>
      </w:r>
    </w:p>
    <w:p>
      <w:pPr>
        <w:pStyle w:val="Text body"/>
        <w:ind w:left="480" w:hanging="480"/>
      </w:pPr>
      <w:r>
        <w:rPr>
          <w:rStyle w:val="None A"/>
          <w:rFonts w:ascii="Arial" w:hAnsi="Arial"/>
          <w:sz w:val="18"/>
          <w:szCs w:val="18"/>
          <w:rtl w:val="0"/>
          <w:lang w:val="en-US"/>
        </w:rPr>
        <w:t xml:space="preserve">41. Li, F., Hinderberger, J., Seedorf, H., Zhang, J., Buckel, W., &amp; Thauer, R. K. (2008). Coupled ferredoxin and crotonyl coenzyme A (CoA) reduction with NADH catalyzed by the butyryl-CoA dehydrogenase/Etf complex from Clostridium kluyveri.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190</w:t>
      </w:r>
      <w:r>
        <w:rPr>
          <w:rStyle w:val="None A"/>
          <w:rFonts w:ascii="Arial" w:hAnsi="Arial"/>
          <w:sz w:val="18"/>
          <w:szCs w:val="18"/>
          <w:rtl w:val="0"/>
          <w:lang w:val="en-US"/>
        </w:rPr>
        <w:t>(3), 843</w:t>
      </w:r>
      <w:r>
        <w:rPr>
          <w:rStyle w:val="None A"/>
          <w:rFonts w:ascii="Arial" w:hAnsi="Arial" w:hint="default"/>
          <w:sz w:val="18"/>
          <w:szCs w:val="18"/>
          <w:rtl w:val="0"/>
          <w:lang w:val="en-US"/>
        </w:rPr>
        <w:t>–</w:t>
      </w:r>
      <w:r>
        <w:rPr>
          <w:rStyle w:val="None A"/>
          <w:rFonts w:ascii="Arial" w:hAnsi="Arial"/>
          <w:sz w:val="18"/>
          <w:szCs w:val="18"/>
          <w:rtl w:val="0"/>
          <w:lang w:val="en-US"/>
        </w:rPr>
        <w:t>850. http://doi.org/10.1128/JB.01417-07</w:t>
      </w:r>
    </w:p>
    <w:p>
      <w:pPr>
        <w:pStyle w:val="Text body"/>
        <w:ind w:left="480" w:hanging="480"/>
      </w:pPr>
      <w:r>
        <w:rPr>
          <w:rStyle w:val="None A"/>
          <w:rFonts w:ascii="Arial" w:hAnsi="Arial"/>
          <w:sz w:val="18"/>
          <w:szCs w:val="18"/>
          <w:rtl w:val="0"/>
          <w:lang w:val="en-US"/>
        </w:rPr>
        <w:t xml:space="preserve">42. Li, H., Handsaker, B., Wysoker, A., Fennell, T., Ruan, J., Homer, N., &amp; Durbin, R. (2009). The Sequence Alignment/Map format and SAMtools. </w:t>
      </w:r>
      <w:r>
        <w:rPr>
          <w:rStyle w:val="None A"/>
          <w:rFonts w:ascii="Arial" w:hAnsi="Arial"/>
          <w:i w:val="1"/>
          <w:iCs w:val="1"/>
          <w:sz w:val="18"/>
          <w:szCs w:val="18"/>
          <w:rtl w:val="0"/>
          <w:lang w:val="en-US"/>
        </w:rPr>
        <w:t>Bioinformatics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25</w:t>
      </w:r>
      <w:r>
        <w:rPr>
          <w:rStyle w:val="None A"/>
          <w:rFonts w:ascii="Arial" w:hAnsi="Arial"/>
          <w:sz w:val="18"/>
          <w:szCs w:val="18"/>
          <w:rtl w:val="0"/>
          <w:lang w:val="en-US"/>
        </w:rPr>
        <w:t>(16), 2078</w:t>
      </w:r>
      <w:r>
        <w:rPr>
          <w:rStyle w:val="None A"/>
          <w:rFonts w:ascii="Arial" w:hAnsi="Arial" w:hint="default"/>
          <w:sz w:val="18"/>
          <w:szCs w:val="18"/>
          <w:rtl w:val="0"/>
          <w:lang w:val="en-US"/>
        </w:rPr>
        <w:t>–</w:t>
      </w:r>
      <w:r>
        <w:rPr>
          <w:rStyle w:val="None A"/>
          <w:rFonts w:ascii="Arial" w:hAnsi="Arial"/>
          <w:sz w:val="18"/>
          <w:szCs w:val="18"/>
          <w:rtl w:val="0"/>
          <w:lang w:val="en-US"/>
        </w:rPr>
        <w:t>2079. http://doi.org/10.1093/bioinformatics/btp352</w:t>
      </w:r>
    </w:p>
    <w:p>
      <w:pPr>
        <w:pStyle w:val="Text body"/>
        <w:ind w:left="480" w:hanging="480"/>
      </w:pPr>
      <w:r>
        <w:rPr>
          <w:rStyle w:val="None A"/>
          <w:rFonts w:ascii="Arial" w:hAnsi="Arial"/>
          <w:sz w:val="18"/>
          <w:szCs w:val="18"/>
          <w:rtl w:val="0"/>
          <w:lang w:val="en-US"/>
        </w:rPr>
        <w:t>43. 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ind w:left="480" w:hanging="480"/>
      </w:pPr>
      <w:r>
        <w:rPr>
          <w:rStyle w:val="None A"/>
          <w:rFonts w:ascii="Arial" w:hAnsi="Arial"/>
          <w:sz w:val="18"/>
          <w:szCs w:val="18"/>
          <w:rtl w:val="0"/>
          <w:lang w:val="en-US"/>
        </w:rPr>
        <w:t>44. 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ind w:left="480" w:hanging="480"/>
      </w:pPr>
      <w:r>
        <w:rPr>
          <w:rStyle w:val="None A"/>
          <w:rFonts w:ascii="Arial" w:hAnsi="Arial"/>
          <w:sz w:val="18"/>
          <w:szCs w:val="18"/>
          <w:rtl w:val="0"/>
          <w:lang w:val="en-US"/>
        </w:rPr>
        <w:t xml:space="preserve">45. Lopez-Medina, E., Neubauer, M. M., Pier, G. B., &amp; Koh, A. Y. (2011). RNA isolation of Pseudomonas aeruginosa colonizing the murine gastrointestinal tract. </w:t>
      </w:r>
      <w:r>
        <w:rPr>
          <w:rStyle w:val="None A"/>
          <w:rFonts w:ascii="Arial" w:hAnsi="Arial"/>
          <w:i w:val="1"/>
          <w:iCs w:val="1"/>
          <w:sz w:val="18"/>
          <w:szCs w:val="18"/>
          <w:rtl w:val="0"/>
          <w:lang w:val="en-US"/>
        </w:rPr>
        <w:t>Journal of Visualized Experiments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JoVE</w:t>
      </w:r>
      <w:r>
        <w:rPr>
          <w:rStyle w:val="None A"/>
          <w:rFonts w:ascii="Arial" w:hAnsi="Arial"/>
          <w:sz w:val="18"/>
          <w:szCs w:val="18"/>
          <w:rtl w:val="0"/>
          <w:lang w:val="en-US"/>
        </w:rPr>
        <w:t>, (55), 6</w:t>
      </w:r>
      <w:r>
        <w:rPr>
          <w:rStyle w:val="None A"/>
          <w:rFonts w:ascii="Arial" w:hAnsi="Arial" w:hint="default"/>
          <w:sz w:val="18"/>
          <w:szCs w:val="18"/>
          <w:rtl w:val="0"/>
          <w:lang w:val="en-US"/>
        </w:rPr>
        <w:t>–</w:t>
      </w:r>
      <w:r>
        <w:rPr>
          <w:rStyle w:val="None A"/>
          <w:rFonts w:ascii="Arial" w:hAnsi="Arial"/>
          <w:sz w:val="18"/>
          <w:szCs w:val="18"/>
          <w:rtl w:val="0"/>
          <w:lang w:val="en-US"/>
        </w:rPr>
        <w:t>9. http://doi.org/10.3791/3293</w:t>
      </w:r>
    </w:p>
    <w:p>
      <w:pPr>
        <w:pStyle w:val="Text body"/>
        <w:ind w:left="480" w:hanging="480"/>
      </w:pPr>
      <w:r>
        <w:rPr>
          <w:rStyle w:val="None A"/>
          <w:rFonts w:ascii="Arial" w:hAnsi="Arial"/>
          <w:sz w:val="18"/>
          <w:szCs w:val="18"/>
          <w:rtl w:val="0"/>
          <w:lang w:val="en-US"/>
        </w:rPr>
        <w:t>46. Ma, H. W., &amp; Zeng, A. P. (2003). The connectivity structure, giant strong component and centrality of metabolic networks. Bioinformatics, 19(11), 1423</w:t>
      </w:r>
      <w:r>
        <w:rPr>
          <w:rStyle w:val="None A"/>
          <w:rFonts w:ascii="Arial" w:hAnsi="Arial" w:hint="default"/>
          <w:sz w:val="18"/>
          <w:szCs w:val="18"/>
          <w:rtl w:val="0"/>
          <w:lang w:val="en-US"/>
        </w:rPr>
        <w:t>–</w:t>
      </w:r>
      <w:r>
        <w:rPr>
          <w:rStyle w:val="None A"/>
          <w:rFonts w:ascii="Arial" w:hAnsi="Arial"/>
          <w:sz w:val="18"/>
          <w:szCs w:val="18"/>
          <w:rtl w:val="0"/>
          <w:lang w:val="en-US"/>
        </w:rPr>
        <w:t xml:space="preserve">1430. http://doi.org/10.1093/bioinformatics/btg177Martin, M. (2011). Cutadapt removes adapter sequences from high-throughput sequencing reads. </w:t>
      </w:r>
      <w:r>
        <w:rPr>
          <w:rStyle w:val="None A"/>
          <w:rFonts w:ascii="Arial" w:hAnsi="Arial"/>
          <w:i w:val="1"/>
          <w:iCs w:val="1"/>
          <w:sz w:val="18"/>
          <w:szCs w:val="18"/>
          <w:rtl w:val="0"/>
          <w:lang w:val="en-US"/>
        </w:rPr>
        <w:t>EMBnet.journal</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17</w:t>
      </w:r>
      <w:r>
        <w:rPr>
          <w:rStyle w:val="None A"/>
          <w:rFonts w:ascii="Arial" w:hAnsi="Arial"/>
          <w:sz w:val="18"/>
          <w:szCs w:val="18"/>
          <w:rtl w:val="0"/>
          <w:lang w:val="en-US"/>
        </w:rPr>
        <w:t>(1), 10. http://doi.org/10.14806/ej.17.1.200</w:t>
      </w:r>
    </w:p>
    <w:p>
      <w:pPr>
        <w:pStyle w:val="Text body"/>
        <w:ind w:left="480" w:hanging="480"/>
      </w:pPr>
      <w:r>
        <w:rPr>
          <w:rStyle w:val="None A"/>
          <w:rFonts w:ascii="Arial" w:hAnsi="Arial"/>
          <w:sz w:val="18"/>
          <w:szCs w:val="18"/>
          <w:rtl w:val="0"/>
          <w:lang w:val="en-US"/>
        </w:rPr>
        <w:t>47. 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ind w:left="480" w:hanging="480"/>
      </w:pPr>
      <w:r>
        <w:rPr>
          <w:rStyle w:val="None A"/>
          <w:rFonts w:ascii="Arial" w:hAnsi="Arial"/>
          <w:sz w:val="18"/>
          <w:szCs w:val="18"/>
          <w:rtl w:val="0"/>
          <w:lang w:val="en-US"/>
        </w:rPr>
        <w:t>48. 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ind w:left="480" w:hanging="480"/>
      </w:pPr>
      <w:r>
        <w:rPr>
          <w:rStyle w:val="None A"/>
          <w:rFonts w:ascii="Arial" w:hAnsi="Arial"/>
          <w:sz w:val="18"/>
          <w:szCs w:val="18"/>
          <w:rtl w:val="0"/>
          <w:lang w:val="en-US"/>
        </w:rPr>
        <w:t>49. Martin, M. J., Clare, S., Goulding, D., Faulds-Pain, A., Barquist, L., Browne, H. P., &amp; Wren, B. W. (2013). The agr locus regulates virulence and colonization genes in clostridium difficile 027. Journal of Bacteriology, 195(16), 3672</w:t>
      </w:r>
      <w:r>
        <w:rPr>
          <w:rStyle w:val="None A"/>
          <w:rFonts w:ascii="Arial" w:hAnsi="Arial" w:hint="default"/>
          <w:sz w:val="18"/>
          <w:szCs w:val="18"/>
          <w:rtl w:val="0"/>
          <w:lang w:val="en-US"/>
        </w:rPr>
        <w:t>–</w:t>
      </w:r>
      <w:r>
        <w:rPr>
          <w:rStyle w:val="None A"/>
          <w:rFonts w:ascii="Arial" w:hAnsi="Arial"/>
          <w:sz w:val="18"/>
          <w:szCs w:val="18"/>
          <w:rtl w:val="0"/>
          <w:lang w:val="en-US"/>
        </w:rPr>
        <w:t xml:space="preserve">3681. http://doi.org/10.1128/JB.00473-13Matamouros, S., England, P., &amp; Dupuy, B. (2007). Clostridium difficile toxin expression is inhibited by the novel regulator TcdC.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64</w:t>
      </w:r>
      <w:r>
        <w:rPr>
          <w:rStyle w:val="None A"/>
          <w:rFonts w:ascii="Arial" w:hAnsi="Arial"/>
          <w:sz w:val="18"/>
          <w:szCs w:val="18"/>
          <w:rtl w:val="0"/>
          <w:lang w:val="en-US"/>
        </w:rPr>
        <w:t>(5), 1274</w:t>
      </w:r>
      <w:r>
        <w:rPr>
          <w:rStyle w:val="None A"/>
          <w:rFonts w:ascii="Arial" w:hAnsi="Arial" w:hint="default"/>
          <w:sz w:val="18"/>
          <w:szCs w:val="18"/>
          <w:rtl w:val="0"/>
          <w:lang w:val="en-US"/>
        </w:rPr>
        <w:t>–</w:t>
      </w:r>
      <w:r>
        <w:rPr>
          <w:rStyle w:val="None A"/>
          <w:rFonts w:ascii="Arial" w:hAnsi="Arial"/>
          <w:sz w:val="18"/>
          <w:szCs w:val="18"/>
          <w:rtl w:val="0"/>
          <w:lang w:val="en-US"/>
        </w:rPr>
        <w:t>1288. http://doi.org/10.1111/j.1365-2958.2007.05739.x</w:t>
      </w:r>
    </w:p>
    <w:p>
      <w:pPr>
        <w:pStyle w:val="Text body"/>
        <w:ind w:left="480" w:hanging="480"/>
      </w:pPr>
      <w:r>
        <w:rPr>
          <w:rStyle w:val="None A"/>
          <w:rFonts w:ascii="Arial" w:hAnsi="Arial"/>
          <w:sz w:val="18"/>
          <w:szCs w:val="18"/>
          <w:rtl w:val="0"/>
          <w:lang w:val="en-US"/>
        </w:rPr>
        <w:t>50. Matsumoto, M., Kibe, R., Ooga, T., Aiba, Y., Kurihara, S., Sawaki, E., &amp; Benno, Y. (2012). Impact of intestinal microbiota on intestinal luminal metabolome. Scientific Reports, 2, 233. http://doi.org/10.1038/srep00233</w:t>
      </w:r>
    </w:p>
    <w:p>
      <w:pPr>
        <w:pStyle w:val="Text body"/>
        <w:ind w:left="480" w:hanging="480"/>
      </w:pPr>
      <w:r>
        <w:rPr>
          <w:rStyle w:val="None A"/>
          <w:rFonts w:ascii="Arial" w:hAnsi="Arial"/>
          <w:sz w:val="18"/>
          <w:szCs w:val="18"/>
          <w:rtl w:val="0"/>
          <w:lang w:val="en-US"/>
        </w:rPr>
        <w:t>51. Matsuno, K., &amp; Sonenshein, A. L. (1999). Role of SpoVG in asymmetric septation in Bacillus subtilis. Journal of Bacteriology, 181(11), 3392</w:t>
      </w:r>
      <w:r>
        <w:rPr>
          <w:rStyle w:val="None A"/>
          <w:rFonts w:ascii="Arial" w:hAnsi="Arial" w:hint="default"/>
          <w:sz w:val="18"/>
          <w:szCs w:val="18"/>
          <w:rtl w:val="0"/>
          <w:lang w:val="en-US"/>
        </w:rPr>
        <w:t>–</w:t>
      </w:r>
      <w:r>
        <w:rPr>
          <w:rStyle w:val="None A"/>
          <w:rFonts w:ascii="Arial" w:hAnsi="Arial"/>
          <w:sz w:val="18"/>
          <w:szCs w:val="18"/>
          <w:rtl w:val="0"/>
          <w:lang w:val="en-US"/>
        </w:rPr>
        <w:t>3401.</w:t>
      </w:r>
    </w:p>
    <w:p>
      <w:pPr>
        <w:pStyle w:val="Text body"/>
        <w:ind w:left="480" w:hanging="480"/>
      </w:pPr>
      <w:r>
        <w:rPr>
          <w:rStyle w:val="None A"/>
          <w:rFonts w:ascii="Arial" w:hAnsi="Arial"/>
          <w:sz w:val="18"/>
          <w:szCs w:val="18"/>
          <w:rtl w:val="0"/>
          <w:lang w:val="en-US"/>
        </w:rPr>
        <w:t xml:space="preserve">52. Moncrief, J. S., Barroso, L. A., &amp; Wilkins, T. D. (1997). Positive regulation of Clostridium difficile toxins.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65</w:t>
      </w:r>
      <w:r>
        <w:rPr>
          <w:rStyle w:val="None A"/>
          <w:rFonts w:ascii="Arial" w:hAnsi="Arial"/>
          <w:sz w:val="18"/>
          <w:szCs w:val="18"/>
          <w:rtl w:val="0"/>
          <w:lang w:val="en-US"/>
        </w:rPr>
        <w:t>(3), 1105</w:t>
      </w:r>
      <w:r>
        <w:rPr>
          <w:rStyle w:val="None A"/>
          <w:rFonts w:ascii="Arial" w:hAnsi="Arial" w:hint="default"/>
          <w:sz w:val="18"/>
          <w:szCs w:val="18"/>
          <w:rtl w:val="0"/>
          <w:lang w:val="en-US"/>
        </w:rPr>
        <w:t>–</w:t>
      </w:r>
      <w:r>
        <w:rPr>
          <w:rStyle w:val="None A"/>
          <w:rFonts w:ascii="Arial" w:hAnsi="Arial"/>
          <w:sz w:val="18"/>
          <w:szCs w:val="18"/>
          <w:rtl w:val="0"/>
          <w:lang w:val="en-US"/>
        </w:rPr>
        <w:t>1108.</w:t>
      </w:r>
    </w:p>
    <w:p>
      <w:pPr>
        <w:pStyle w:val="Text body"/>
        <w:ind w:left="480" w:hanging="480"/>
      </w:pPr>
      <w:r>
        <w:rPr>
          <w:rStyle w:val="None A"/>
          <w:rFonts w:ascii="Arial" w:hAnsi="Arial"/>
          <w:sz w:val="18"/>
          <w:szCs w:val="18"/>
          <w:rtl w:val="0"/>
          <w:lang w:val="en-US"/>
        </w:rPr>
        <w:t xml:space="preserve">53. Naaber, P., Smidt, I., </w:t>
      </w:r>
      <w:r>
        <w:rPr>
          <w:rStyle w:val="None A"/>
          <w:rFonts w:ascii="Arial" w:hAnsi="Arial" w:hint="default"/>
          <w:sz w:val="18"/>
          <w:szCs w:val="18"/>
          <w:rtl w:val="0"/>
          <w:lang w:val="en-US"/>
        </w:rPr>
        <w:t>Š</w:t>
      </w:r>
      <w:r>
        <w:rPr>
          <w:rStyle w:val="None A"/>
          <w:rFonts w:ascii="Arial" w:hAnsi="Arial"/>
          <w:sz w:val="18"/>
          <w:szCs w:val="18"/>
          <w:rtl w:val="0"/>
          <w:lang w:val="en-US"/>
        </w:rPr>
        <w:t>t</w:t>
      </w:r>
      <w:r>
        <w:rPr>
          <w:rStyle w:val="None A"/>
          <w:rFonts w:ascii="Arial" w:hAnsi="Arial" w:hint="default"/>
          <w:sz w:val="18"/>
          <w:szCs w:val="18"/>
          <w:rtl w:val="0"/>
          <w:lang w:val="en-US"/>
        </w:rPr>
        <w:t>š</w:t>
      </w:r>
      <w:r>
        <w:rPr>
          <w:rStyle w:val="None A"/>
          <w:rFonts w:ascii="Arial" w:hAnsi="Arial"/>
          <w:sz w:val="18"/>
          <w:szCs w:val="18"/>
          <w:rtl w:val="0"/>
          <w:lang w:val="en-US"/>
        </w:rPr>
        <w:t xml:space="preserve">epetova, J., Brilene, T., Annuk, H., &amp; Mikelsaar, M. (2004). Inhibition of Clostridium difficile strains by intestinal Lactobacillus species. </w:t>
      </w:r>
      <w:r>
        <w:rPr>
          <w:rStyle w:val="None A"/>
          <w:rFonts w:ascii="Arial" w:hAnsi="Arial"/>
          <w:i w:val="1"/>
          <w:iCs w:val="1"/>
          <w:sz w:val="18"/>
          <w:szCs w:val="18"/>
          <w:rtl w:val="0"/>
          <w:lang w:val="en-US"/>
        </w:rPr>
        <w:t>Journal of Medical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53</w:t>
      </w:r>
      <w:r>
        <w:rPr>
          <w:rStyle w:val="None A"/>
          <w:rFonts w:ascii="Arial" w:hAnsi="Arial"/>
          <w:sz w:val="18"/>
          <w:szCs w:val="18"/>
          <w:rtl w:val="0"/>
          <w:lang w:val="en-US"/>
        </w:rPr>
        <w:t>(6), 551</w:t>
      </w:r>
      <w:r>
        <w:rPr>
          <w:rStyle w:val="None A"/>
          <w:rFonts w:ascii="Arial" w:hAnsi="Arial" w:hint="default"/>
          <w:sz w:val="18"/>
          <w:szCs w:val="18"/>
          <w:rtl w:val="0"/>
          <w:lang w:val="en-US"/>
        </w:rPr>
        <w:t>–</w:t>
      </w:r>
      <w:r>
        <w:rPr>
          <w:rStyle w:val="None A"/>
          <w:rFonts w:ascii="Arial" w:hAnsi="Arial"/>
          <w:sz w:val="18"/>
          <w:szCs w:val="18"/>
          <w:rtl w:val="0"/>
          <w:lang w:val="en-US"/>
        </w:rPr>
        <w:t>554. http://doi.org/10.1099/jmm.0.45595-0</w:t>
      </w:r>
    </w:p>
    <w:p>
      <w:pPr>
        <w:pStyle w:val="Text body"/>
        <w:ind w:left="480" w:hanging="480"/>
      </w:pPr>
      <w:r>
        <w:rPr>
          <w:rStyle w:val="None A"/>
          <w:rFonts w:ascii="Arial" w:hAnsi="Arial"/>
          <w:sz w:val="18"/>
          <w:szCs w:val="18"/>
          <w:rtl w:val="0"/>
          <w:lang w:val="en-US"/>
        </w:rPr>
        <w:t>54. Nakamura, S., Nakashio, S., Yamakawa, K., Tanabe, N., &amp; Nishida, S. (1982). Carbohydrate Fermentation by Clostridium difficile. Microbiology and Immunology, 26(2), 107</w:t>
      </w:r>
      <w:r>
        <w:rPr>
          <w:rStyle w:val="None A"/>
          <w:rFonts w:ascii="Arial" w:hAnsi="Arial" w:hint="default"/>
          <w:sz w:val="18"/>
          <w:szCs w:val="18"/>
          <w:rtl w:val="0"/>
          <w:lang w:val="en-US"/>
        </w:rPr>
        <w:t>–</w:t>
      </w:r>
      <w:r>
        <w:rPr>
          <w:rStyle w:val="None A"/>
          <w:rFonts w:ascii="Arial" w:hAnsi="Arial"/>
          <w:sz w:val="18"/>
          <w:szCs w:val="18"/>
          <w:rtl w:val="0"/>
          <w:lang w:val="en-US"/>
        </w:rPr>
        <w:t>111. http://doi.org/10.1111/j.1348-0421.1982.tb00159.x</w:t>
      </w:r>
    </w:p>
    <w:p>
      <w:pPr>
        <w:pStyle w:val="Text body"/>
        <w:ind w:left="480" w:hanging="480"/>
      </w:pPr>
      <w:r>
        <w:rPr>
          <w:rStyle w:val="None A"/>
          <w:rFonts w:ascii="Arial" w:hAnsi="Arial"/>
          <w:sz w:val="18"/>
          <w:szCs w:val="18"/>
          <w:rtl w:val="0"/>
          <w:lang w:val="en-US"/>
        </w:rPr>
        <w:t xml:space="preserve">55. Ng, K. M., Ferreyra, J. a, Higginbottom, S. K., Lynch, J. B., Kashyap, P. C., Gopinath, S., &amp; Sonnenburg, J. L. (2013). Microbiota-liberated host sugars facilitate post-antibiotic expansion of enteric pathogens. </w:t>
      </w:r>
      <w:r>
        <w:rPr>
          <w:rStyle w:val="None A"/>
          <w:rFonts w:ascii="Arial" w:hAnsi="Arial"/>
          <w:i w:val="1"/>
          <w:iCs w:val="1"/>
          <w:sz w:val="18"/>
          <w:szCs w:val="18"/>
          <w:rtl w:val="0"/>
          <w:lang w:val="en-US"/>
        </w:rPr>
        <w:t>Nature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502</w:t>
      </w:r>
      <w:r>
        <w:rPr>
          <w:rStyle w:val="None A"/>
          <w:rFonts w:ascii="Arial" w:hAnsi="Arial"/>
          <w:sz w:val="18"/>
          <w:szCs w:val="18"/>
          <w:rtl w:val="0"/>
          <w:lang w:val="en-US"/>
        </w:rPr>
        <w:t>(7469), 96</w:t>
      </w:r>
      <w:r>
        <w:rPr>
          <w:rStyle w:val="None A"/>
          <w:rFonts w:ascii="Arial" w:hAnsi="Arial" w:hint="default"/>
          <w:sz w:val="18"/>
          <w:szCs w:val="18"/>
          <w:rtl w:val="0"/>
          <w:lang w:val="en-US"/>
        </w:rPr>
        <w:t>–</w:t>
      </w:r>
      <w:r>
        <w:rPr>
          <w:rStyle w:val="None A"/>
          <w:rFonts w:ascii="Arial" w:hAnsi="Arial"/>
          <w:sz w:val="18"/>
          <w:szCs w:val="18"/>
          <w:rtl w:val="0"/>
          <w:lang w:val="en-US"/>
        </w:rPr>
        <w:t>9. http://doi.org/10.1038/nature12503</w:t>
      </w:r>
    </w:p>
    <w:p>
      <w:pPr>
        <w:pStyle w:val="Text body"/>
        <w:ind w:left="480" w:hanging="480"/>
      </w:pPr>
      <w:r>
        <w:rPr>
          <w:rStyle w:val="None A"/>
          <w:rFonts w:ascii="Arial" w:hAnsi="Arial"/>
          <w:sz w:val="18"/>
          <w:szCs w:val="18"/>
          <w:rtl w:val="0"/>
          <w:lang w:val="en-US"/>
        </w:rPr>
        <w:t xml:space="preserve">56. 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ind w:left="480" w:hanging="480"/>
      </w:pPr>
      <w:r>
        <w:rPr>
          <w:rStyle w:val="None A"/>
          <w:rFonts w:ascii="Arial" w:hAnsi="Arial"/>
          <w:sz w:val="18"/>
          <w:szCs w:val="18"/>
          <w:rtl w:val="0"/>
          <w:lang w:val="en-US"/>
        </w:rPr>
        <w:t xml:space="preserve">57. 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ind w:left="480" w:hanging="480"/>
      </w:pPr>
      <w:r>
        <w:rPr>
          <w:rStyle w:val="None A"/>
          <w:rFonts w:ascii="Arial" w:hAnsi="Arial"/>
          <w:sz w:val="18"/>
          <w:szCs w:val="18"/>
          <w:rtl w:val="0"/>
          <w:lang w:val="en-US"/>
        </w:rPr>
        <w:t xml:space="preserve">58. Permpoonpattana, P., Phetcharaburanin, J., Mikelsone, A., Dembek, M., Tan, S., Brisson, M. C., &amp; Cutting, S. M. (2013). Functional characterization of Clostridium difficile spore coat proteins.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(7), 1492</w:t>
      </w:r>
      <w:r>
        <w:rPr>
          <w:rStyle w:val="None A"/>
          <w:rFonts w:ascii="Arial" w:hAnsi="Arial" w:hint="default"/>
          <w:sz w:val="18"/>
          <w:szCs w:val="18"/>
          <w:rtl w:val="0"/>
          <w:lang w:val="en-US"/>
        </w:rPr>
        <w:t>–</w:t>
      </w:r>
      <w:r>
        <w:rPr>
          <w:rStyle w:val="None A"/>
          <w:rFonts w:ascii="Arial" w:hAnsi="Arial"/>
          <w:sz w:val="18"/>
          <w:szCs w:val="18"/>
          <w:rtl w:val="0"/>
          <w:lang w:val="en-US"/>
        </w:rPr>
        <w:t>1503. http://doi.org/10.1128/JB.02104-12</w:t>
      </w:r>
    </w:p>
    <w:p>
      <w:pPr>
        <w:pStyle w:val="Text body"/>
        <w:ind w:left="480" w:hanging="480"/>
      </w:pPr>
      <w:r>
        <w:rPr>
          <w:rStyle w:val="None A"/>
          <w:rFonts w:ascii="Arial" w:hAnsi="Arial"/>
          <w:sz w:val="18"/>
          <w:szCs w:val="18"/>
          <w:rtl w:val="0"/>
          <w:lang w:val="en-US"/>
        </w:rPr>
        <w:t>59. Pierpoint, W. S. (1994). Salicylic Acid and its Derivatives in Plants: Medicines, Metabolites and Messenger Molecules. In Advances in Botanical Research (Vol. Volume 20, pp. 163</w:t>
      </w:r>
      <w:r>
        <w:rPr>
          <w:rStyle w:val="None A"/>
          <w:rFonts w:ascii="Arial" w:hAnsi="Arial" w:hint="default"/>
          <w:sz w:val="18"/>
          <w:szCs w:val="18"/>
          <w:rtl w:val="0"/>
          <w:lang w:val="en-US"/>
        </w:rPr>
        <w:t>–</w:t>
      </w:r>
      <w:r>
        <w:rPr>
          <w:rStyle w:val="None A"/>
          <w:rFonts w:ascii="Arial" w:hAnsi="Arial"/>
          <w:sz w:val="18"/>
          <w:szCs w:val="18"/>
          <w:rtl w:val="0"/>
          <w:lang w:val="en-US"/>
        </w:rPr>
        <w:t>235). http://doi.org/10.1016/S0065-2296(08)60217-7</w:t>
      </w:r>
    </w:p>
    <w:p>
      <w:pPr>
        <w:pStyle w:val="Text body"/>
        <w:ind w:left="480" w:hanging="480"/>
      </w:pPr>
      <w:r>
        <w:rPr>
          <w:rStyle w:val="None A"/>
          <w:rFonts w:ascii="Arial" w:hAnsi="Arial"/>
          <w:sz w:val="18"/>
          <w:szCs w:val="18"/>
          <w:rtl w:val="0"/>
          <w:lang w:val="en-US"/>
        </w:rPr>
        <w:t>60. Potapov, A. P., Voss, N., Sasse, N., &amp; Wingender, E. (2005). Topology of mammalian transcription networks. Genome Informatics. International Conference on Genome Informatics, 16(2), 270</w:t>
      </w:r>
      <w:r>
        <w:rPr>
          <w:rStyle w:val="None A"/>
          <w:rFonts w:ascii="Arial" w:hAnsi="Arial" w:hint="default"/>
          <w:sz w:val="18"/>
          <w:szCs w:val="18"/>
          <w:rtl w:val="0"/>
          <w:lang w:val="en-US"/>
        </w:rPr>
        <w:t>–</w:t>
      </w:r>
      <w:r>
        <w:rPr>
          <w:rStyle w:val="None A"/>
          <w:rFonts w:ascii="Arial" w:hAnsi="Arial"/>
          <w:sz w:val="18"/>
          <w:szCs w:val="18"/>
          <w:rtl w:val="0"/>
          <w:lang w:val="en-US"/>
        </w:rPr>
        <w:t xml:space="preserve">278. http://doi.org/162270 [pii]Saujet, L., Pereira, F. C., Henriques, A. O., &amp; Martin-Verstraete, I. (2014). The regulatory network controlling spore formation in Clostridium difficile. </w:t>
      </w:r>
      <w:r>
        <w:rPr>
          <w:rStyle w:val="None A"/>
          <w:rFonts w:ascii="Arial" w:hAnsi="Arial"/>
          <w:i w:val="1"/>
          <w:iCs w:val="1"/>
          <w:sz w:val="18"/>
          <w:szCs w:val="18"/>
          <w:rtl w:val="0"/>
          <w:lang w:val="en-US"/>
        </w:rPr>
        <w:t>FEMS Microbiology Letters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358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10. http://doi.org/10.1111/1574-6968.12540</w:t>
      </w:r>
    </w:p>
    <w:p>
      <w:pPr>
        <w:pStyle w:val="Text body"/>
        <w:ind w:left="480" w:hanging="480"/>
      </w:pPr>
      <w:r>
        <w:rPr>
          <w:rStyle w:val="None A"/>
          <w:rFonts w:ascii="Arial" w:hAnsi="Arial"/>
          <w:sz w:val="18"/>
          <w:szCs w:val="18"/>
          <w:rtl w:val="0"/>
          <w:lang w:val="en-US"/>
        </w:rPr>
        <w:t xml:space="preserve">61. Scaria, J., Suzuki, H., Ptak, C. P., Chen, J.-W., Zhu, Y., Guo, X.-K., &amp; Chang, Y.-F. (2015). Comparative genomic and phenomic analysis of Clostridium difficile and </w:t>
      </w:r>
      <w:r>
        <w:rPr>
          <w:rStyle w:val="None A"/>
          <w:rFonts w:ascii="Arial" w:hAnsi="Arial"/>
          <w:i w:val="1"/>
          <w:iCs w:val="1"/>
          <w:sz w:val="18"/>
          <w:szCs w:val="18"/>
          <w:rtl w:val="0"/>
          <w:lang w:val="en-US"/>
        </w:rPr>
        <w:t>Clostridium sordellii</w:t>
      </w:r>
      <w:r>
        <w:rPr>
          <w:rStyle w:val="None A"/>
          <w:rFonts w:ascii="Arial" w:hAnsi="Arial"/>
          <w:sz w:val="18"/>
          <w:szCs w:val="18"/>
          <w:rtl w:val="0"/>
          <w:lang w:val="en-US"/>
        </w:rPr>
        <w:t xml:space="preserve">, two related pathogens with differing host tissue preference. </w:t>
      </w:r>
      <w:r>
        <w:rPr>
          <w:rStyle w:val="None A"/>
          <w:rFonts w:ascii="Arial" w:hAnsi="Arial"/>
          <w:i w:val="1"/>
          <w:iCs w:val="1"/>
          <w:sz w:val="18"/>
          <w:szCs w:val="18"/>
          <w:rtl w:val="0"/>
          <w:lang w:val="en-US"/>
        </w:rPr>
        <w:t>BMC Genomics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(1), 448. http://doi.org/10.1186/s12864-015-1663-5</w:t>
      </w:r>
    </w:p>
    <w:p>
      <w:pPr>
        <w:pStyle w:val="Text body"/>
        <w:ind w:left="480" w:hanging="480"/>
      </w:pPr>
      <w:r>
        <w:rPr>
          <w:rStyle w:val="None A"/>
          <w:rFonts w:ascii="Arial" w:hAnsi="Arial"/>
          <w:sz w:val="18"/>
          <w:szCs w:val="18"/>
          <w:rtl w:val="0"/>
          <w:lang w:val="en-US"/>
        </w:rPr>
        <w:t xml:space="preserve">62. Schnetz, K., Toloczyki, C., &amp; Rak, B. (1987). B-glucoside (bgl) operon of Escherichia coli K-12: Nucleotide sequence, genetic organization, and possible evolutionary relationship to regulatory components of two Bacillus subtilis genes.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169</w:t>
      </w:r>
      <w:r>
        <w:rPr>
          <w:rStyle w:val="None A"/>
          <w:rFonts w:ascii="Arial" w:hAnsi="Arial"/>
          <w:sz w:val="18"/>
          <w:szCs w:val="18"/>
          <w:rtl w:val="0"/>
          <w:lang w:val="en-US"/>
        </w:rPr>
        <w:t>(6), 2579</w:t>
      </w:r>
      <w:r>
        <w:rPr>
          <w:rStyle w:val="None A"/>
          <w:rFonts w:ascii="Arial" w:hAnsi="Arial" w:hint="default"/>
          <w:sz w:val="18"/>
          <w:szCs w:val="18"/>
          <w:rtl w:val="0"/>
          <w:lang w:val="en-US"/>
        </w:rPr>
        <w:t>–</w:t>
      </w:r>
      <w:r>
        <w:rPr>
          <w:rStyle w:val="None A"/>
          <w:rFonts w:ascii="Arial" w:hAnsi="Arial"/>
          <w:sz w:val="18"/>
          <w:szCs w:val="18"/>
          <w:rtl w:val="0"/>
          <w:lang w:val="en-US"/>
        </w:rPr>
        <w:t>2590.</w:t>
      </w:r>
    </w:p>
    <w:p>
      <w:pPr>
        <w:pStyle w:val="Text body"/>
        <w:ind w:left="480" w:hanging="480"/>
      </w:pPr>
      <w:r>
        <w:rPr>
          <w:rStyle w:val="None A"/>
          <w:rFonts w:ascii="Arial" w:hAnsi="Arial"/>
          <w:sz w:val="18"/>
          <w:szCs w:val="18"/>
          <w:rtl w:val="0"/>
          <w:lang w:val="en-US"/>
        </w:rPr>
        <w:t xml:space="preserve">63. Schubert, A. M., Sinani, H., &amp; Schloss, P. D. (2015). Antibiotic-induced alterations of the murine gut microbiota and subsequent effects on colonization resistance against Clostridium difficile.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(4). http://doi.org/10.1128/mBio.00974-15</w:t>
      </w:r>
    </w:p>
    <w:p>
      <w:pPr>
        <w:pStyle w:val="Text body"/>
        <w:ind w:left="480" w:hanging="480"/>
      </w:pPr>
      <w:r>
        <w:rPr>
          <w:rStyle w:val="None A"/>
          <w:rFonts w:ascii="Arial" w:hAnsi="Arial"/>
          <w:sz w:val="18"/>
          <w:szCs w:val="18"/>
          <w:rtl w:val="0"/>
          <w:lang w:val="en-US"/>
        </w:rPr>
        <w:t xml:space="preserve">64. Sebaihia, M., Wren, B. W., Mullany, P., Fairweather, N. F., Minton, N., Stabler, R., &amp; Parkhill, J. (2006). The multidrug-resistant human pathogen Clostridium difficile has a highly mobile, mosaic genome. </w:t>
      </w:r>
      <w:r>
        <w:rPr>
          <w:rStyle w:val="None A"/>
          <w:rFonts w:ascii="Arial" w:hAnsi="Arial"/>
          <w:i w:val="1"/>
          <w:iCs w:val="1"/>
          <w:sz w:val="18"/>
          <w:szCs w:val="18"/>
          <w:rtl w:val="0"/>
          <w:lang w:val="en-US"/>
        </w:rPr>
        <w:t>Nature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38</w:t>
      </w:r>
      <w:r>
        <w:rPr>
          <w:rStyle w:val="None A"/>
          <w:rFonts w:ascii="Arial" w:hAnsi="Arial"/>
          <w:sz w:val="18"/>
          <w:szCs w:val="18"/>
          <w:rtl w:val="0"/>
          <w:lang w:val="en-US"/>
        </w:rPr>
        <w:t>(7), 779</w:t>
      </w:r>
      <w:r>
        <w:rPr>
          <w:rStyle w:val="None A"/>
          <w:rFonts w:ascii="Arial" w:hAnsi="Arial" w:hint="default"/>
          <w:sz w:val="18"/>
          <w:szCs w:val="18"/>
          <w:rtl w:val="0"/>
          <w:lang w:val="en-US"/>
        </w:rPr>
        <w:t>–</w:t>
      </w:r>
      <w:r>
        <w:rPr>
          <w:rStyle w:val="None A"/>
          <w:rFonts w:ascii="Arial" w:hAnsi="Arial"/>
          <w:sz w:val="18"/>
          <w:szCs w:val="18"/>
          <w:rtl w:val="0"/>
          <w:lang w:val="en-US"/>
        </w:rPr>
        <w:t>786. http://doi.org/10.1038/ng1830</w:t>
      </w:r>
    </w:p>
    <w:p>
      <w:pPr>
        <w:pStyle w:val="Text body"/>
        <w:ind w:left="480" w:hanging="480"/>
      </w:pPr>
      <w:r>
        <w:rPr>
          <w:rStyle w:val="None A"/>
          <w:rFonts w:ascii="Arial" w:hAnsi="Arial"/>
          <w:sz w:val="18"/>
          <w:szCs w:val="18"/>
          <w:rtl w:val="0"/>
          <w:lang w:val="en-US"/>
        </w:rPr>
        <w:t>65. Suthers, P. F., Dasika, M. S., Kumar, V. S., Denisov, G., Glass, J. I., &amp; Maranas, C. D. (2009). Genome-scale metabolic reconstruction Of mycoplasma genitalium, iPS189. PLoS Computational Biology, 5(2). http://doi.org/10.1371/journal.pcbi.1000285</w:t>
      </w:r>
    </w:p>
    <w:p>
      <w:pPr>
        <w:pStyle w:val="Text body"/>
        <w:ind w:left="480" w:hanging="480"/>
      </w:pPr>
      <w:r>
        <w:rPr>
          <w:rStyle w:val="None A"/>
          <w:rFonts w:ascii="Arial" w:hAnsi="Arial"/>
          <w:sz w:val="18"/>
          <w:szCs w:val="18"/>
          <w:rtl w:val="0"/>
          <w:lang w:val="en-US"/>
        </w:rPr>
        <w:t>66. 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ind w:left="480" w:hanging="480"/>
      </w:pPr>
      <w:r>
        <w:rPr>
          <w:rStyle w:val="None A"/>
          <w:rFonts w:ascii="Arial" w:hAnsi="Arial"/>
          <w:sz w:val="18"/>
          <w:szCs w:val="18"/>
          <w:rtl w:val="0"/>
          <w:lang w:val="en-US"/>
        </w:rPr>
        <w:t xml:space="preserve">67. Theriot, C. M., Koumpouras, C. C., Carlson, P. E., Bergin, I. I., Aronoff, D. M., &amp; Young, V. B. (2011). Cefoperazone-treated mice as an experimental platform to assess differential virulence of Clostridium difficile strains. </w:t>
      </w:r>
      <w:r>
        <w:rPr>
          <w:rStyle w:val="None A"/>
          <w:rFonts w:ascii="Arial" w:hAnsi="Arial"/>
          <w:i w:val="1"/>
          <w:iCs w:val="1"/>
          <w:sz w:val="18"/>
          <w:szCs w:val="18"/>
          <w:rtl w:val="0"/>
          <w:lang w:val="en-US"/>
        </w:rPr>
        <w:t>Gut Microbes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w:t>
      </w:r>
      <w:r>
        <w:rPr>
          <w:rStyle w:val="None A"/>
          <w:rFonts w:ascii="Arial" w:hAnsi="Arial"/>
          <w:sz w:val="18"/>
          <w:szCs w:val="18"/>
          <w:rtl w:val="0"/>
          <w:lang w:val="en-US"/>
        </w:rPr>
        <w:t>(6), 326</w:t>
      </w:r>
      <w:r>
        <w:rPr>
          <w:rStyle w:val="None A"/>
          <w:rFonts w:ascii="Arial" w:hAnsi="Arial" w:hint="default"/>
          <w:sz w:val="18"/>
          <w:szCs w:val="18"/>
          <w:rtl w:val="0"/>
          <w:lang w:val="en-US"/>
        </w:rPr>
        <w:t>–</w:t>
      </w:r>
      <w:r>
        <w:rPr>
          <w:rStyle w:val="None A"/>
          <w:rFonts w:ascii="Arial" w:hAnsi="Arial"/>
          <w:sz w:val="18"/>
          <w:szCs w:val="18"/>
          <w:rtl w:val="0"/>
          <w:lang w:val="en-US"/>
        </w:rPr>
        <w:t>334. http://doi.org/10.4161/gmic.19142</w:t>
      </w:r>
    </w:p>
    <w:p>
      <w:pPr>
        <w:pStyle w:val="Text body"/>
        <w:ind w:left="480" w:hanging="480"/>
      </w:pPr>
      <w:r>
        <w:rPr>
          <w:rStyle w:val="None A"/>
          <w:rFonts w:ascii="Arial" w:hAnsi="Arial"/>
          <w:sz w:val="18"/>
          <w:szCs w:val="18"/>
          <w:rtl w:val="0"/>
          <w:lang w:val="en-US"/>
        </w:rPr>
        <w:t xml:space="preserve">68. Trindade, B.C., Kirk, L., Rogers, L.M., Zackular, J.P., Skaar, E.P., Schloss, P.D., Lyras, D., Maseda, D., Crofford, L.J., &amp; Aronoff, D.M. (2016). NONSTEROIDAL ANTI-INFLAMMATORY DRUGS ALTER THE GUT MICROBIOME AND INCREASE THE SEVERITY OF clostridium diFFicile INFECTION IN MICE. </w:t>
      </w:r>
      <w:r>
        <w:rPr>
          <w:rStyle w:val="None A"/>
          <w:rFonts w:ascii="Arial" w:hAnsi="Arial"/>
          <w:i w:val="1"/>
          <w:iCs w:val="1"/>
          <w:sz w:val="18"/>
          <w:szCs w:val="18"/>
          <w:rtl w:val="0"/>
          <w:lang w:val="en-US"/>
        </w:rPr>
        <w:t>13th biennial Congress of the Anaerobe Society of the Americas</w:t>
      </w:r>
      <w:r>
        <w:rPr>
          <w:rStyle w:val="None A"/>
          <w:rFonts w:ascii="Arial" w:hAnsi="Arial"/>
          <w:sz w:val="18"/>
          <w:szCs w:val="18"/>
          <w:rtl w:val="0"/>
          <w:lang w:val="en-US"/>
        </w:rPr>
        <w:t>. Poster presentation. 2016 July 11-14. Nashville, TN.</w:t>
      </w:r>
    </w:p>
    <w:p>
      <w:pPr>
        <w:pStyle w:val="Text body"/>
        <w:ind w:left="480" w:hanging="480"/>
      </w:pPr>
      <w:r>
        <w:rPr>
          <w:rStyle w:val="None A"/>
          <w:rFonts w:ascii="Arial" w:hAnsi="Arial"/>
          <w:sz w:val="18"/>
          <w:szCs w:val="18"/>
          <w:rtl w:val="0"/>
          <w:lang w:val="en-US"/>
        </w:rPr>
        <w:t xml:space="preserve">69. Tracy, B. P., Jones, S. W., Fast, A. G., Indurthi, D. C., &amp; Papoutsakis, E. T. (2012). Clostridia: The importance of their exceptional substrate and metabolite diversity for biofuel and biorefinery applications. </w:t>
      </w:r>
      <w:r>
        <w:rPr>
          <w:rStyle w:val="None A"/>
          <w:rFonts w:ascii="Arial" w:hAnsi="Arial"/>
          <w:i w:val="1"/>
          <w:iCs w:val="1"/>
          <w:sz w:val="18"/>
          <w:szCs w:val="18"/>
          <w:rtl w:val="0"/>
          <w:lang w:val="en-US"/>
        </w:rPr>
        <w:t>Current Opinion in Biotechnology</w:t>
      </w:r>
      <w:r>
        <w:rPr>
          <w:rStyle w:val="None A"/>
          <w:rFonts w:ascii="Arial" w:hAnsi="Arial"/>
          <w:sz w:val="18"/>
          <w:szCs w:val="18"/>
          <w:rtl w:val="0"/>
          <w:lang w:val="en-US"/>
        </w:rPr>
        <w:t>. http://doi.org/10.1016/j.copbio.2011.10.008</w:t>
      </w:r>
    </w:p>
    <w:p>
      <w:pPr>
        <w:pStyle w:val="Text body"/>
        <w:ind w:left="480" w:hanging="480"/>
      </w:pPr>
      <w:r>
        <w:rPr>
          <w:rStyle w:val="None A"/>
          <w:rFonts w:ascii="Arial" w:hAnsi="Arial"/>
          <w:sz w:val="18"/>
          <w:szCs w:val="18"/>
          <w:rtl w:val="0"/>
          <w:lang w:val="en-US"/>
        </w:rPr>
        <w:t xml:space="preserve">70. Van Beilen, J. W. A., &amp; Brul, S. (2013). Compartment-specific pH monitoring in Bacillus subtilis using fluorescent sensor proteins: A tool to analyze the antibacterial effect of weak organic acids. </w:t>
      </w:r>
      <w:r>
        <w:rPr>
          <w:rStyle w:val="None A"/>
          <w:rFonts w:ascii="Arial" w:hAnsi="Arial"/>
          <w:i w:val="1"/>
          <w:iCs w:val="1"/>
          <w:sz w:val="18"/>
          <w:szCs w:val="18"/>
          <w:rtl w:val="0"/>
          <w:lang w:val="en-US"/>
        </w:rPr>
        <w:t>Frontiers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w:t>
      </w:r>
      <w:r>
        <w:rPr>
          <w:rStyle w:val="None A"/>
          <w:rFonts w:ascii="Arial" w:hAnsi="Arial"/>
          <w:sz w:val="18"/>
          <w:szCs w:val="18"/>
          <w:rtl w:val="0"/>
          <w:lang w:val="en-US"/>
        </w:rPr>
        <w:t>(JUN). http://doi.org/10.3389/fmicb.2013.00157</w:t>
      </w:r>
    </w:p>
    <w:p>
      <w:pPr>
        <w:pStyle w:val="Text body"/>
        <w:ind w:left="480" w:hanging="480"/>
      </w:pPr>
      <w:r>
        <w:rPr>
          <w:rStyle w:val="None A"/>
          <w:rFonts w:ascii="Arial" w:hAnsi="Arial"/>
          <w:sz w:val="18"/>
          <w:szCs w:val="18"/>
          <w:rtl w:val="0"/>
          <w:lang w:val="en-US"/>
        </w:rPr>
        <w:t xml:space="preserve">71. Wilson, K. H., &amp; Perini, F. (1988). Role of competition for nutrients in suppression of Clostridium difficile by the colonic microflora.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56</w:t>
      </w:r>
      <w:r>
        <w:rPr>
          <w:rStyle w:val="None A"/>
          <w:rFonts w:ascii="Arial" w:hAnsi="Arial"/>
          <w:sz w:val="18"/>
          <w:szCs w:val="18"/>
          <w:rtl w:val="0"/>
          <w:lang w:val="en-US"/>
        </w:rPr>
        <w:t>(10), 2610</w:t>
      </w:r>
      <w:r>
        <w:rPr>
          <w:rStyle w:val="None A"/>
          <w:rFonts w:ascii="Arial" w:hAnsi="Arial" w:hint="default"/>
          <w:sz w:val="18"/>
          <w:szCs w:val="18"/>
          <w:rtl w:val="0"/>
          <w:lang w:val="en-US"/>
        </w:rPr>
        <w:t>–</w:t>
      </w:r>
      <w:r>
        <w:rPr>
          <w:rStyle w:val="None A"/>
          <w:rFonts w:ascii="Arial" w:hAnsi="Arial"/>
          <w:sz w:val="18"/>
          <w:szCs w:val="18"/>
          <w:rtl w:val="0"/>
          <w:lang w:val="en-US"/>
        </w:rPr>
        <w:t>2614.</w:t>
      </w:r>
    </w:p>
    <w:p>
      <w:pPr>
        <w:pStyle w:val="Text body"/>
        <w:spacing w:line="100" w:lineRule="atLeast"/>
        <w:ind w:left="480" w:hanging="480"/>
        <w:jc w:val="both"/>
      </w:pPr>
      <w:r>
        <w:rPr>
          <w:rStyle w:val="None A"/>
          <w:rFonts w:ascii="Arial" w:hAnsi="Arial"/>
          <w:sz w:val="18"/>
          <w:szCs w:val="18"/>
          <w:rtl w:val="0"/>
          <w:lang w:val="en-US"/>
        </w:rPr>
        <w:t>72. Young, V. B., &amp; Schmidt, T. M. (2004). Antibiotic-Associated Diarrhea Accompanied by Large-Scale Alterations in the Composition of the Fecal Microbiota. Journal of Clinical Microbiology, 42(3), 1203</w:t>
      </w:r>
      <w:r>
        <w:rPr>
          <w:rStyle w:val="None A"/>
          <w:rFonts w:ascii="Arial" w:hAnsi="Arial" w:hint="default"/>
          <w:sz w:val="18"/>
          <w:szCs w:val="18"/>
          <w:rtl w:val="0"/>
          <w:lang w:val="en-US"/>
        </w:rPr>
        <w:t>–</w:t>
      </w:r>
      <w:r>
        <w:rPr>
          <w:rStyle w:val="None A"/>
          <w:rFonts w:ascii="Arial" w:hAnsi="Arial"/>
          <w:sz w:val="18"/>
          <w:szCs w:val="18"/>
          <w:rtl w:val="0"/>
          <w:lang w:val="en-US"/>
        </w:rPr>
        <w:t>1206. http://doi.org/10.1128/JCM.42.3.1203-1206.2004</w:t>
      </w:r>
    </w:p>
    <w:p>
      <w:pPr>
        <w:pStyle w:val="Text body"/>
        <w:spacing w:line="100" w:lineRule="atLeast"/>
        <w:ind w:left="480" w:hanging="480"/>
        <w:jc w:val="both"/>
      </w:pPr>
      <w:r>
        <w:rPr>
          <w:rStyle w:val="None A"/>
          <w:rFonts w:ascii="Arial" w:hAnsi="Arial"/>
          <w:sz w:val="18"/>
          <w:szCs w:val="18"/>
          <w:rtl w:val="0"/>
          <w:lang w:val="en-US"/>
        </w:rPr>
        <w:t xml:space="preserve">73. Yuille, S., Mackay, W. G., Morrison, D. J., &amp; Tedford, M. C. (2015). Optimising gut colonisation resistance against Clostridium difficile infection. </w:t>
      </w:r>
      <w:r>
        <w:rPr>
          <w:rStyle w:val="None A"/>
          <w:rFonts w:ascii="Arial" w:hAnsi="Arial"/>
          <w:i w:val="1"/>
          <w:iCs w:val="1"/>
          <w:sz w:val="18"/>
          <w:szCs w:val="18"/>
          <w:rtl w:val="0"/>
          <w:lang w:val="en-US"/>
        </w:rPr>
        <w:t>European Journal of Clinical Microbiology and Infectious Diseases</w:t>
      </w:r>
      <w:r>
        <w:rPr>
          <w:rStyle w:val="None A"/>
          <w:rFonts w:ascii="Arial" w:hAnsi="Arial"/>
          <w:sz w:val="18"/>
          <w:szCs w:val="18"/>
          <w:rtl w:val="0"/>
          <w:lang w:val="en-US"/>
        </w:rPr>
        <w:t xml:space="preserve">. </w:t>
      </w:r>
      <w:r>
        <w:rPr>
          <w:rStyle w:val="Hyperlink.6"/>
        </w:rPr>
        <w:fldChar w:fldCharType="begin" w:fldLock="0"/>
      </w:r>
      <w:r>
        <w:rPr>
          <w:rStyle w:val="Hyperlink.6"/>
        </w:rPr>
        <w:instrText xml:space="preserve"> HYPERLINK "http://doi.org/10.1007/s10096-015-2479-6"</w:instrText>
      </w:r>
      <w:r>
        <w:rPr>
          <w:rStyle w:val="Hyperlink.6"/>
        </w:rPr>
        <w:fldChar w:fldCharType="separate" w:fldLock="0"/>
      </w:r>
      <w:r>
        <w:rPr>
          <w:rStyle w:val="Hyperlink.6"/>
          <w:rtl w:val="0"/>
          <w:lang w:val="en-US"/>
        </w:rPr>
        <w:t>http://doi.org/10.1007/s10096-015-2479-6</w:t>
      </w:r>
      <w:bookmarkEnd w:id="15"/>
      <w:r>
        <w:rPr/>
        <w:fldChar w:fldCharType="end" w:fldLock="0"/>
      </w:r>
    </w:p>
    <w:sectPr>
      <w:headerReference w:type="default" r:id="rId4"/>
      <w:footerReference w:type="default" r:id="rId5"/>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LM Roman Unslanted 10">
    <w:charset w:val="00"/>
    <w:family w:val="roman"/>
    <w:pitch w:val="default"/>
  </w:font>
  <w:font w:name="PT Serif Captio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ffffff"/>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A">
    <w:name w:val="None A"/>
    <w:rPr>
      <w:lang w:val="en-US"/>
    </w:rPr>
  </w:style>
  <w:style w:type="character" w:styleId="Hyperlink.0">
    <w:name w:val="Hyperlink.0"/>
    <w:basedOn w:val="None A"/>
    <w:next w:val="Hyperlink.0"/>
    <w:rPr>
      <w:rFonts w:ascii="Arial" w:cs="Arial" w:hAnsi="Arial" w:eastAsia="Arial"/>
      <w:caps w:val="0"/>
      <w:smallCaps w:val="0"/>
      <w:color w:val="000000"/>
      <w:spacing w:val="0"/>
      <w:sz w:val="22"/>
      <w:szCs w:val="22"/>
      <w:u w:val="single" w:color="000000"/>
    </w:rPr>
  </w:style>
  <w:style w:type="character" w:styleId="Hyperlink.1">
    <w:name w:val="Hyperlink.1"/>
    <w:basedOn w:val="None A"/>
    <w:next w:val="Hyperlink.1"/>
    <w:rPr>
      <w:rFonts w:ascii="Arial" w:cs="Arial" w:hAnsi="Arial" w:eastAsia="Arial"/>
      <w:color w:val="000080"/>
      <w:sz w:val="22"/>
      <w:szCs w:val="22"/>
      <w:u w:val="single" w:color="000080"/>
    </w:rPr>
  </w:style>
  <w:style w:type="character" w:styleId="Hyperlink.2">
    <w:name w:val="Hyperlink.2"/>
    <w:basedOn w:val="None A"/>
    <w:next w:val="Hyperlink.2"/>
    <w:rPr>
      <w:rFonts w:ascii="Arial" w:cs="Arial" w:hAnsi="Arial" w:eastAsia="Arial"/>
      <w:sz w:val="22"/>
      <w:szCs w:val="22"/>
    </w:rPr>
  </w:style>
  <w:style w:type="paragraph" w:styleId="Text body">
    <w:name w:val="Text body"/>
    <w:next w:val="Text body"/>
    <w:pPr>
      <w:keepNext w:val="1"/>
      <w:keepLines w:val="0"/>
      <w:pageBreakBefore w:val="0"/>
      <w:widowControl w:val="0"/>
      <w:shd w:val="clear" w:color="auto" w:fill="ffffff"/>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3">
    <w:name w:val="Hyperlink.3"/>
    <w:basedOn w:val="None A"/>
    <w:next w:val="Hyperlink.3"/>
    <w:rPr>
      <w:rFonts w:ascii="Arial" w:cs="Arial" w:hAnsi="Arial" w:eastAsia="Arial"/>
      <w:color w:val="0000ff"/>
      <w:sz w:val="18"/>
      <w:szCs w:val="18"/>
      <w:u w:val="single" w:color="0000ff"/>
      <w:lang w:val="en-US"/>
    </w:rPr>
  </w:style>
  <w:style w:type="character" w:styleId="Hyperlink.4">
    <w:name w:val="Hyperlink.4"/>
    <w:basedOn w:val="None A"/>
    <w:next w:val="Hyperlink.4"/>
    <w:rPr>
      <w:rFonts w:ascii="Arial" w:cs="Arial" w:hAnsi="Arial" w:eastAsia="Arial"/>
      <w:color w:val="0000ff"/>
      <w:sz w:val="18"/>
      <w:szCs w:val="18"/>
      <w:u w:val="single" w:color="0000ff"/>
    </w:rPr>
  </w:style>
  <w:style w:type="character" w:styleId="Hyperlink.5">
    <w:name w:val="Hyperlink.5"/>
    <w:basedOn w:val="None A"/>
    <w:next w:val="Hyperlink.5"/>
    <w:rPr>
      <w:rFonts w:ascii="Arial" w:cs="Arial" w:hAnsi="Arial" w:eastAsia="Arial"/>
      <w:color w:val="000080"/>
      <w:sz w:val="18"/>
      <w:szCs w:val="18"/>
      <w:u w:val="single" w:color="000080"/>
    </w:rPr>
  </w:style>
  <w:style w:type="character" w:styleId="Hyperlink.6">
    <w:name w:val="Hyperlink.6"/>
    <w:basedOn w:val="None A"/>
    <w:next w:val="Hyperlink.6"/>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