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Style w:val="None A"/>
          <w:rFonts w:ascii="Arial" w:cs="Arial" w:hAnsi="Arial" w:eastAsia="Arial"/>
          <w:i w:val="1"/>
          <w:iCs w:val="1"/>
          <w:color w:val="2c2d30"/>
          <w:sz w:val="22"/>
          <w:szCs w:val="22"/>
          <w:u w:val="none" w:color="2c2d30"/>
        </w:rPr>
      </w:pPr>
      <w:r>
        <w:rPr>
          <w:rStyle w:val="None A"/>
          <w:rFonts w:ascii="Arial" w:hAnsi="Arial"/>
          <w:b w:val="1"/>
          <w:bCs w:val="1"/>
          <w:sz w:val="22"/>
          <w:szCs w:val="22"/>
          <w:rtl w:val="0"/>
          <w:lang w:val="en-US"/>
        </w:rPr>
        <w:t>Title</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i w:val="1"/>
          <w:iCs w:val="1"/>
          <w:color w:val="2c2d30"/>
          <w:sz w:val="22"/>
          <w:szCs w:val="22"/>
          <w:u w:val="none" w:color="2c2d30"/>
          <w:rtl w:val="0"/>
          <w:lang w:val="en-US"/>
        </w:rPr>
        <w:t>Clostridium difficile</w:t>
      </w:r>
      <w:r>
        <w:rPr>
          <w:rStyle w:val="None A"/>
          <w:rFonts w:ascii="Arial" w:hAnsi="Arial"/>
          <w:color w:val="2c2d30"/>
          <w:sz w:val="22"/>
          <w:szCs w:val="22"/>
          <w:u w:val="none" w:color="2c2d30"/>
          <w:rtl w:val="0"/>
          <w:lang w:val="en-US"/>
        </w:rPr>
        <w:t xml:space="preserve"> colonizes alternative nutrient niches during infection across susceptible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Authors</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sz w:val="22"/>
          <w:szCs w:val="22"/>
          <w:rtl w:val="0"/>
          <w:lang w:val="en-US"/>
        </w:rPr>
        <w:t>Jenior ML</w:t>
      </w:r>
      <w:r>
        <w:rPr>
          <w:rStyle w:val="None A"/>
          <w:rFonts w:ascii="Arial" w:hAnsi="Arial"/>
          <w:sz w:val="22"/>
          <w:szCs w:val="22"/>
          <w:vertAlign w:val="superscript"/>
          <w:rtl w:val="0"/>
          <w:lang w:val="en-US"/>
        </w:rPr>
        <w:t>1</w:t>
      </w:r>
      <w:r>
        <w:rPr>
          <w:rStyle w:val="None A"/>
          <w:rFonts w:ascii="Arial" w:hAnsi="Arial"/>
          <w:sz w:val="22"/>
          <w:szCs w:val="22"/>
          <w:rtl w:val="0"/>
          <w:lang w:val="en-US"/>
        </w:rPr>
        <w:t>, Leslie JL</w:t>
      </w:r>
      <w:r>
        <w:rPr>
          <w:rStyle w:val="None A"/>
          <w:rFonts w:ascii="Arial" w:hAnsi="Arial"/>
          <w:sz w:val="22"/>
          <w:szCs w:val="22"/>
          <w:vertAlign w:val="superscript"/>
          <w:rtl w:val="0"/>
          <w:lang w:val="en-US"/>
        </w:rPr>
        <w:t>1</w:t>
      </w:r>
      <w:r>
        <w:rPr>
          <w:rStyle w:val="None A"/>
          <w:rFonts w:ascii="Arial" w:hAnsi="Arial"/>
          <w:sz w:val="22"/>
          <w:szCs w:val="22"/>
          <w:rtl w:val="0"/>
          <w:lang w:val="en-US"/>
        </w:rPr>
        <w:t>, Young VB</w:t>
      </w:r>
      <w:r>
        <w:rPr>
          <w:rStyle w:val="None A"/>
          <w:rFonts w:ascii="Arial" w:hAnsi="Arial"/>
          <w:sz w:val="22"/>
          <w:szCs w:val="22"/>
          <w:vertAlign w:val="superscript"/>
          <w:rtl w:val="0"/>
          <w:lang w:val="en-US"/>
        </w:rPr>
        <w:t>1,2</w:t>
      </w:r>
      <w:r>
        <w:rPr>
          <w:rStyle w:val="None A"/>
          <w:rFonts w:ascii="Arial" w:hAnsi="Arial"/>
          <w:sz w:val="22"/>
          <w:szCs w:val="22"/>
          <w:rtl w:val="0"/>
          <w:lang w:val="en-US"/>
        </w:rPr>
        <w:t>, and Schloss PD</w:t>
      </w:r>
      <w:r>
        <w:rPr>
          <w:rStyle w:val="None A"/>
          <w:rFonts w:ascii="Arial" w:hAnsi="Arial"/>
          <w:sz w:val="22"/>
          <w:szCs w:val="22"/>
          <w:vertAlign w:val="superscript"/>
          <w:rtl w:val="0"/>
          <w:lang w:val="en-US"/>
        </w:rPr>
        <w:t>1</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Affiliations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2</w:t>
      </w:r>
      <w:bookmarkStart w:name="_DdeLink__1571_979451698" w:id="0"/>
      <w:r>
        <w:rPr>
          <w:rStyle w:val="None A"/>
          <w:rFonts w:ascii="Arial" w:hAnsi="Arial"/>
          <w:sz w:val="22"/>
          <w:szCs w:val="22"/>
          <w:rtl w:val="0"/>
          <w:lang w:val="en-US"/>
        </w:rPr>
        <w:t>. Department of Internal Medicine</w:t>
      </w:r>
      <w:bookmarkEnd w:id="0"/>
      <w:r>
        <w:rPr>
          <w:rStyle w:val="None A"/>
          <w:rFonts w:ascii="Arial" w:hAnsi="Arial"/>
          <w:sz w:val="22"/>
          <w:szCs w:val="22"/>
          <w:rtl w:val="0"/>
          <w:lang w:val="en-US"/>
        </w:rPr>
        <w:t>; University of Michigan Health System;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Abstract</w:t>
      </w:r>
    </w:p>
    <w:p>
      <w:pPr>
        <w:pStyle w:val="Default"/>
        <w:shd w:val="clear" w:color="auto" w:fill="ffffff"/>
        <w:spacing w:line="480" w:lineRule="auto"/>
        <w:jc w:val="both"/>
        <w:sectPr>
          <w:headerReference w:type="default" r:id="rId4"/>
          <w:footerReference w:type="default" r:id="rId5"/>
          <w:pgSz w:w="12240" w:h="15840" w:orient="portrait"/>
          <w:pgMar w:top="1134" w:right="1134" w:bottom="1134" w:left="1134" w:header="720" w:footer="720"/>
          <w:bidi w:val="1"/>
        </w:sectPr>
      </w:pPr>
      <w:r>
        <w:rPr>
          <w:rStyle w:val="None A"/>
          <w:rFonts w:ascii="Arial" w:cs="Arial" w:hAnsi="Arial" w:eastAsia="Arial"/>
          <w:sz w:val="22"/>
          <w:szCs w:val="22"/>
        </w:rPr>
        <w:tab/>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often increasing concentrations of several useable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this study, we orally challenged C57BL/6 mice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and demonstrated that it was able to colonize the ceca in three separate models of antibiotic induced susceptibility to the same high degree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CFU/g content) within 18 hours of inoculation. However, despite equal vegetative cell load at this time point, the levels of both spore and toxin production vary between each antibiotic treatment group. The expression of both phenotypes have both been linked to environmental concentrations of certain substrates, and this indicated possible differences in the nutrient niche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inhabits between susceptible gut conditions. To more closely investigate the specific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it colonizes the GI tract of mice, we performed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likely colonizes alternative nutrient niches across the environments it colonizes. In order to assess which aspects of the gut environment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The calculation incorporates both network topology and transcript abundance for enzymes within the model to infer the likelihood that a given substrate in acquired from the environment as opposed to being produced by the organism itself. Using this technique, we first validated the approach by confirming the most central nodes reflect known components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core metabolism. Applying the importance algorithm,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Furthermore, by employing liquid chromatography-mass spectrometry, we show that these substrates are significantly enriched in the conditions they were found to be most important by the network/transcript-based algorithm. This work has implications for elucidating specifics of the nutrient niche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and may lead to the discovery of targeted measures for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colonization prevention.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Introduction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colonization (Chen, 2008; Theriot, 2013; Schubert, 2015). Additionally, 18 hours after initially colonizing a cefoperazone treated mouse,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Building upon these results, others have shown that many of these antibiotic classes also alter the gut metabolome, increasing the concentrations of known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limitation of substrates it needs to grow. The ability of a healthy gut community to exclude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Style w:val="None A"/>
          <w:rFonts w:ascii="Arial" w:hAnsi="Arial"/>
          <w:sz w:val="22"/>
          <w:szCs w:val="22"/>
          <w:rtl w:val="0"/>
          <w:lang w:val="en-US"/>
        </w:rPr>
        <w:t xml:space="preserve">Based on its genome sequence and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characteristics,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appears to be able to fill multiple nutrient niches.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 A"/>
          <w:rFonts w:ascii="Arial" w:hAnsi="Arial"/>
          <w:i w:val="1"/>
          <w:iCs w:val="1"/>
          <w:sz w:val="22"/>
          <w:szCs w:val="22"/>
          <w:rtl w:val="0"/>
          <w:lang w:val="en-US"/>
        </w:rPr>
        <w:t>C. difficile</w:t>
      </w:r>
      <w:r>
        <w:rPr>
          <w:rStyle w:val="None A"/>
          <w:rFonts w:ascii="Arial" w:hAnsi="Arial" w:hint="default"/>
          <w:sz w:val="22"/>
          <w:szCs w:val="22"/>
          <w:rtl w:val="0"/>
          <w:lang w:val="en-US"/>
        </w:rPr>
        <w:t>’</w:t>
      </w:r>
      <w:r>
        <w:rPr>
          <w:rStyle w:val="None A"/>
          <w:rFonts w:ascii="Arial" w:hAnsi="Arial"/>
          <w:sz w:val="22"/>
          <w:szCs w:val="22"/>
          <w:rtl w:val="0"/>
          <w:lang w:val="en-US"/>
        </w:rPr>
        <w:t xml:space="preserve">s pathogenesis. For example,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Style w:val="None A"/>
          <w:rFonts w:ascii="Arial" w:cs="Arial" w:hAnsi="Arial" w:eastAsia="Arial"/>
          <w:sz w:val="22"/>
          <w:szCs w:val="22"/>
          <w:rtl w:val="0"/>
        </w:rPr>
        <w:tab/>
        <w:t xml:space="preserve">Previous transcriptomic studies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have mainly focused on transcription of virulence factors,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up-regulated several phosphotransferase systems (PTS) and ABC transporters in germ free mice, alluding to metabolic adaptation to nutrient availability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specifically and more closely exhibit echoes of metabolism, not currently active processes. In contrast to these methods,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transcriptomic analysis from conventionally-raised animals may provide unique insight into its active metabolic pathways in a more realistic model of infection. Integrating transcriptomic data with genome-scale metabolic modeling has previously aided in identifying the most active aspects of an organism</w:t>
      </w:r>
      <w:r>
        <w:rPr>
          <w:rStyle w:val="None A"/>
          <w:rFonts w:ascii="Arial" w:hAnsi="Arial" w:hint="default"/>
          <w:sz w:val="22"/>
          <w:szCs w:val="22"/>
          <w:rtl w:val="0"/>
          <w:lang w:val="en-US"/>
        </w:rPr>
        <w:t>’</w:t>
      </w:r>
      <w:r>
        <w:rPr>
          <w:rStyle w:val="None A"/>
          <w:rFonts w:ascii="Arial" w:hAnsi="Arial"/>
          <w:sz w:val="22"/>
          <w:szCs w:val="22"/>
          <w:rtl w:val="0"/>
          <w:lang w:val="en-US"/>
        </w:rPr>
        <w:t xml:space="preserve">s metabolism and which substrates are preferred by the organism (Patil, 2005; Borenstein, 2008; Suthers, 2009). Apply these methods to study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sectPr>
          <w:pgSz w:w="12240" w:h="15840" w:orient="portrait"/>
          <w:pgMar w:top="1134" w:right="1134" w:bottom="1134" w:left="1134" w:header="720" w:footer="720"/>
          <w:bidi w:val="1"/>
        </w:sectPr>
      </w:pPr>
      <w:r>
        <w:rPr>
          <w:rStyle w:val="None A"/>
          <w:rFonts w:ascii="Arial" w:hAnsi="Arial"/>
          <w:sz w:val="22"/>
          <w:szCs w:val="22"/>
          <w:rtl w:val="0"/>
          <w:lang w:val="en-US"/>
        </w:rPr>
        <w:t xml:space="preserve">Based on the ability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would encounter a unique subset of nutrients and competitors in each environment, which would necessitate distinct adaptive responses. To determine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expression data. In each of the three antibiotic conditions we challenged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well as in germ free mice, we observed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altered its metabolic gene expression to colonize to high levels and produce varied amounts of toxin.</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Results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Levels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sporulation and toxin activity vary between germ free and conventionally-raised mice.</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Due to the connection between metabolism and sporulation and toxin production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(all </w:t>
      </w:r>
      <w:r>
        <w:rPr>
          <w:rStyle w:val="None A"/>
          <w:rFonts w:ascii="Arial" w:hAnsi="Arial"/>
          <w:i w:val="1"/>
          <w:iCs w:val="1"/>
          <w:sz w:val="22"/>
          <w:szCs w:val="22"/>
          <w:rtl w:val="0"/>
          <w:lang w:val="en-US"/>
        </w:rPr>
        <w:t>p</w:t>
      </w:r>
      <w:r>
        <w:rPr>
          <w:rStyle w:val="None A"/>
          <w:rFonts w:ascii="Arial" w:hAnsi="Arial"/>
          <w:sz w:val="22"/>
          <w:szCs w:val="22"/>
          <w:rtl w:val="0"/>
          <w:lang w:val="en-US"/>
        </w:rPr>
        <w:t>-values &lt; 0.05; Fig. 2A). All antibiotic treated and gnotobiotic animals were colonized to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CFU/g content, while untreated conventionally-raised mice maintained colonization resistance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Despite having the same number of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cells, large differences were detected in the density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Significantly more spores (all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(all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colonize different communities to a consistently high level, but that the density of spores and toxin titer varied by treatment. High levels of both spores and toxin titer in gnotobiotic mice is most likely due to temporal changes in infection dynamics when no other bacteria are present. Because of this, we chose to focus our analysis on the antibiotic-treated conventionally-raised mice.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adapts expression </w:t>
      </w:r>
      <w:r>
        <w:rPr>
          <w:rStyle w:val="None A"/>
          <w:rFonts w:ascii="Arial" w:hAnsi="Arial"/>
          <w:b w:val="1"/>
          <w:bCs w:val="1"/>
          <w:sz w:val="22"/>
          <w:szCs w:val="22"/>
          <w:rtl w:val="0"/>
          <w:lang w:val="en-US"/>
        </w:rPr>
        <w:t xml:space="preserve">of </w:t>
      </w:r>
      <w:r>
        <w:rPr>
          <w:rStyle w:val="None A"/>
          <w:rFonts w:ascii="Arial" w:hAnsi="Arial"/>
          <w:b w:val="1"/>
          <w:bCs w:val="1"/>
          <w:sz w:val="22"/>
          <w:szCs w:val="22"/>
          <w:rtl w:val="0"/>
          <w:lang w:val="en-US"/>
        </w:rPr>
        <w:t>genes for key sigma factors controlling metabolism and pathogenesis across antibiotic pretreatments.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more closely investigate the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colonizing distinct susceptible gut environments, we performed whole transcriptome analysis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of the antibiotic pretreatment models. To narrow our analysis of the transcriptomic data, we chose to focus on genes that code for sigma factors, sporulation, pathogenesis, and quorum sensing.</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sigma factors are the master regulators of transcription and a subset have been shown to respond to environmental nutrient concentrations (Antunes, 2012; Fimlaid, 2013; Bouillaut, 2015; Donnelly, 2016). The global nutritional regulator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transcript was highly expressed in each condition, despite apparent differences in toxin and spore production (Fig. 3A). Canonically,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is a strong negative regulator of toxin production and sporulation and could demonstrate a more complex regulatory network as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integrates multiple environment nutrient signals. Save for a few instances, it appeared that expression the sigma factors of interest were generally higher in cefoperazone-treated animals. The largest contrasts were seen in expression of </w:t>
      </w:r>
      <w:r>
        <w:rPr>
          <w:rStyle w:val="None A"/>
          <w:rFonts w:ascii="Arial" w:hAnsi="Arial"/>
          <w:i w:val="1"/>
          <w:iCs w:val="1"/>
          <w:sz w:val="22"/>
          <w:szCs w:val="22"/>
          <w:rtl w:val="0"/>
          <w:lang w:val="en-US"/>
        </w:rPr>
        <w:t>sigE</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sigG</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sigK, which are involved in sporulation and </w:t>
      </w:r>
      <w:r>
        <w:rPr>
          <w:rStyle w:val="None A"/>
          <w:rFonts w:ascii="Arial" w:hAnsi="Arial"/>
          <w:sz w:val="22"/>
          <w:szCs w:val="22"/>
          <w:rtl w:val="0"/>
          <w:lang w:val="en-US"/>
        </w:rPr>
        <w:t>were approximately 10-fold less expressed in cefoperazone than the others. This agrees with the measured differences in CFU due to spores (Fig. 2B) where cefoperazone pretreatment resulted in delayed sporulation.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further investigate the discrepancies in sporulation, we chose to quantify specific changes in expression within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(Fig. 3B). The gene list was derived from Saujet et. al., 2014 where the authors reviewed the complex cascade of regulation that occurs as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completes the steps of sporulation. The resulting profiles further support regulation differences across environments in which the pathogen has colonized. A striking difference was that in Cefoperzone treated animals,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highly expresses a number of putative anti-sigma factors including </w:t>
      </w:r>
      <w:r>
        <w:rPr>
          <w:rStyle w:val="None A"/>
          <w:rFonts w:ascii="Arial" w:hAnsi="Arial"/>
          <w:i w:val="1"/>
          <w:iCs w:val="1"/>
          <w:sz w:val="22"/>
          <w:szCs w:val="22"/>
          <w:rtl w:val="0"/>
          <w:lang w:val="en-US"/>
        </w:rPr>
        <w:t>spoIIAA,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spoIIAB,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spoVG</w:t>
      </w:r>
      <w:r>
        <w:rPr>
          <w:rStyle w:val="None A"/>
          <w:rFonts w:ascii="Arial" w:hAnsi="Arial"/>
          <w:sz w:val="22"/>
          <w:szCs w:val="22"/>
          <w:rtl w:val="0"/>
          <w:lang w:val="en-US"/>
        </w:rPr>
        <w:t xml:space="preserve"> involved in suppressing other sporulation-related gene expression (Matsuno, 1999). This pattern was not seen in either Streptomycin or Clindamycin pretreatments, possibly explaining the observed differences in spore CFU. Instead, these conditions induced expression of genes for spore coat components, coat assembly, and spore morphogenesis (including </w:t>
      </w:r>
      <w:r>
        <w:rPr>
          <w:rStyle w:val="None A"/>
          <w:rFonts w:ascii="Arial" w:hAnsi="Arial"/>
          <w:i w:val="1"/>
          <w:iCs w:val="1"/>
          <w:sz w:val="22"/>
          <w:szCs w:val="22"/>
          <w:rtl w:val="0"/>
          <w:lang w:val="en-US"/>
        </w:rPr>
        <w:t>cotD</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cotJB2</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dpaA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gpr</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sodA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spoIVA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sspB</w:t>
      </w:r>
      <w:r>
        <w:rPr>
          <w:rStyle w:val="None A"/>
          <w:rFonts w:ascii="Arial" w:hAnsi="Arial"/>
          <w:sz w:val="22"/>
          <w:szCs w:val="22"/>
          <w:rtl w:val="0"/>
          <w:lang w:val="en-US"/>
        </w:rPr>
        <w:t xml:space="preserve">), all associated with later sporulation stages (Permpoonpattan, 2013). These results further reinforce the connections previously made to the differences seen in spore-specific CFU quantification. Along with sporulation, expression of PaLoc genes has been linked to changes in the nutrients that can be found in the environment of </w:t>
      </w:r>
      <w:r>
        <w:rPr>
          <w:rStyle w:val="None A"/>
          <w:rFonts w:ascii="Arial" w:hAnsi="Arial"/>
          <w:i w:val="1"/>
          <w:iCs w:val="1"/>
          <w:sz w:val="22"/>
          <w:szCs w:val="22"/>
          <w:rtl w:val="0"/>
          <w:lang w:val="en-US"/>
        </w:rPr>
        <w:t>C. difficil</w:t>
      </w:r>
      <w:r>
        <w:rPr>
          <w:rStyle w:val="None A"/>
          <w:rFonts w:ascii="Arial" w:hAnsi="Arial"/>
          <w:sz w:val="22"/>
          <w:szCs w:val="22"/>
          <w:rtl w:val="0"/>
          <w:lang w:val="en-US"/>
        </w:rPr>
        <w:t xml:space="preserve">e (Fig. 3C). We found approximately 3-fold higher expression of the toxin A gene, </w:t>
      </w:r>
      <w:r>
        <w:rPr>
          <w:rStyle w:val="None A"/>
          <w:rFonts w:ascii="Arial" w:hAnsi="Arial"/>
          <w:i w:val="1"/>
          <w:iCs w:val="1"/>
          <w:sz w:val="22"/>
          <w:szCs w:val="22"/>
          <w:rtl w:val="0"/>
          <w:lang w:val="en-US"/>
        </w:rPr>
        <w:t>tcdA</w:t>
      </w:r>
      <w:r>
        <w:rPr>
          <w:rStyle w:val="None A"/>
          <w:rFonts w:ascii="Arial" w:hAnsi="Arial"/>
          <w:sz w:val="22"/>
          <w:szCs w:val="22"/>
          <w:rtl w:val="0"/>
          <w:lang w:val="en-US"/>
        </w:rPr>
        <w:t xml:space="preserve">, than the toxin B gene, </w:t>
      </w:r>
      <w:r>
        <w:rPr>
          <w:rStyle w:val="None A"/>
          <w:rFonts w:ascii="Arial" w:hAnsi="Arial"/>
          <w:i w:val="1"/>
          <w:iCs w:val="1"/>
          <w:sz w:val="22"/>
          <w:szCs w:val="22"/>
          <w:rtl w:val="0"/>
          <w:lang w:val="en-US"/>
        </w:rPr>
        <w:t>tcdB</w:t>
      </w:r>
      <w:r>
        <w:rPr>
          <w:rStyle w:val="None A"/>
          <w:rFonts w:ascii="Arial" w:hAnsi="Arial"/>
          <w:sz w:val="22"/>
          <w:szCs w:val="22"/>
          <w:rtl w:val="0"/>
          <w:lang w:val="en-US"/>
        </w:rPr>
        <w:t xml:space="preserve">, across all pretreatments. This relationship has long been known to exist at least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with another strain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 Additionally, we found large differences in the regulation factors most associated with toxin production,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(negatively regulating anti-sigma factor) and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(positive regulating sigma factor) (Carter, 2012). Between both genes, only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transcript was detectable at 10-fold greater abundance than that of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across all groups. This was interesting as toxin activity was detectable in each condition, but only the negative regulator of toxin expression was seen implying a more complex regulation of toxin production than this mechanism alone. Finally </w:t>
      </w:r>
      <w:r>
        <w:rPr>
          <w:rStyle w:val="None A"/>
          <w:rFonts w:ascii="Arial" w:hAnsi="Arial"/>
          <w:i w:val="1"/>
          <w:iCs w:val="1"/>
          <w:sz w:val="22"/>
          <w:szCs w:val="22"/>
          <w:rtl w:val="0"/>
          <w:lang w:val="en-US"/>
        </w:rPr>
        <w:t>tcdE</w:t>
      </w:r>
      <w:r>
        <w:rPr>
          <w:rStyle w:val="None A"/>
          <w:rFonts w:ascii="Arial" w:hAnsi="Arial"/>
          <w:sz w:val="22"/>
          <w:szCs w:val="22"/>
          <w:rtl w:val="0"/>
          <w:lang w:val="en-US"/>
        </w:rPr>
        <w:t xml:space="preserve">, the gene for a holin-like protein associated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toxin secretion, was only detectable in cefoperazone pretreatment.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Genes sets from multiple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the context of similar colonization, spore, and toxin levels, differential expression of genes for sigma factors and sporulation suggest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adapting to environmental nutrient concentrations. To test this further, we identified gene sets based on established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quantified the differential expression of genes in each gene set (Fig. 2). Although we observed overlap in the levels of expression of metabolic gene-sets, the largest differences were observed in carbohydrate metabolism. Among the genes classified as sugar transporters, those that are PTS transporters (Fig. 4H) were overrepresented in the clinda and strep-treated mice and ABC sugar transporters (Fig. 4I) were overrepresented in the cef-treated mice. Further differences in carbohydrate metabolism were visible when comparing the polysaccharide catabolism expression set (Fig. 4D) with genes associated with beta-glucoside utilization locus (</w:t>
      </w:r>
      <w:r>
        <w:rPr>
          <w:rStyle w:val="None A"/>
          <w:rFonts w:ascii="Arial" w:hAnsi="Arial"/>
          <w:i w:val="1"/>
          <w:iCs w:val="1"/>
          <w:sz w:val="22"/>
          <w:szCs w:val="22"/>
          <w:rtl w:val="0"/>
          <w:lang w:val="en-US"/>
        </w:rPr>
        <w:t>bgl</w:t>
      </w:r>
      <w:r>
        <w:rPr>
          <w:rStyle w:val="None A"/>
          <w:rFonts w:ascii="Arial" w:hAnsi="Arial"/>
          <w:sz w:val="22"/>
          <w:szCs w:val="22"/>
          <w:rtl w:val="0"/>
          <w:lang w:val="en-US"/>
        </w:rPr>
        <w:t xml:space="preserve"> operon), canonically linked with salicin or arbutin metabolism being overrepresented in the clindamycin-treated mice. Sugar alcohol catabolism genes were absent from clindamycin-treated mice and expression of genes for mannitol utilization (</w:t>
      </w:r>
      <w:r>
        <w:rPr>
          <w:rStyle w:val="None A"/>
          <w:rFonts w:ascii="Arial" w:hAnsi="Arial"/>
          <w:i w:val="1"/>
          <w:iCs w:val="1"/>
          <w:sz w:val="22"/>
          <w:szCs w:val="22"/>
          <w:rtl w:val="0"/>
          <w:lang w:val="en-US"/>
        </w:rPr>
        <w:t>mtl</w:t>
      </w:r>
      <w:r>
        <w:rPr>
          <w:rStyle w:val="None A"/>
          <w:rFonts w:ascii="Arial" w:hAnsi="Arial"/>
          <w:sz w:val="22"/>
          <w:szCs w:val="22"/>
          <w:rtl w:val="0"/>
          <w:lang w:val="en-US"/>
        </w:rPr>
        <w:t xml:space="preserve"> operon) were overrepresented in cefoparazone-treated mice and expression of genes for sorbitol utilization (</w:t>
      </w:r>
      <w:r>
        <w:rPr>
          <w:rStyle w:val="None A"/>
          <w:rFonts w:ascii="Arial" w:hAnsi="Arial"/>
          <w:i w:val="1"/>
          <w:iCs w:val="1"/>
          <w:sz w:val="22"/>
          <w:szCs w:val="22"/>
          <w:rtl w:val="0"/>
          <w:lang w:val="en-US"/>
        </w:rPr>
        <w:t>srl</w:t>
      </w:r>
      <w:r>
        <w:rPr>
          <w:rStyle w:val="None A"/>
          <w:rFonts w:ascii="Arial" w:hAnsi="Arial"/>
          <w:sz w:val="22"/>
          <w:szCs w:val="22"/>
          <w:rtl w:val="0"/>
          <w:lang w:val="en-US"/>
        </w:rPr>
        <w:t xml:space="preserve"> operon) were overrepresented in streptomycin-treated mice. Conversely, the expression of genes associated with amino acid catabolism were consistently expressed at relatively equal levels across the conditions (Fig. 4F). Short chain fatty acids (SCFAs) are the product of both amino acid and carbohydrate fermentation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Gene for XXXX were overrepresented in clindamycin-treated mice, while a gene for XXXX was not expressed in clindamycin-treated mice. Overall, these results support the hypothesis that C. difficile is able to adapt its metabolism to fit the nutrients present in different susceptible environments.</w:t>
      </w:r>
    </w:p>
    <w:p>
      <w:pPr>
        <w:pStyle w:val="Default"/>
        <w:shd w:val="clear" w:color="auto" w:fill="ffffff"/>
        <w:spacing w:line="480" w:lineRule="auto"/>
        <w:rPr>
          <w:rStyle w:val="None A"/>
          <w:rFonts w:ascii="Arial" w:cs="Arial" w:hAnsi="Arial" w:eastAsia="Arial"/>
          <w:sz w:val="22"/>
          <w:szCs w:val="22"/>
        </w:rPr>
      </w:pPr>
      <w:r>
        <w:rPr>
          <w:rStyle w:val="None A"/>
          <w:rFonts w:ascii="Arial" w:hAnsi="Arial"/>
          <w:sz w:val="22"/>
          <w:szCs w:val="22"/>
          <w:rtl w:val="0"/>
          <w:lang w:val="en-US"/>
        </w:rPr>
        <w:t>cdf:CD630_03340</w:t>
        <w:tab/>
        <w:t>adhE; bifunctional acetaldehyde-CoA/alcohol dehydrogenase</w:t>
      </w:r>
    </w:p>
    <w:p>
      <w:pPr>
        <w:pStyle w:val="Default"/>
        <w:shd w:val="clear" w:color="auto" w:fill="ffffff"/>
        <w:spacing w:line="480" w:lineRule="auto"/>
        <w:rPr>
          <w:rStyle w:val="None A"/>
          <w:rFonts w:ascii="Arial" w:cs="Arial" w:hAnsi="Arial" w:eastAsia="Arial"/>
          <w:sz w:val="22"/>
          <w:szCs w:val="22"/>
        </w:rPr>
      </w:pPr>
      <w:r>
        <w:rPr>
          <w:rStyle w:val="None A"/>
          <w:rFonts w:ascii="Arial" w:hAnsi="Arial"/>
          <w:sz w:val="22"/>
          <w:szCs w:val="22"/>
          <w:rtl w:val="0"/>
          <w:lang w:val="en-US"/>
        </w:rPr>
        <w:t>cdf:CD630_24250</w:t>
        <w:tab/>
        <w:t>ptb; phosphate butyryltransferase</w:t>
      </w:r>
    </w:p>
    <w:p>
      <w:pPr>
        <w:pStyle w:val="Default"/>
        <w:shd w:val="clear" w:color="auto" w:fill="ffffff"/>
        <w:spacing w:line="480" w:lineRule="auto"/>
        <w:rPr>
          <w:rStyle w:val="None A"/>
          <w:rFonts w:ascii="Arial" w:cs="Arial" w:hAnsi="Arial" w:eastAsia="Arial"/>
          <w:sz w:val="22"/>
          <w:szCs w:val="22"/>
        </w:rPr>
      </w:pPr>
      <w:r>
        <w:rPr>
          <w:rStyle w:val="None A"/>
          <w:rFonts w:ascii="Arial" w:hAnsi="Arial"/>
          <w:sz w:val="22"/>
          <w:szCs w:val="22"/>
          <w:rtl w:val="0"/>
          <w:lang w:val="en-US"/>
        </w:rPr>
        <w:t>cdf:CD630_24260</w:t>
        <w:tab/>
        <w:t>buk1; butyrate kinase</w:t>
      </w:r>
    </w:p>
    <w:p>
      <w:pPr>
        <w:pStyle w:val="Default"/>
        <w:shd w:val="clear" w:color="auto" w:fill="ffffff"/>
        <w:spacing w:line="480" w:lineRule="auto"/>
        <w:rPr>
          <w:rStyle w:val="None A"/>
          <w:rFonts w:ascii="Arial" w:cs="Arial" w:hAnsi="Arial" w:eastAsia="Arial"/>
          <w:sz w:val="22"/>
          <w:szCs w:val="22"/>
        </w:rPr>
      </w:pPr>
      <w:r>
        <w:rPr>
          <w:rStyle w:val="None A"/>
          <w:rFonts w:ascii="Arial" w:hAnsi="Arial"/>
          <w:sz w:val="22"/>
          <w:szCs w:val="22"/>
          <w:rtl w:val="0"/>
          <w:lang w:val="en-US"/>
        </w:rPr>
        <w:t>cdf:CD630_01550</w:t>
        <w:tab/>
        <w:t>4-hydroxyphenylacetate decarboxylase, activating subunit HpdA</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trike w:val="0"/>
          <w:dstrike w:val="0"/>
          <w:sz w:val="22"/>
          <w:szCs w:val="22"/>
        </w:rPr>
      </w:pPr>
      <w:r>
        <w:rPr>
          <w:rStyle w:val="None A"/>
          <w:rFonts w:ascii="Arial" w:hAnsi="Arial"/>
          <w:strike w:val="0"/>
          <w:dstrike w:val="0"/>
          <w:sz w:val="22"/>
          <w:szCs w:val="22"/>
          <w:rtl w:val="0"/>
          <w:lang w:val="en-US"/>
        </w:rPr>
        <w:t>These points all trend toward the center of the plotting area and show no apparent differences between any treatment group. This gene category includes those enzymes involved in Stickland fermentation (</w:t>
      </w:r>
      <w:r>
        <w:rPr>
          <w:rStyle w:val="None A"/>
          <w:rFonts w:ascii="Arial" w:hAnsi="Arial"/>
          <w:i w:val="1"/>
          <w:iCs w:val="1"/>
          <w:strike w:val="0"/>
          <w:dstrike w:val="0"/>
          <w:sz w:val="22"/>
          <w:szCs w:val="22"/>
          <w:rtl w:val="0"/>
          <w:lang w:val="en-US"/>
        </w:rPr>
        <w:t>arg</w:t>
      </w:r>
      <w:r>
        <w:rPr>
          <w:rStyle w:val="None A"/>
          <w:rFonts w:ascii="Arial" w:hAnsi="Arial"/>
          <w:strike w:val="0"/>
          <w:dstrike w:val="0"/>
          <w:sz w:val="22"/>
          <w:szCs w:val="22"/>
          <w:rtl w:val="0"/>
          <w:lang w:val="en-US"/>
        </w:rPr>
        <w:t xml:space="preserve">, </w:t>
      </w:r>
      <w:r>
        <w:rPr>
          <w:rStyle w:val="None A"/>
          <w:rFonts w:ascii="Arial" w:hAnsi="Arial"/>
          <w:i w:val="1"/>
          <w:iCs w:val="1"/>
          <w:strike w:val="0"/>
          <w:dstrike w:val="0"/>
          <w:sz w:val="22"/>
          <w:szCs w:val="22"/>
          <w:rtl w:val="0"/>
          <w:lang w:val="en-US"/>
        </w:rPr>
        <w:t>fdh</w:t>
      </w:r>
      <w:r>
        <w:rPr>
          <w:rStyle w:val="None A"/>
          <w:rFonts w:ascii="Arial" w:hAnsi="Arial"/>
          <w:strike w:val="0"/>
          <w:dstrike w:val="0"/>
          <w:sz w:val="22"/>
          <w:szCs w:val="22"/>
          <w:rtl w:val="0"/>
          <w:lang w:val="en-US"/>
        </w:rPr>
        <w:t xml:space="preserve">, </w:t>
      </w:r>
      <w:r>
        <w:rPr>
          <w:rStyle w:val="None A"/>
          <w:rFonts w:ascii="Arial" w:hAnsi="Arial"/>
          <w:i w:val="1"/>
          <w:iCs w:val="1"/>
          <w:strike w:val="0"/>
          <w:dstrike w:val="0"/>
          <w:sz w:val="22"/>
          <w:szCs w:val="22"/>
          <w:rtl w:val="0"/>
          <w:lang w:val="en-US"/>
        </w:rPr>
        <w:t>grd</w:t>
      </w:r>
      <w:r>
        <w:rPr>
          <w:rStyle w:val="None A"/>
          <w:rFonts w:ascii="Arial" w:hAnsi="Arial"/>
          <w:strike w:val="0"/>
          <w:dstrike w:val="0"/>
          <w:sz w:val="22"/>
          <w:szCs w:val="22"/>
          <w:rtl w:val="0"/>
          <w:lang w:val="en-US"/>
        </w:rPr>
        <w:t xml:space="preserve">, </w:t>
      </w:r>
      <w:r>
        <w:rPr>
          <w:rStyle w:val="None A"/>
          <w:rFonts w:ascii="Arial" w:hAnsi="Arial"/>
          <w:i w:val="1"/>
          <w:iCs w:val="1"/>
          <w:strike w:val="0"/>
          <w:dstrike w:val="0"/>
          <w:sz w:val="22"/>
          <w:szCs w:val="22"/>
          <w:rtl w:val="0"/>
          <w:lang w:val="en-US"/>
        </w:rPr>
        <w:t>had</w:t>
      </w:r>
      <w:r>
        <w:rPr>
          <w:rStyle w:val="None A"/>
          <w:rFonts w:ascii="Arial" w:hAnsi="Arial"/>
          <w:strike w:val="0"/>
          <w:dstrike w:val="0"/>
          <w:sz w:val="22"/>
          <w:szCs w:val="22"/>
          <w:rtl w:val="0"/>
          <w:lang w:val="en-US"/>
        </w:rPr>
        <w:t>,</w:t>
      </w:r>
      <w:r>
        <w:rPr>
          <w:rStyle w:val="None A"/>
          <w:rFonts w:ascii="Arial" w:hAnsi="Arial"/>
          <w:i w:val="1"/>
          <w:iCs w:val="1"/>
          <w:strike w:val="0"/>
          <w:dstrike w:val="0"/>
          <w:sz w:val="22"/>
          <w:szCs w:val="22"/>
          <w:rtl w:val="0"/>
          <w:lang w:val="en-US"/>
        </w:rPr>
        <w:t xml:space="preserve"> </w:t>
      </w:r>
      <w:r>
        <w:rPr>
          <w:rStyle w:val="None A"/>
          <w:rFonts w:ascii="Arial" w:hAnsi="Arial"/>
          <w:strike w:val="0"/>
          <w:dstrike w:val="0"/>
          <w:sz w:val="22"/>
          <w:szCs w:val="22"/>
          <w:rtl w:val="0"/>
          <w:lang w:val="en-US"/>
        </w:rPr>
        <w:t xml:space="preserve">and </w:t>
      </w:r>
      <w:r>
        <w:rPr>
          <w:rStyle w:val="None A"/>
          <w:rFonts w:ascii="Arial" w:hAnsi="Arial"/>
          <w:i w:val="1"/>
          <w:iCs w:val="1"/>
          <w:strike w:val="0"/>
          <w:dstrike w:val="0"/>
          <w:sz w:val="22"/>
          <w:szCs w:val="22"/>
          <w:rtl w:val="0"/>
          <w:lang w:val="en-US"/>
        </w:rPr>
        <w:t xml:space="preserve">prd </w:t>
      </w:r>
      <w:r>
        <w:rPr>
          <w:rStyle w:val="None A"/>
          <w:rFonts w:ascii="Arial" w:hAnsi="Arial"/>
          <w:strike w:val="0"/>
          <w:dstrike w:val="0"/>
          <w:sz w:val="22"/>
          <w:szCs w:val="22"/>
          <w:rtl w:val="0"/>
          <w:lang w:val="en-US"/>
        </w:rPr>
        <w:t>operons) as well as several general peptidases (</w:t>
      </w:r>
      <w:r>
        <w:rPr>
          <w:rStyle w:val="None A"/>
          <w:rFonts w:ascii="Arial" w:hAnsi="Arial"/>
          <w:i w:val="1"/>
          <w:iCs w:val="1"/>
          <w:strike w:val="0"/>
          <w:dstrike w:val="0"/>
          <w:sz w:val="22"/>
          <w:szCs w:val="22"/>
          <w:rtl w:val="0"/>
          <w:lang w:val="en-US"/>
        </w:rPr>
        <w:t>pep</w:t>
      </w:r>
      <w:r>
        <w:rPr>
          <w:rStyle w:val="None A"/>
          <w:rFonts w:ascii="Arial" w:hAnsi="Arial"/>
          <w:strike w:val="0"/>
          <w:dstrike w:val="0"/>
          <w:sz w:val="22"/>
          <w:szCs w:val="22"/>
          <w:rtl w:val="0"/>
          <w:lang w:val="en-US"/>
        </w:rPr>
        <w:t xml:space="preserve"> family). The known Stickland fermentation pathway in </w:t>
      </w:r>
      <w:r>
        <w:rPr>
          <w:rStyle w:val="None A"/>
          <w:rFonts w:ascii="Arial" w:hAnsi="Arial"/>
          <w:i w:val="1"/>
          <w:iCs w:val="1"/>
          <w:strike w:val="0"/>
          <w:dstrike w:val="0"/>
          <w:sz w:val="22"/>
          <w:szCs w:val="22"/>
          <w:rtl w:val="0"/>
          <w:lang w:val="en-US"/>
        </w:rPr>
        <w:t>C. difficile</w:t>
      </w:r>
      <w:r>
        <w:rPr>
          <w:rStyle w:val="None A"/>
          <w:rFonts w:ascii="Arial" w:hAnsi="Arial"/>
          <w:strike w:val="0"/>
          <w:dstrike w:val="0"/>
          <w:sz w:val="22"/>
          <w:szCs w:val="22"/>
          <w:rtl w:val="0"/>
          <w:lang w:val="en-US"/>
        </w:rPr>
        <w:t xml:space="preserve"> couples the oxidation and reduction of proline an glycine to generate ATP (Neumann-Schaal, 2015). Transcription of specifically the </w:t>
      </w:r>
      <w:r>
        <w:rPr>
          <w:rStyle w:val="None A"/>
          <w:rFonts w:ascii="Arial" w:hAnsi="Arial"/>
          <w:i w:val="1"/>
          <w:iCs w:val="1"/>
          <w:strike w:val="0"/>
          <w:dstrike w:val="0"/>
          <w:sz w:val="22"/>
          <w:szCs w:val="22"/>
          <w:rtl w:val="0"/>
          <w:lang w:val="en-US"/>
        </w:rPr>
        <w:t>grd</w:t>
      </w:r>
      <w:r>
        <w:rPr>
          <w:rStyle w:val="None A"/>
          <w:rFonts w:ascii="Arial" w:hAnsi="Arial"/>
          <w:strike w:val="0"/>
          <w:dstrike w:val="0"/>
          <w:sz w:val="22"/>
          <w:szCs w:val="22"/>
          <w:rtl w:val="0"/>
          <w:lang w:val="en-US"/>
        </w:rPr>
        <w:t xml:space="preserve"> and </w:t>
      </w:r>
      <w:r>
        <w:rPr>
          <w:rStyle w:val="None A"/>
          <w:rFonts w:ascii="Arial" w:hAnsi="Arial"/>
          <w:i w:val="1"/>
          <w:iCs w:val="1"/>
          <w:strike w:val="0"/>
          <w:dstrike w:val="0"/>
          <w:sz w:val="22"/>
          <w:szCs w:val="22"/>
          <w:rtl w:val="0"/>
          <w:lang w:val="en-US"/>
        </w:rPr>
        <w:t>prd</w:t>
      </w:r>
      <w:r>
        <w:rPr>
          <w:rStyle w:val="None A"/>
          <w:rFonts w:ascii="Arial" w:hAnsi="Arial"/>
          <w:strike w:val="0"/>
          <w:dstrike w:val="0"/>
          <w:sz w:val="22"/>
          <w:szCs w:val="22"/>
          <w:rtl w:val="0"/>
          <w:lang w:val="en-US"/>
        </w:rPr>
        <w:t xml:space="preserve"> operons indicates that both proline and glycine are present and the associated metabolic pathways have most likely been activated (Bouillaut, 2013). This suggests that the catabolism of environmental amino acids may be  a central part of the metabolism of </w:t>
      </w:r>
      <w:r>
        <w:rPr>
          <w:rStyle w:val="None A"/>
          <w:rFonts w:ascii="Arial" w:hAnsi="Arial"/>
          <w:i w:val="1"/>
          <w:iCs w:val="1"/>
          <w:strike w:val="0"/>
          <w:dstrike w:val="0"/>
          <w:sz w:val="22"/>
          <w:szCs w:val="22"/>
          <w:rtl w:val="0"/>
          <w:lang w:val="en-US"/>
        </w:rPr>
        <w:t>C. difficile</w:t>
      </w:r>
      <w:r>
        <w:rPr>
          <w:rStyle w:val="None A"/>
          <w:rFonts w:ascii="Arial" w:hAnsi="Arial"/>
          <w:strike w:val="0"/>
          <w:dstrike w:val="0"/>
          <w:sz w:val="22"/>
          <w:szCs w:val="22"/>
          <w:rtl w:val="0"/>
          <w:lang w:val="en-US"/>
        </w:rPr>
        <w:t xml:space="preserve"> str. 630 during infection.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trike w:val="0"/>
          <w:dstrike w:val="0"/>
          <w:sz w:val="22"/>
          <w:szCs w:val="22"/>
        </w:rPr>
      </w:pPr>
      <w:r>
        <w:rPr>
          <w:rStyle w:val="None A"/>
          <w:rFonts w:ascii="Arial" w:hAnsi="Arial"/>
          <w:strike w:val="0"/>
          <w:dstrike w:val="0"/>
          <w:sz w:val="22"/>
          <w:szCs w:val="22"/>
          <w:rtl w:val="0"/>
          <w:lang w:val="en-US"/>
        </w:rPr>
        <w:t xml:space="preserve">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models underscore known bacterial metabolism and reveal adaptive nutritional strategies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during infection.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Many enzymes encoded in an organism's genome mediate known biochemical reactions with input and output substrates inside the cell. These reactions can be organized into a web of substrates flowing between enzymes, modeled as a directed network of metabolism. In this instance we represented the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as bipartite graph, where enzyme nodes only connect to substrate nodes and vice versa (Fig. 5A), using publicly-available gene content information from the Kyoto Encyclopedia of Genes and Genomes (KEGG). Examining the topology of a genome-scale metabolic graph can provide information about how well the architecture reflects known biology for the organism of interest. This is especially important when assembly of the graph is unsupervised and depends on the strength of the gene annotation used. This could potentially lead to incomplete connectedness of the network and result in a poor reflection of an organism's actual biology. Therefore, we calculated Betweenness</w:t>
      </w:r>
      <w:r>
        <w:rPr>
          <w:rStyle w:val="None A"/>
          <w:rFonts w:ascii="Arial" w:hAnsi="Arial"/>
          <w:sz w:val="22"/>
          <w:szCs w:val="22"/>
          <w:rtl w:val="0"/>
          <w:lang w:val="en-US"/>
        </w:rPr>
        <w:t xml:space="preserve"> </w:t>
      </w:r>
      <w:r>
        <w:rPr>
          <w:rStyle w:val="None A"/>
          <w:rFonts w:ascii="Arial" w:hAnsi="Arial"/>
          <w:sz w:val="22"/>
          <w:szCs w:val="22"/>
          <w:rtl w:val="0"/>
          <w:lang w:val="en-US"/>
        </w:rPr>
        <w:t xml:space="preserve">centrality for all enzyme and substrate nodes in the bipartite metabolic </w:t>
      </w:r>
      <w:r>
        <w:rPr>
          <w:rStyle w:val="None A"/>
          <w:rFonts w:ascii="Arial" w:hAnsi="Arial"/>
          <w:sz w:val="22"/>
          <w:szCs w:val="22"/>
          <w:rtl w:val="0"/>
          <w:lang w:val="en-US"/>
        </w:rPr>
        <w:t>network</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generated for this study (Table S3). This metric is the amount of influence a given node has on transfer through the directed network, which in biological terms reflects the substrates and functionalities that are most critical to the overall metabolism of the organism. Enzymes scoring highly include pyruvate kinase, 1-deoxy-D-xylulose-5-phosphate synthase, and transketolase while substrates with the highest scores included pyruvate, acetyl-CoA, and D-glyceraldehyde 3-phosphate. For both enzymes and substrates, these nodes are known to be involved in numerous central pathways including glycolysis, the citric acid cycle, and amino acid biosynthesis which are all critical to life for most free-living bacteria. </w:t>
      </w:r>
    </w:p>
    <w:p>
      <w:pPr>
        <w:pStyle w:val="Default"/>
        <w:shd w:val="clear" w:color="auto" w:fill="ffffff"/>
        <w:spacing w:line="480" w:lineRule="auto"/>
        <w:jc w:val="both"/>
      </w:pPr>
      <w:r>
        <w:rPr>
          <w:rStyle w:val="None A"/>
          <w:rFonts w:ascii="Arial" w:cs="Arial" w:hAnsi="Arial" w:eastAsia="Arial"/>
          <w:sz w:val="22"/>
          <w:szCs w:val="22"/>
          <w:rtl w:val="0"/>
        </w:rPr>
        <w:tab/>
        <w:t xml:space="preserve">While traditional transcriptomic approaches are informative for identifying active pathways to highlight potential catabolism for families of substrates, it does not directly highlight specific nutrients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may be using at a given time. With this in mind, we developed a novel approach employing the previously generated metabolic network and transcript abundances to infer which substrates are the mostly likely to be used by the bacterium at a given time (Fig. 5A). This is done in order to understand the relative importance of substrate nodes based on local enzyme transcription. Furthermore, we applied a Monte-Carlo simulation style transcript assignment randomization in create a comparator for each substrate's computed importance score. Applying this method, we extracted the relative importance values of the 758 unique compounds in the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after 18 hours of infection in each treatment group. We included the transcriptome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w:t>
      </w:r>
      <w:r>
        <w:rPr>
          <w:rStyle w:val="None A"/>
          <w:rFonts w:ascii="Arial" w:hAnsi="Arial"/>
          <w:sz w:val="22"/>
          <w:szCs w:val="22"/>
          <w:rtl w:val="0"/>
          <w:lang w:val="en-US"/>
        </w:rPr>
        <w:t>germ free</w:t>
      </w:r>
      <w:r>
        <w:rPr>
          <w:rStyle w:val="None A"/>
          <w:rFonts w:ascii="Arial" w:hAnsi="Arial"/>
          <w:sz w:val="22"/>
          <w:szCs w:val="22"/>
          <w:rtl w:val="0"/>
          <w:lang w:val="en-US"/>
        </w:rPr>
        <w:t xml:space="preserve"> mice in the network-based analysis because although the dynamics of the infection may be altered, there is still active metabolism occurring and therefore provided a useful comparator through this approach.</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Pr>
        <w:tab/>
      </w:r>
      <w:r>
        <w:rPr>
          <w:rStyle w:val="None A"/>
          <w:rFonts w:ascii="Arial" w:hAnsi="Arial"/>
          <w:sz w:val="22"/>
          <w:szCs w:val="22"/>
          <w:rtl w:val="0"/>
          <w:lang w:val="en-US"/>
        </w:rPr>
        <w:t>We then</w:t>
      </w:r>
      <w:r>
        <w:rPr>
          <w:rStyle w:val="None A"/>
          <w:rFonts w:ascii="Arial" w:hAnsi="Arial"/>
          <w:sz w:val="22"/>
          <w:szCs w:val="22"/>
          <w:rtl w:val="0"/>
          <w:lang w:val="en-US"/>
        </w:rPr>
        <w:t xml:space="preserve"> ranked scores for each treatment separately to identify the most important compounds for all individual groups (Table S5). In both cefoperazone and streptomycin pretreatments, several Stickland fermentation intermediates, including propanoate and phosphonoacetate, were scored as highly important</w:t>
      </w:r>
      <w:r>
        <w:rPr>
          <w:rStyle w:val="None A"/>
          <w:rFonts w:ascii="Arial" w:hAnsi="Arial"/>
          <w:sz w:val="22"/>
          <w:szCs w:val="22"/>
          <w:rtl w:val="0"/>
          <w:lang w:val="en-US"/>
        </w:rPr>
        <w:t xml:space="preserve"> and</w:t>
      </w:r>
      <w:r>
        <w:rPr>
          <w:rStyle w:val="None A"/>
          <w:rFonts w:ascii="Arial" w:hAnsi="Arial"/>
          <w:sz w:val="22"/>
          <w:szCs w:val="22"/>
          <w:rtl w:val="0"/>
          <w:lang w:val="en-US"/>
        </w:rPr>
        <w:t xml:space="preserve"> much greater than their simulated means. Alternatively in the clindamycin and gnotobiotic conditions, the mucus derived amino sugars N-acetylglucosamine and N-acetylneurminic acid as well as known glycolysis intermediates scored highly in instead of the substrates involved in fermentation. Both forms of carbohydrate metabolism are prominent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and demonstrated that our importance-defining algorithm was robust could detect biologically relevant patterns of expression.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Although an analysis at the individual condition level can have some implications about nutrient utilization in each condition, a unified comparison of all conditions is more informative for understanding how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most likely to behave when it colonizes a susceptible host. With this in mind, we then sought to identify core metabolites that are essential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in any condition. To accomplish this goal, we compared the top 100 scoring substrates from each group to find those that are shared across all conditions (Table S4). The host derived amino sugars N-acetyl-D-glucosamine was found to be consistently important, indicating that it may be an integral component of the nutrient niche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under any condition. Other conserved features include several central fructose derivatives as well as a likely byproduct, lactate, from the anaerobic glycolytic pathway. Additionally, acetate was found to be important in all conditions and is a common byproduct of Stickland fermentation  and has been shown to be further metabolized to butyrate by other closely-related species of Clostridia (Li, 2008). We directly tested the relative concentration of acetate in cefoperazone treated,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infected mice versus antibiotics alone and found that colonization led to a significant decrease in the levels of acetate (Fig. S7A). While this may be due to other factors, this </w:t>
      </w:r>
      <w:r>
        <w:rPr>
          <w:rStyle w:val="None A"/>
          <w:rFonts w:ascii="Arial" w:hAnsi="Arial"/>
          <w:sz w:val="22"/>
          <w:szCs w:val="22"/>
          <w:rtl w:val="0"/>
          <w:lang w:val="en-US"/>
        </w:rPr>
        <w:t>may</w:t>
      </w:r>
      <w:r>
        <w:rPr>
          <w:rStyle w:val="None A"/>
          <w:rFonts w:ascii="Arial" w:hAnsi="Arial"/>
          <w:sz w:val="22"/>
          <w:szCs w:val="22"/>
          <w:rtl w:val="0"/>
          <w:lang w:val="en-US"/>
        </w:rPr>
        <w:t xml:space="preserve"> show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similarly utilizes acetate. Other </w:t>
      </w:r>
      <w:r>
        <w:rPr>
          <w:rStyle w:val="None A"/>
          <w:rFonts w:ascii="Arial" w:hAnsi="Arial"/>
          <w:sz w:val="22"/>
          <w:szCs w:val="22"/>
          <w:rtl w:val="0"/>
          <w:lang w:val="en-US"/>
        </w:rPr>
        <w:t>well-studied enzyme cofactors,</w:t>
      </w:r>
      <w:r>
        <w:rPr>
          <w:rStyle w:val="None A"/>
          <w:rFonts w:ascii="Arial" w:hAnsi="Arial"/>
          <w:sz w:val="22"/>
          <w:szCs w:val="22"/>
          <w:rtl w:val="0"/>
          <w:lang w:val="en-US"/>
        </w:rPr>
        <w:t xml:space="preserve"> such</w:t>
      </w:r>
      <w:r>
        <w:rPr>
          <w:rStyle w:val="None A"/>
          <w:rFonts w:ascii="Arial" w:hAnsi="Arial"/>
          <w:sz w:val="22"/>
          <w:szCs w:val="22"/>
          <w:rtl w:val="0"/>
          <w:lang w:val="en-US"/>
        </w:rPr>
        <w:t xml:space="preserve"> as</w:t>
      </w:r>
      <w:r>
        <w:rPr>
          <w:rStyle w:val="None A"/>
          <w:rFonts w:ascii="Arial" w:hAnsi="Arial"/>
          <w:sz w:val="22"/>
          <w:szCs w:val="22"/>
          <w:rtl w:val="0"/>
          <w:lang w:val="en-US"/>
        </w:rPr>
        <w:t xml:space="preserve"> Fe2+</w:t>
      </w:r>
      <w:r>
        <w:rPr>
          <w:rStyle w:val="None A"/>
          <w:rFonts w:ascii="Arial" w:hAnsi="Arial"/>
          <w:sz w:val="22"/>
          <w:szCs w:val="22"/>
          <w:rtl w:val="0"/>
          <w:lang w:val="en-US"/>
        </w:rPr>
        <w:t>,</w:t>
      </w:r>
      <w:r>
        <w:rPr>
          <w:rStyle w:val="None A"/>
          <w:rFonts w:ascii="Arial" w:hAnsi="Arial"/>
          <w:sz w:val="22"/>
          <w:szCs w:val="22"/>
          <w:rtl w:val="0"/>
          <w:lang w:val="en-US"/>
        </w:rPr>
        <w:t xml:space="preserve"> w</w:t>
      </w:r>
      <w:r>
        <w:rPr>
          <w:rStyle w:val="None A"/>
          <w:rFonts w:ascii="Arial" w:hAnsi="Arial"/>
          <w:sz w:val="22"/>
          <w:szCs w:val="22"/>
          <w:rtl w:val="0"/>
          <w:lang w:val="en-US"/>
        </w:rPr>
        <w:t>ere</w:t>
      </w:r>
      <w:r>
        <w:rPr>
          <w:rStyle w:val="None A"/>
          <w:rFonts w:ascii="Arial" w:hAnsi="Arial"/>
          <w:sz w:val="22"/>
          <w:szCs w:val="22"/>
          <w:rtl w:val="0"/>
          <w:lang w:val="en-US"/>
        </w:rPr>
        <w:t xml:space="preserve"> consistently important</w:t>
      </w:r>
      <w:r>
        <w:rPr>
          <w:rStyle w:val="None A"/>
          <w:rFonts w:ascii="Arial" w:hAnsi="Arial"/>
          <w:sz w:val="22"/>
          <w:szCs w:val="22"/>
          <w:rtl w:val="0"/>
          <w:lang w:val="en-US"/>
        </w:rPr>
        <w:t>.</w:t>
      </w:r>
      <w:r>
        <w:rPr>
          <w:rStyle w:val="None A"/>
          <w:rFonts w:ascii="Arial" w:hAnsi="Arial"/>
          <w:sz w:val="22"/>
          <w:szCs w:val="22"/>
          <w:rtl w:val="0"/>
          <w:lang w:val="en-US"/>
        </w:rPr>
        <w:t xml:space="preserve"> </w:t>
      </w:r>
      <w:r>
        <w:rPr>
          <w:rStyle w:val="None A"/>
          <w:rFonts w:ascii="Arial" w:hAnsi="Arial"/>
          <w:sz w:val="22"/>
          <w:szCs w:val="22"/>
          <w:rtl w:val="0"/>
          <w:lang w:val="en-US"/>
        </w:rPr>
        <w:t>S</w:t>
      </w:r>
      <w:r>
        <w:rPr>
          <w:rStyle w:val="None A"/>
          <w:rFonts w:ascii="Arial" w:hAnsi="Arial"/>
          <w:sz w:val="22"/>
          <w:szCs w:val="22"/>
          <w:rtl w:val="0"/>
          <w:lang w:val="en-US"/>
        </w:rPr>
        <w:t xml:space="preserve">everal amino acids </w:t>
      </w:r>
      <w:r>
        <w:rPr>
          <w:rStyle w:val="None A"/>
          <w:rFonts w:ascii="Arial" w:hAnsi="Arial"/>
          <w:sz w:val="22"/>
          <w:szCs w:val="22"/>
          <w:rtl w:val="0"/>
          <w:lang w:val="en-US"/>
        </w:rPr>
        <w:t xml:space="preserve">were scored highly including </w:t>
      </w:r>
      <w:r>
        <w:rPr>
          <w:rStyle w:val="None A"/>
          <w:rFonts w:ascii="Arial" w:hAnsi="Arial"/>
          <w:sz w:val="22"/>
          <w:szCs w:val="22"/>
          <w:rtl w:val="0"/>
          <w:lang w:val="en-US"/>
        </w:rPr>
        <w:t>proline, threonine, cysteine, leucine, isoleucine, and valine</w:t>
      </w:r>
      <w:r>
        <w:rPr>
          <w:rStyle w:val="None A"/>
          <w:rFonts w:ascii="Arial" w:hAnsi="Arial"/>
          <w:sz w:val="22"/>
          <w:szCs w:val="22"/>
          <w:rtl w:val="0"/>
          <w:lang w:val="en-US"/>
        </w:rPr>
        <w:t>.</w:t>
      </w:r>
      <w:r>
        <w:rPr>
          <w:rStyle w:val="None A"/>
          <w:rFonts w:ascii="Arial" w:hAnsi="Arial"/>
          <w:sz w:val="22"/>
          <w:szCs w:val="22"/>
          <w:rtl w:val="0"/>
          <w:lang w:val="en-US"/>
        </w:rPr>
        <w:t xml:space="preserve"> </w:t>
      </w:r>
      <w:r>
        <w:rPr>
          <w:rStyle w:val="None A"/>
          <w:rFonts w:ascii="Arial" w:hAnsi="Arial"/>
          <w:sz w:val="22"/>
          <w:szCs w:val="22"/>
          <w:rtl w:val="0"/>
          <w:lang w:val="en-US"/>
        </w:rPr>
        <w:t>M</w:t>
      </w:r>
      <w:r>
        <w:rPr>
          <w:rStyle w:val="None A"/>
          <w:rFonts w:ascii="Arial" w:hAnsi="Arial"/>
          <w:sz w:val="22"/>
          <w:szCs w:val="22"/>
          <w:rtl w:val="0"/>
          <w:lang w:val="en-US"/>
        </w:rPr>
        <w:t xml:space="preserve">any of </w:t>
      </w:r>
      <w:r>
        <w:rPr>
          <w:rStyle w:val="None A"/>
          <w:rFonts w:ascii="Arial" w:hAnsi="Arial"/>
          <w:sz w:val="22"/>
          <w:szCs w:val="22"/>
          <w:rtl w:val="0"/>
          <w:lang w:val="en-US"/>
        </w:rPr>
        <w:t>which are know</w:t>
      </w:r>
      <w:r>
        <w:rPr>
          <w:rStyle w:val="None A"/>
          <w:rFonts w:ascii="Arial" w:hAnsi="Arial"/>
          <w:sz w:val="22"/>
          <w:szCs w:val="22"/>
          <w:rtl w:val="0"/>
          <w:lang w:val="en-US"/>
        </w:rPr>
        <w:t xml:space="preserve"> or suspected </w:t>
      </w:r>
      <w:r>
        <w:rPr>
          <w:rStyle w:val="None A"/>
          <w:rFonts w:ascii="Arial" w:hAnsi="Arial"/>
          <w:sz w:val="22"/>
          <w:szCs w:val="22"/>
          <w:rtl w:val="0"/>
          <w:lang w:val="en-US"/>
        </w:rPr>
        <w:t>autotrophies</w:t>
      </w:r>
      <w:r>
        <w:rPr>
          <w:rStyle w:val="None A"/>
          <w:rFonts w:ascii="Arial" w:hAnsi="Arial"/>
          <w:sz w:val="22"/>
          <w:szCs w:val="22"/>
          <w:rtl w:val="0"/>
          <w:lang w:val="en-US"/>
        </w:rPr>
        <w:t xml:space="preserve"> </w:t>
      </w:r>
      <w:r>
        <w:rPr>
          <w:rStyle w:val="None A"/>
          <w:rFonts w:ascii="Arial" w:hAnsi="Arial"/>
          <w:sz w:val="22"/>
          <w:szCs w:val="22"/>
          <w:rtl w:val="0"/>
          <w:lang w:val="en-US"/>
        </w:rPr>
        <w:t xml:space="preserve">of </w:t>
      </w:r>
      <w:r>
        <w:rPr>
          <w:rStyle w:val="None A"/>
          <w:rFonts w:ascii="Arial" w:hAnsi="Arial"/>
          <w:i w:val="1"/>
          <w:iCs w:val="1"/>
          <w:sz w:val="22"/>
          <w:szCs w:val="22"/>
          <w:rtl w:val="0"/>
          <w:lang w:val="en-US"/>
        </w:rPr>
        <w:t>C. difficile</w:t>
      </w:r>
      <w:r>
        <w:rPr>
          <w:rStyle w:val="None A"/>
          <w:rFonts w:ascii="Arial" w:hAnsi="Arial"/>
          <w:i w:val="1"/>
          <w:iCs w:val="1"/>
          <w:sz w:val="22"/>
          <w:szCs w:val="22"/>
          <w:rtl w:val="0"/>
          <w:lang w:val="en-US"/>
        </w:rPr>
        <w:t xml:space="preserve"> </w:t>
      </w:r>
      <w:r>
        <w:rPr>
          <w:rStyle w:val="None A"/>
          <w:rFonts w:ascii="Arial" w:hAnsi="Arial"/>
          <w:sz w:val="22"/>
          <w:szCs w:val="22"/>
          <w:rtl w:val="0"/>
          <w:lang w:val="en-US"/>
        </w:rPr>
        <w:t xml:space="preserve">(Ho, 2015; Neumann-Schaal, 2015). This analysis further supported that our importance algorithm was well-suited to find which substrates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using </w:t>
      </w:r>
      <w:r>
        <w:rPr>
          <w:rStyle w:val="None A"/>
          <w:rFonts w:ascii="Arial" w:hAnsi="Arial"/>
          <w:sz w:val="22"/>
          <w:szCs w:val="22"/>
          <w:rtl w:val="0"/>
          <w:lang w:val="en-US"/>
        </w:rPr>
        <w:t>under</w:t>
      </w:r>
      <w:r>
        <w:rPr>
          <w:rStyle w:val="None A"/>
          <w:rFonts w:ascii="Arial" w:hAnsi="Arial"/>
          <w:sz w:val="22"/>
          <w:szCs w:val="22"/>
          <w:rtl w:val="0"/>
          <w:lang w:val="en-US"/>
        </w:rPr>
        <w:t xml:space="preserve"> given </w:t>
      </w:r>
      <w:r>
        <w:rPr>
          <w:rStyle w:val="None A"/>
          <w:rFonts w:ascii="Arial" w:hAnsi="Arial"/>
          <w:sz w:val="22"/>
          <w:szCs w:val="22"/>
          <w:rtl w:val="0"/>
          <w:lang w:val="en-US"/>
        </w:rPr>
        <w:t>conditions</w:t>
      </w:r>
      <w:r>
        <w:rPr>
          <w:rStyle w:val="None A"/>
          <w:rFonts w:ascii="Arial" w:hAnsi="Arial"/>
          <w:sz w:val="22"/>
          <w:szCs w:val="22"/>
          <w:rtl w:val="0"/>
          <w:lang w:val="en-US"/>
        </w:rPr>
        <w:t>.</w:t>
      </w:r>
    </w:p>
    <w:p>
      <w:pPr>
        <w:pStyle w:val="Default"/>
        <w:shd w:val="clear" w:color="auto" w:fill="ffffff"/>
        <w:spacing w:line="480" w:lineRule="auto"/>
        <w:jc w:val="both"/>
      </w:pPr>
      <w:r>
        <w:rPr>
          <w:rStyle w:val="None A"/>
          <w:rFonts w:ascii="Arial" w:cs="Arial" w:hAnsi="Arial" w:eastAsia="Arial"/>
          <w:sz w:val="22"/>
          <w:szCs w:val="22"/>
          <w:rtl w:val="0"/>
        </w:rPr>
        <w:tab/>
        <w:t xml:space="preserve">To then look at the converse of the unified analysis, we then identified those compounds that are uniquely important to each condition in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growing. We pursued this by cross-referencing the top 25 positively scoring substrates from each treatment group to uncover patterns of unique nutrient utilization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between environments. Results from this comparison left only a few substrates in each group (Fig. 5B). All substrates identified this way scored the comparator mean generated through Monte Carlo simulation (black vertical lines). Each group of substrates contained at least one known carbohydrate growth substrate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including D-fructose, mannitol, N-acetylneuraminic acid, salicin, and D-sorbitol (Ng, 2013; Theriot, 2014). These data support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may exploit alternative carbon sources between the susceptible environments in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Important carbon sources according to metabolic networks support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growth </w:t>
      </w:r>
      <w:r>
        <w:rPr>
          <w:rStyle w:val="None A"/>
          <w:rFonts w:ascii="Arial" w:hAnsi="Arial"/>
          <w:b w:val="1"/>
          <w:bCs w:val="1"/>
          <w:i w:val="1"/>
          <w:iCs w:val="1"/>
          <w:sz w:val="22"/>
          <w:szCs w:val="22"/>
          <w:rtl w:val="0"/>
          <w:lang w:val="en-US"/>
        </w:rPr>
        <w:t>in vitro</w:t>
      </w:r>
      <w:r>
        <w:rPr>
          <w:rStyle w:val="None A"/>
          <w:rFonts w:ascii="Arial" w:hAnsi="Arial"/>
          <w:b w:val="1"/>
          <w:bCs w:val="1"/>
          <w:sz w:val="22"/>
          <w:szCs w:val="22"/>
          <w:rtl w:val="0"/>
          <w:lang w:val="en-US"/>
        </w:rPr>
        <w:t>.</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order to validate the biological relevance of substrates identified in the previous network-based analysis, we went on to observe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able to utilize each substrate for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This was performed using the modified defined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minimal media, supplemented individually with the selected carbohydrates (Theriot, 2013) implicated by high importance scores. As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use amino acids (AA) for growth through Stickland fermentation, but is auxotrophic for several, the best comparator are -glucose +AA control wells. This informed whether the presence of the selected carbohydrate effects has positive or negative effects on the growth rate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however this analysis does not preclude the possibility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simply grows equally as well as it does using strictly AA for carbon.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At least one carbohydrate highlighted as important in each of the antibiotic treatments groups provided high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(Fig. 5C). This included D-fructose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0.671), mannitol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0.464), and salicin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0.888). Each resulted in significantly more growth (corrected </w:t>
      </w:r>
      <w:r>
        <w:rPr>
          <w:rStyle w:val="None A"/>
          <w:rFonts w:ascii="Arial" w:hAnsi="Arial"/>
          <w:i w:val="1"/>
          <w:iCs w:val="1"/>
          <w:sz w:val="22"/>
          <w:szCs w:val="22"/>
          <w:rtl w:val="0"/>
          <w:lang w:val="en-US"/>
        </w:rPr>
        <w:t>p</w:t>
      </w:r>
      <w:r>
        <w:rPr>
          <w:rStyle w:val="None A"/>
          <w:rFonts w:ascii="Arial" w:hAnsi="Arial"/>
          <w:sz w:val="22"/>
          <w:szCs w:val="22"/>
          <w:rtl w:val="0"/>
          <w:lang w:val="en-US"/>
        </w:rPr>
        <w:t>-values &lt;&lt; 0.001) than AA-only control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0.212). The growth curve for D-sorbitol showed no improvement over the AA-only controls. Additionally, N-acetylneuraminate was found to be highly important when colonizing Gnotobiotic mice, and it also allowed for significantly more growth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0.556) than AA-only control wells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 &lt;&lt; 0.001). These results indicate potential efficiency or preferences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for the each carbohydrate source tested.</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Calculation of maximal growth rates also revealed possible differences in utilization efficiency between the 4 carbon sources achieving the most growth over the 24 hour period (Table S5). The D-fructose growth curve reached its maximum positive growth rate of the earliest of all substrates at 6 hours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0.089). Mannitol was second at 7 hours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0.044), and salicin was third at 13.5 hours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0.076). Interestingly, the salicin growth curve was still near its maximum growth rate at the 12 hour time point, while the D-fructose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0.006) and mannitol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0.004) curves had both reached stationary phase. When following the growth curves over the entire 24 hour period, it reveals that salicin provides for even greater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 0.888) than BHI rich media control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 0.663) (Fig. S6). This delay and subsequent progression into normal exponential phase with large outgrowth could indicate a difference in programming for uptake at the time of inoculation, or even differences in utilization  efficiency. The stark drops in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of some curves is most likely due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ceasing division and switching to primarily sporulation, which has been associated with other bacterial species (Van Beilen, 2013). </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Additionally, we tested an equal combination (5 mg/mL) of both carbohyrdates (Fig. S6) found to be especially important in the Streptomycin-associated metabolic network calculations (D-fructose and D-sorbitol). The resulting growth curve did not closely resemble either of those associated with its component carbohydrates. The maximum hour growth rate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0.095 at 6.5 hours) is the highest reached by any media tested, yet the maximum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of 0.510 was lower than both D-fructose and +glucose +AA control individually. In contrast, the carbohydrate combination resulted in significantly more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 &lt;&lt; 0.001) than D-sorbitol alone. This could suggest a combinatorial effect of D-fructose and D-sorbitol together on the growth of </w:t>
      </w:r>
      <w:r>
        <w:rPr>
          <w:rStyle w:val="None A"/>
          <w:rFonts w:ascii="Arial" w:hAnsi="Arial"/>
          <w:i w:val="1"/>
          <w:iCs w:val="1"/>
          <w:sz w:val="22"/>
          <w:szCs w:val="22"/>
          <w:rtl w:val="0"/>
          <w:lang w:val="en-US"/>
        </w:rPr>
        <w:t>C. difficile</w:t>
      </w:r>
      <w:r>
        <w:rPr>
          <w:rStyle w:val="None A"/>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Discussion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Our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occupies separate nutrient niches across susceptible gut environments based on which substrates are available. Both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data support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possesses for nutrient utilization.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Style w:val="None A"/>
          <w:rFonts w:ascii="Arial" w:hAnsi="Arial"/>
          <w:i w:val="1"/>
          <w:iCs w:val="1"/>
          <w:sz w:val="22"/>
          <w:szCs w:val="22"/>
          <w:rtl w:val="0"/>
          <w:lang w:val="en-US"/>
        </w:rPr>
        <w:t>spo0A</w:t>
      </w:r>
      <w:r>
        <w:rPr>
          <w:rStyle w:val="None A"/>
          <w:rFonts w:ascii="Arial" w:hAnsi="Arial"/>
          <w:sz w:val="22"/>
          <w:szCs w:val="22"/>
          <w:rtl w:val="0"/>
          <w:lang w:val="en-US"/>
        </w:rPr>
        <w:t xml:space="preserve">, which was consistently highly expressed, </w:t>
      </w:r>
      <w:r>
        <w:rPr>
          <w:rStyle w:val="None A"/>
          <w:rFonts w:ascii="Arial" w:hAnsi="Arial"/>
          <w:i w:val="1"/>
          <w:iCs w:val="1"/>
          <w:sz w:val="22"/>
          <w:szCs w:val="22"/>
          <w:rtl w:val="0"/>
          <w:lang w:val="en-US"/>
        </w:rPr>
        <w:t>spo</w:t>
      </w:r>
      <w:r>
        <w:rPr>
          <w:rStyle w:val="None A"/>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has begun its final phase before transmission either other antibiotic group. In addition to lifestyle associated genes,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displayed increased relative abundance in gene expression associated with catabolizing monosaccharides and simple sugar alcohols.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lacks (Sebaihia, 2006).</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Metabolic modeling results from both cefoperazone and streptomycin-treated mice indicated carbohydrates, known to be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w:t>
      </w:r>
      <w:r>
        <w:rPr>
          <w:rtl w:val="0"/>
          <w:lang w:val="en-US"/>
        </w:rPr>
        <w:t xml:space="preserve"> </w:t>
      </w:r>
      <w:r>
        <w:rPr>
          <w:rStyle w:val="None A"/>
          <w:rFonts w:ascii="Arial" w:hAnsi="Arial"/>
          <w:sz w:val="22"/>
          <w:szCs w:val="22"/>
          <w:rtl w:val="0"/>
          <w:lang w:val="en-US"/>
        </w:rPr>
        <w:t xml:space="preserve">are preferred in these conditions and are also enriched </w:t>
      </w:r>
      <w:r>
        <w:rPr>
          <w:rStyle w:val="None A"/>
          <w:rFonts w:ascii="Arial" w:hAnsi="Arial"/>
          <w:i w:val="1"/>
          <w:iCs w:val="1"/>
          <w:sz w:val="22"/>
          <w:szCs w:val="22"/>
          <w:rtl w:val="0"/>
          <w:lang w:val="en-US"/>
        </w:rPr>
        <w:t>in vivo</w:t>
      </w:r>
      <w:r>
        <w:rPr>
          <w:rStyle w:val="None A"/>
          <w:rFonts w:ascii="Arial" w:hAnsi="Arial"/>
          <w:sz w:val="22"/>
          <w:szCs w:val="22"/>
          <w:rtl w:val="0"/>
          <w:lang w:val="en-US"/>
        </w:rPr>
        <w:t>. These carbon sources are both commonly provided by the host</w:t>
      </w:r>
      <w:r>
        <w:rPr>
          <w:rStyle w:val="None A"/>
          <w:rFonts w:ascii="Arial" w:hAnsi="Arial" w:hint="default"/>
          <w:sz w:val="22"/>
          <w:szCs w:val="22"/>
          <w:rtl w:val="0"/>
          <w:lang w:val="en-US"/>
        </w:rPr>
        <w:t>’</w:t>
      </w:r>
      <w:r>
        <w:rPr>
          <w:rStyle w:val="None A"/>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Prior research has shown that salicin is readily fermented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Style w:val="None A"/>
          <w:rFonts w:ascii="Arial" w:hAnsi="Arial" w:hint="default"/>
          <w:sz w:val="22"/>
          <w:szCs w:val="22"/>
          <w:rtl w:val="0"/>
          <w:lang w:val="en-US"/>
        </w:rPr>
        <w:t>’</w:t>
      </w:r>
      <w:r>
        <w:rPr>
          <w:rStyle w:val="None A"/>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Style w:val="None A"/>
          <w:rFonts w:ascii="Arial" w:hAnsi="Arial"/>
          <w:i w:val="1"/>
          <w:iCs w:val="1"/>
          <w:sz w:val="22"/>
          <w:szCs w:val="22"/>
          <w:rtl w:val="0"/>
          <w:lang w:val="en-US"/>
        </w:rPr>
        <w:t>increase</w:t>
      </w:r>
      <w:r>
        <w:rPr>
          <w:rStyle w:val="None A"/>
          <w:rFonts w:ascii="Arial" w:hAnsi="Arial"/>
          <w:sz w:val="22"/>
          <w:szCs w:val="22"/>
          <w:rtl w:val="0"/>
          <w:lang w:val="en-US"/>
        </w:rPr>
        <w:t xml:space="preserve"> severity of CDI symptoms in mice (Trindade, 2016). Network analysis also supports that</w:t>
      </w:r>
      <w:r>
        <w:rPr>
          <w:rtl w:val="0"/>
          <w:lang w:val="en-US"/>
        </w:rPr>
        <w:t xml:space="preserve"> </w:t>
      </w:r>
      <w:r>
        <w:rPr>
          <w:rStyle w:val="None A"/>
          <w:rFonts w:ascii="Arial" w:hAnsi="Arial"/>
          <w:sz w:val="22"/>
          <w:szCs w:val="22"/>
          <w:rtl w:val="0"/>
          <w:lang w:val="en-US"/>
        </w:rPr>
        <w:t xml:space="preserve">in germ free mice,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for N-acetylneuraminic acid as a growth substrate above most others. From these data it seems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alters it</w:t>
      </w:r>
      <w:r>
        <w:rPr>
          <w:rStyle w:val="None A"/>
          <w:rFonts w:ascii="Arial" w:hAnsi="Arial" w:hint="default"/>
          <w:sz w:val="22"/>
          <w:szCs w:val="22"/>
          <w:rtl w:val="0"/>
          <w:lang w:val="en-US"/>
        </w:rPr>
        <w:t>’</w:t>
      </w:r>
      <w:r>
        <w:rPr>
          <w:rStyle w:val="None A"/>
          <w:rFonts w:ascii="Arial" w:hAnsi="Arial"/>
          <w:sz w:val="22"/>
          <w:szCs w:val="22"/>
          <w:rtl w:val="0"/>
          <w:lang w:val="en-US"/>
        </w:rPr>
        <w:t>s nutrient preference to fit what is most easily obtained.</w:t>
      </w:r>
    </w:p>
    <w:p>
      <w:pPr>
        <w:pStyle w:val="Default"/>
        <w:shd w:val="clear" w:color="auto" w:fill="ffffff"/>
        <w:spacing w:line="480" w:lineRule="auto"/>
        <w:jc w:val="both"/>
        <w:rPr>
          <w:rStyle w:val="None A"/>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Other conserved features include several central fructose derivatives as well as a likely byproduct, lactate, from the anaerobic glycolytic pathway. This is not surprising as this is known to be a key component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Many of the top scoring compounds appear to be associated with both fermentation and glycolysis, suggesting that these forms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are always active to some degree across conditions and are central to the organism</w:t>
      </w:r>
      <w:r>
        <w:rPr>
          <w:rStyle w:val="None A"/>
          <w:rFonts w:ascii="Arial" w:hAnsi="Arial" w:hint="default"/>
          <w:sz w:val="22"/>
          <w:szCs w:val="22"/>
          <w:rtl w:val="0"/>
          <w:lang w:val="en-US"/>
        </w:rPr>
        <w:t>’</w:t>
      </w:r>
      <w:r>
        <w:rPr>
          <w:rStyle w:val="None A"/>
          <w:rFonts w:ascii="Arial" w:hAnsi="Arial"/>
          <w:sz w:val="22"/>
          <w:szCs w:val="22"/>
          <w:rtl w:val="0"/>
          <w:lang w:val="en-US"/>
        </w:rPr>
        <w:t>s nutritional strategy.</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Several previous gas &amp; liquid chromatography-mass spectrometry studies of intestinal content obtained from mice have been done using either conventionally-raised then pretreated separately with the antibiotics used in this study or raised in germ free conditions.  These studies reveal that many of the substrates predicted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a given condition through metabolic modeling (Fig. 4C), are increased in each respective group.  For example, cefoperazone treatment resulted in a 553-fold increase in mannitol concentration in the cecum of mice prior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(Theriot, 2013). It was also shown that fructose is significantly increased in streptomycin-treated mice and would be available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2011). Although salicin was not directly assayed for in clindamycin-treated mice, there was a significant increase in 2-hydroxybutryate (a byproduct of salicin</w:t>
      </w:r>
      <w:r>
        <w:rPr>
          <w:rtl w:val="0"/>
          <w:lang w:val="en-US"/>
        </w:rPr>
        <w:t xml:space="preserve"> </w:t>
      </w:r>
      <w:r>
        <w:rPr>
          <w:rStyle w:val="None A"/>
          <w:rFonts w:ascii="Arial" w:hAnsi="Arial"/>
          <w:sz w:val="22"/>
          <w:szCs w:val="22"/>
          <w:rtl w:val="0"/>
          <w:lang w:val="en-US"/>
        </w:rPr>
        <w:t xml:space="preserve">metabolism) 24 hours following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infection and indicated that salicin is likely being utilized in this condition (Jump, 2014). Finally, it was demonstrated that N-acetylneuraminic acid is significantly increased in the colons of germ free versus those ex-germ free mice recolonized with microbiota from colon content of conventionally-raised mice (Matsumoto, 2012).  Together, these results provide evidence that our network approach accurately predicts which substrates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chooses to metabolize when colonizing different environments.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light of the results presented here, our method strongly supports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Different classes of antibiotics may each result in a unique gut environment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conclusion, our findings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Context-dependent limitation of certain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(Fig. 3D). These systems have been linked to the lifestyle switch from growth/division to virulence/transmission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(Darkoh, 2015; Carter, 2005). Transcripts for </w:t>
      </w:r>
      <w:r>
        <w:rPr>
          <w:rStyle w:val="None A"/>
          <w:rFonts w:ascii="Arial" w:hAnsi="Arial"/>
          <w:i w:val="1"/>
          <w:iCs w:val="1"/>
          <w:sz w:val="22"/>
          <w:szCs w:val="22"/>
          <w:rtl w:val="0"/>
          <w:lang w:val="en-US"/>
        </w:rPr>
        <w:t>agrB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agrD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luxS</w:t>
      </w:r>
      <w:r>
        <w:rPr>
          <w:rStyle w:val="None A"/>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quorum sensing occurring.</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Materials and Methods</w:t>
      </w:r>
    </w:p>
    <w:p>
      <w:pPr>
        <w:pStyle w:val="Default"/>
        <w:shd w:val="clear" w:color="auto" w:fill="ffffff"/>
        <w:spacing w:line="480" w:lineRule="auto"/>
        <w:jc w:val="both"/>
      </w:pPr>
      <w:r>
        <w:rPr>
          <w:rStyle w:val="None A"/>
          <w:rFonts w:ascii="Arial" w:hAnsi="Arial"/>
          <w:b w:val="1"/>
          <w:bCs w:val="1"/>
          <w:sz w:val="22"/>
          <w:szCs w:val="22"/>
          <w:rtl w:val="0"/>
          <w:lang w:val="en-US"/>
        </w:rPr>
        <w:t xml:space="preserve">Animal care and antibiotic administration. </w:t>
      </w:r>
      <w:r>
        <w:rPr>
          <w:rStyle w:val="None A"/>
          <w:rFonts w:ascii="Arial" w:hAnsi="Arial"/>
          <w:sz w:val="22"/>
          <w:szCs w:val="22"/>
          <w:rtl w:val="0"/>
          <w:lang w:val="en-US"/>
        </w:rPr>
        <w:t>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infection and necropsy.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3</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were administered to mice via oral gavage in </w:t>
      </w:r>
      <w:r>
        <w:rPr>
          <w:rStyle w:val="None A"/>
          <w:rFonts w:ascii="Arial" w:hAnsi="Arial" w:hint="default"/>
          <w:sz w:val="22"/>
          <w:szCs w:val="22"/>
          <w:rtl w:val="0"/>
          <w:lang w:val="en-US"/>
        </w:rPr>
        <w:t>×</w:t>
      </w:r>
      <w:r>
        <w:rPr>
          <w:rStyle w:val="None A"/>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w:t>
      </w:r>
      <w:r>
        <w:rPr>
          <w:rStyle w:val="None A"/>
          <w:rFonts w:ascii="Arial" w:hAnsi="Arial" w:hint="default"/>
          <w:sz w:val="22"/>
          <w:szCs w:val="22"/>
          <w:rtl w:val="0"/>
          <w:lang w:val="en-US"/>
        </w:rPr>
        <w:t>×</w:t>
      </w:r>
      <w:r>
        <w:rPr>
          <w:rStyle w:val="None A"/>
          <w:rFonts w:ascii="Arial" w:hAnsi="Arial"/>
          <w:sz w:val="22"/>
          <w:szCs w:val="22"/>
          <w:rtl w:val="0"/>
          <w:lang w:val="en-US"/>
        </w:rPr>
        <w:t xml:space="preserve">1 PBS at the same time as those mice administered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Style w:val="None A"/>
          <w:rFonts w:ascii="Arial" w:hAnsi="Arial" w:hint="default"/>
          <w:sz w:val="22"/>
          <w:szCs w:val="22"/>
          <w:rtl w:val="0"/>
          <w:lang w:val="en-US"/>
        </w:rPr>
        <w:t>μ</w:t>
      </w:r>
      <w:r>
        <w:rPr>
          <w:rStyle w:val="None A"/>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cultivation and quantification. </w:t>
      </w:r>
      <w:r>
        <w:rPr>
          <w:rStyle w:val="None A"/>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CFUs from spores were quantified. Significant differences were determined by Holm-Bonferroni corrected Wilcoxon tests.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Measurement of residual antibiotics in cecal content.</w:t>
      </w:r>
      <w:r>
        <w:rPr>
          <w:rStyle w:val="None A"/>
          <w:rFonts w:ascii="Arial" w:hAnsi="Arial"/>
          <w:sz w:val="22"/>
          <w:szCs w:val="22"/>
          <w:rtl w:val="0"/>
          <w:lang w:val="en-US"/>
        </w:rPr>
        <w:t xml:space="preserve">  Disk diffusion assays were performed using separate, newly plated lawns of </w:t>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str. 630 and </w:t>
      </w:r>
      <w:r>
        <w:rPr>
          <w:rStyle w:val="None A"/>
          <w:rFonts w:ascii="Arial" w:hAnsi="Arial"/>
          <w:i w:val="1"/>
          <w:iCs w:val="1"/>
          <w:sz w:val="22"/>
          <w:szCs w:val="22"/>
          <w:rtl w:val="0"/>
          <w:lang w:val="en-US"/>
        </w:rPr>
        <w:t>Bifidobacterium longum</w:t>
      </w:r>
      <w:r>
        <w:rPr>
          <w:rStyle w:val="None A"/>
          <w:rFonts w:ascii="Arial" w:hAnsi="Arial"/>
          <w:sz w:val="22"/>
          <w:szCs w:val="22"/>
          <w:rtl w:val="0"/>
          <w:lang w:val="en-US"/>
        </w:rPr>
        <w:t xml:space="preserve"> subspec. </w:t>
      </w:r>
      <w:r>
        <w:rPr>
          <w:rStyle w:val="None A"/>
          <w:rFonts w:ascii="Arial" w:hAnsi="Arial"/>
          <w:i w:val="1"/>
          <w:iCs w:val="1"/>
          <w:sz w:val="22"/>
          <w:szCs w:val="22"/>
          <w:rtl w:val="0"/>
          <w:lang w:val="en-US"/>
        </w:rPr>
        <w:t>longum</w:t>
      </w:r>
      <w:r>
        <w:rPr>
          <w:rStyle w:val="None A"/>
          <w:rFonts w:ascii="Arial" w:hAnsi="Arial"/>
          <w:sz w:val="22"/>
          <w:szCs w:val="22"/>
          <w:rtl w:val="0"/>
          <w:lang w:val="en-US"/>
        </w:rPr>
        <w:t xml:space="preserve"> on BHIS agar. 500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of pooled cecal content within each treatment group were anaerobically centrifuged at 1,000 rpm for 5 minutes.  Sterile filter papers disks were then soaked with 20 </w:t>
      </w:r>
      <w:r>
        <w:rPr>
          <w:rStyle w:val="None A"/>
          <w:rFonts w:ascii="Arial" w:hAnsi="Arial" w:hint="default"/>
          <w:sz w:val="22"/>
          <w:szCs w:val="22"/>
          <w:rtl w:val="0"/>
          <w:lang w:val="en-US"/>
        </w:rPr>
        <w:t>μ</w:t>
      </w:r>
      <w:r>
        <w:rPr>
          <w:rStyle w:val="None A"/>
          <w:rFonts w:ascii="Arial" w:hAnsi="Arial"/>
          <w:sz w:val="22"/>
          <w:szCs w:val="22"/>
          <w:rtl w:val="0"/>
          <w:lang w:val="en-US"/>
        </w:rPr>
        <w:t>l supernatant from spun cecal content and added to plated bacteria in triplicate. Plates were anaerobically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and zones of inhibition were measured the following day (Fig. S3).</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toxin titer assay.</w:t>
      </w:r>
      <w:r>
        <w:rPr>
          <w:rStyle w:val="None A"/>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5</w:t>
      </w:r>
      <w:r>
        <w:rPr>
          <w:rStyle w:val="None A"/>
          <w:rFonts w:ascii="Arial" w:hAnsi="Arial"/>
          <w:sz w:val="22"/>
          <w:szCs w:val="22"/>
          <w:rtl w:val="0"/>
          <w:lang w:val="en-US"/>
        </w:rPr>
        <w:t xml:space="preserve"> cells were seeded in each well of a 96-well plate and incubated for 4 hours. Filtered cecal content was serially diluted 1:10 in </w:t>
      </w:r>
      <w:r>
        <w:rPr>
          <w:rStyle w:val="None A"/>
          <w:rFonts w:ascii="Arial" w:hAnsi="Arial" w:hint="default"/>
          <w:sz w:val="22"/>
          <w:szCs w:val="22"/>
          <w:rtl w:val="0"/>
          <w:lang w:val="en-US"/>
        </w:rPr>
        <w:t>×</w:t>
      </w:r>
      <w:r>
        <w:rPr>
          <w:rStyle w:val="None A"/>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Plates were viewed after 24 hours at </w:t>
      </w:r>
      <w:r>
        <w:rPr>
          <w:rStyle w:val="None A"/>
          <w:rFonts w:ascii="Arial" w:hAnsi="Arial" w:hint="default"/>
          <w:sz w:val="22"/>
          <w:szCs w:val="22"/>
          <w:rtl w:val="0"/>
          <w:lang w:val="en-US"/>
        </w:rPr>
        <w:t>×</w:t>
      </w:r>
      <w:r>
        <w:rPr>
          <w:rStyle w:val="None A"/>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0"/>
        </w:rPr>
        <w:fldChar w:fldCharType="begin" w:fldLock="0"/>
      </w:r>
      <w:r>
        <w:rPr>
          <w:rStyle w:val="Hyperlink.0"/>
        </w:rPr>
        <w:instrText xml:space="preserve"> HYPERLINK "https://github.com/jlleslie/Intraspecific_Competition/blob/master/methods/Verocell_ToxinActivity_Assay.Rmd"</w:instrText>
      </w:r>
      <w:r>
        <w:rPr>
          <w:rStyle w:val="Hyperlink.0"/>
        </w:rPr>
        <w:fldChar w:fldCharType="separate" w:fldLock="0"/>
      </w:r>
      <w:r>
        <w:rPr>
          <w:rStyle w:val="Hyperlink.0"/>
          <w:rtl w:val="0"/>
          <w:lang w:val="en-US"/>
        </w:rPr>
        <w:t>https://github.com/jlleslie/Intraspecific_Competition/blob/master/methods/Verocell_ToxinActivity_Assa</w:t>
      </w:r>
      <w:r>
        <w:rPr/>
        <w:fldChar w:fldCharType="end" w:fldLock="0"/>
      </w:r>
      <w:r>
        <w:rPr>
          <w:rStyle w:val="Hyperlink.0"/>
        </w:rPr>
        <w:fldChar w:fldCharType="begin" w:fldLock="0"/>
      </w:r>
      <w:r>
        <w:rPr>
          <w:rStyle w:val="Hyperlink.0"/>
        </w:rPr>
        <w:instrText xml:space="preserve"> HYPERLINK "https://github.com/jlleslie/Intraspecific_Competition/blob/master/methods/Verocell_ToxinActivity_Assay.Rmd"</w:instrText>
      </w:r>
      <w:r>
        <w:rPr>
          <w:rStyle w:val="Hyperlink.0"/>
        </w:rPr>
        <w:fldChar w:fldCharType="separate" w:fldLock="0"/>
      </w:r>
      <w:r>
        <w:rPr>
          <w:rStyle w:val="Hyperlink.0"/>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RNA extraction and library preparation. </w:t>
      </w:r>
      <w:r>
        <w:rPr>
          <w:rStyle w:val="None A"/>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acid phenol/chloroform was added to the cecal content lysate and incubated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10 minutes with periodic vortexing. The mixture was the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A"/>
          <w:rFonts w:ascii="Arial" w:hAnsi="Arial" w:hint="default"/>
          <w:sz w:val="22"/>
          <w:szCs w:val="22"/>
          <w:rtl w:val="0"/>
          <w:lang w:val="en-US"/>
        </w:rPr>
        <w:t xml:space="preserve">° </w:t>
      </w:r>
      <w:r>
        <w:rPr>
          <w:rStyle w:val="None A"/>
          <w:rFonts w:ascii="Arial" w:hAnsi="Arial"/>
          <w:sz w:val="22"/>
          <w:szCs w:val="22"/>
          <w:rtl w:val="0"/>
          <w:lang w:val="en-US"/>
        </w:rPr>
        <w:t>C. The following day the sample was centrifuged at 12000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45 minutes. The pellet was washed with 0</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100% ethanol and resuspended in 200 </w:t>
      </w:r>
      <w:r>
        <w:rPr>
          <w:rStyle w:val="None A"/>
          <w:rFonts w:ascii="Arial" w:hAnsi="Arial" w:hint="default"/>
          <w:sz w:val="22"/>
          <w:szCs w:val="22"/>
          <w:rtl w:val="0"/>
          <w:lang w:val="en-US"/>
        </w:rPr>
        <w:t>μ</w:t>
      </w:r>
      <w:r>
        <w:rPr>
          <w:rStyle w:val="None A"/>
          <w:rFonts w:ascii="Arial" w:hAnsi="Arial"/>
          <w:sz w:val="22"/>
          <w:szCs w:val="22"/>
          <w:rtl w:val="0"/>
          <w:lang w:val="en-US"/>
        </w:rPr>
        <w:t>l of RNase-free water.</w:t>
      </w:r>
    </w:p>
    <w:p>
      <w:pPr>
        <w:pStyle w:val="Default"/>
        <w:shd w:val="clear" w:color="auto" w:fill="ffffff"/>
        <w:spacing w:line="480" w:lineRule="auto"/>
        <w:jc w:val="both"/>
      </w:pPr>
      <w:r>
        <w:rPr>
          <w:rStyle w:val="None A"/>
          <w:rFonts w:ascii="Arial" w:cs="Arial" w:hAnsi="Arial" w:eastAsia="Arial"/>
          <w:sz w:val="22"/>
          <w:szCs w:val="22"/>
          <w:rtl w:val="0"/>
        </w:rPr>
        <w:tab/>
        <w:t xml:space="preserve">Following the manufacterer's protocol, samples were then treated with 2 </w:t>
      </w:r>
      <w:r>
        <w:rPr>
          <w:rStyle w:val="None A"/>
          <w:rFonts w:ascii="Arial" w:hAnsi="Arial" w:hint="default"/>
          <w:sz w:val="22"/>
          <w:szCs w:val="22"/>
          <w:rtl w:val="0"/>
          <w:lang w:val="en-US"/>
        </w:rPr>
        <w:t>μ</w:t>
      </w:r>
      <w:r>
        <w:rPr>
          <w:rStyle w:val="None A"/>
          <w:rFonts w:ascii="Arial" w:hAnsi="Arial"/>
          <w:sz w:val="22"/>
          <w:szCs w:val="22"/>
          <w:rtl w:val="0"/>
          <w:lang w:val="en-US"/>
        </w:rPr>
        <w:t>l of Turbo DNase for 30 minutes</w:t>
      </w:r>
      <w:r>
        <w:rPr>
          <w:rtl w:val="0"/>
          <w:lang w:val="en-US"/>
        </w:rPr>
        <w:t xml:space="preserve"> </w:t>
      </w:r>
      <w:r>
        <w:rPr>
          <w:rStyle w:val="None A"/>
          <w:rFonts w:ascii="Arial" w:hAnsi="Arial"/>
          <w:sz w:val="22"/>
          <w:szCs w:val="22"/>
          <w:rtl w:val="0"/>
          <w:lang w:val="en-US"/>
        </w:rPr>
        <w:t>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Also, prior to library construction, quality and integrity as measured again using the Agilent RNA 6000 Pico Kit and stranded RNA-Seq libraries were made constructed with the TruSeq Total RNA Library Preparation Kit v2, both using the manufacturer's protocol. 2x50 bp sequencing was finally performed using an Illumina HiSeq 2500. A detailed protocol for this entire procedure containing product numbers and quality-control primer sequences can be found in the Github repository associated with this project:  </w:t>
      </w:r>
      <w:r>
        <w:rPr>
          <w:rStyle w:val="Hyperlink.1"/>
        </w:rPr>
        <w:fldChar w:fldCharType="begin" w:fldLock="0"/>
      </w:r>
      <w:r>
        <w:rPr>
          <w:rStyle w:val="Hyperlink.1"/>
        </w:rPr>
        <w:instrText xml:space="preserve"> HYPERLINK "https://github.com/SchlossLab/Jenior_Transcriptomics_2015/blob/master/doc/wetlab_protocol.txt"</w:instrText>
      </w:r>
      <w:r>
        <w:rPr>
          <w:rStyle w:val="Hyperlink.1"/>
        </w:rPr>
        <w:fldChar w:fldCharType="separate" w:fldLock="0"/>
      </w:r>
      <w:r>
        <w:rPr>
          <w:rStyle w:val="Hyperlink.1"/>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shd w:val="clear" w:color="auto" w:fill="ffff00"/>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Sequence curation, read mapping, and normalization. </w:t>
      </w:r>
      <w:r>
        <w:rPr>
          <w:rStyle w:val="None A"/>
          <w:rFonts w:ascii="Arial" w:hAnsi="Arial"/>
          <w:sz w:val="22"/>
          <w:szCs w:val="22"/>
          <w:rtl w:val="0"/>
          <w:lang w:val="en-US"/>
        </w:rPr>
        <w:t>Raw transcript sequencing read curation was performed in a two step process. Residual 5</w:t>
      </w:r>
      <w:r>
        <w:rPr>
          <w:rStyle w:val="None A"/>
          <w:rFonts w:ascii="Arial" w:hAnsi="Arial" w:hint="default"/>
          <w:sz w:val="22"/>
          <w:szCs w:val="22"/>
          <w:rtl w:val="0"/>
          <w:lang w:val="en-US"/>
        </w:rPr>
        <w:t xml:space="preserve">’ </w:t>
      </w:r>
      <w:r>
        <w:rPr>
          <w:rStyle w:val="None A"/>
          <w:rFonts w:ascii="Arial" w:hAnsi="Arial"/>
          <w:sz w:val="22"/>
          <w:szCs w:val="22"/>
          <w:rtl w:val="0"/>
          <w:lang w:val="en-US"/>
        </w:rPr>
        <w:t>and 3</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A"/>
          <w:rFonts w:ascii="Arial" w:hAnsi="Arial"/>
          <w:i w:val="1"/>
          <w:iCs w:val="1"/>
          <w:sz w:val="22"/>
          <w:szCs w:val="22"/>
          <w:rtl w:val="0"/>
          <w:lang w:val="en-US"/>
        </w:rPr>
        <w:t>Peptoclostridium difficile</w:t>
      </w:r>
      <w:r>
        <w:rPr>
          <w:rStyle w:val="None A"/>
          <w:rFonts w:ascii="Arial" w:hAnsi="Arial"/>
          <w:sz w:val="22"/>
          <w:szCs w:val="22"/>
          <w:rtl w:val="0"/>
          <w:lang w:val="en-US"/>
        </w:rPr>
        <w:t xml:space="preserve"> str. 630 from the Kyoto Encyclopedia of Genes and Genomes (KEGG). Optical and PCR duplicates were then removed using Picard MarkDuplicates (</w:t>
      </w:r>
      <w:r>
        <w:rPr>
          <w:rStyle w:val="Hyperlink.1"/>
        </w:rPr>
        <w:fldChar w:fldCharType="begin" w:fldLock="0"/>
      </w:r>
      <w:r>
        <w:rPr>
          <w:rStyle w:val="Hyperlink.1"/>
        </w:rPr>
        <w:instrText xml:space="preserve"> HYPERLINK "http://broadinstitute.github.io/picard/"</w:instrText>
      </w:r>
      <w:r>
        <w:rPr>
          <w:rStyle w:val="Hyperlink.1"/>
        </w:rPr>
        <w:fldChar w:fldCharType="separate" w:fldLock="0"/>
      </w:r>
      <w:r>
        <w:rPr>
          <w:rStyle w:val="Hyperlink.1"/>
          <w:rtl w:val="0"/>
          <w:lang w:val="en-US"/>
        </w:rPr>
        <w:t>http://broadinstitute.github.io/picard/</w:t>
      </w:r>
      <w:r>
        <w:rPr/>
        <w:fldChar w:fldCharType="end" w:fldLock="0"/>
      </w:r>
      <w:r>
        <w:rPr>
          <w:rStyle w:val="None A"/>
          <w:rFonts w:ascii="Arial" w:hAnsi="Arial"/>
          <w:sz w:val="22"/>
          <w:szCs w:val="22"/>
          <w:rtl w:val="0"/>
          <w:lang w:val="en-US"/>
        </w:rPr>
        <w:t>), leaving ~150,000 reads per sample for final analysis. The remaining mappings were converted to idxstats format using Samtools (Li, 2009) and the read counts per gene were tabulated. Discordant pair mappings were discarded and counts were then normalized to read length and gene length. Each collection of reads was then 1000-fold iteratively subsampled to 97,930 reads to generate bootstrapped medians for each gene.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Modeling. </w:t>
      </w:r>
      <w:r>
        <w:rPr>
          <w:rStyle w:val="None A"/>
          <w:rFonts w:ascii="Arial" w:hAnsi="Arial"/>
          <w:sz w:val="22"/>
          <w:szCs w:val="22"/>
          <w:rtl w:val="0"/>
          <w:lang w:val="en-US"/>
        </w:rPr>
        <w:t xml:space="preserve">The metabolism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The resulting data structure is an associative array of enzymes associated with lists of both categories of substrates (input and output), which serves as the architecture of the network. The final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was calculated using the igraph package in R.</w:t>
      </w:r>
    </w:p>
    <w:p>
      <w:pPr>
        <w:pStyle w:val="Default"/>
        <w:shd w:val="clear" w:color="auto" w:fill="ffffff"/>
        <w:spacing w:line="480" w:lineRule="auto"/>
        <w:jc w:val="both"/>
      </w:pPr>
      <w:r>
        <w:rPr>
          <w:rStyle w:val="None A"/>
          <w:rFonts w:ascii="Arial" w:cs="Arial" w:hAnsi="Arial" w:eastAsia="Arial"/>
          <w:sz w:val="22"/>
          <w:szCs w:val="22"/>
          <w:rtl w:val="0"/>
        </w:rPr>
        <w:tab/>
        <w:t xml:space="preserve">The substrate importance algorithm favors metabolites that are more likely acquired from the environment (not produced within the network), and will award them a higher score. This is accomplished by first calculating the relative importance of compounds as both inputs and outputs of reactions in the network and then subtracting the output score from the input score (Fig. 4A). If a compound is more likely to be produced, the more negative the resulting score will be. These methods have been written into a single python script, along with supporting reference files, and is presented as BiGSMAll (BacterIal Genome-Scale Metabolic models for AppLied reverse ecoLogy), available in a public Github repository at </w:t>
      </w:r>
      <w:r>
        <w:rPr>
          <w:rStyle w:val="Hyperlink.1"/>
        </w:rPr>
        <w:fldChar w:fldCharType="begin" w:fldLock="0"/>
      </w:r>
      <w:r>
        <w:rPr>
          <w:rStyle w:val="Hyperlink.1"/>
        </w:rPr>
        <w:instrText xml:space="preserve"> HYPERLINK "https://github.com/mjenior/bigsmall"</w:instrText>
      </w:r>
      <w:r>
        <w:rPr>
          <w:rStyle w:val="Hyperlink.1"/>
        </w:rPr>
        <w:fldChar w:fldCharType="separate" w:fldLock="0"/>
      </w:r>
      <w:r>
        <w:rPr>
          <w:rStyle w:val="Hyperlink.1"/>
          <w:rtl w:val="0"/>
          <w:lang w:val="en-US"/>
        </w:rPr>
        <w:t>https://github.com/mjenior/bigsmall</w:t>
      </w:r>
      <w:r>
        <w:rPr/>
        <w:fldChar w:fldCharType="end" w:fldLock="0"/>
      </w:r>
      <w:r>
        <w:rPr>
          <w:rStyle w:val="None A"/>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To calculate substrate importance, we used rarefied transcriptomic abundances mapped to their respective enzymes (represented by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and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representing the reactions they mediate that either create or utilize the substrate (</w:t>
      </w:r>
      <w:r>
        <w:rPr>
          <w:rStyle w:val="None A"/>
          <w:rFonts w:ascii="Arial" w:hAnsi="Arial"/>
          <w:b w:val="1"/>
          <w:bCs w:val="1"/>
          <w:sz w:val="22"/>
          <w:szCs w:val="22"/>
          <w:rtl w:val="0"/>
          <w:lang w:val="en-US"/>
        </w:rPr>
        <w:t>s</w:t>
      </w:r>
      <w:r>
        <w:rPr>
          <w:rStyle w:val="None A"/>
          <w:rFonts w:ascii="Arial" w:hAnsi="Arial"/>
          <w:sz w:val="22"/>
          <w:szCs w:val="22"/>
          <w:rtl w:val="0"/>
          <w:lang w:val="en-US"/>
        </w:rPr>
        <w:t>). The sum is then taken of transcript abundances for enzyme nodes that connect with a given substrate node with the same direction edge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or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sz w:val="22"/>
          <w:szCs w:val="22"/>
          <w:rtl w:val="0"/>
          <w:lang w:val="en-US"/>
        </w:rPr>
        <w:t>By comparing the calculated scores to their simulated mean and standard deviation from iterative randomization, we were able to detect which substrate scores were most likely not from consistent high scoring due to a large degree of centrality.</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Mathematical validation of metabolite importance scores. </w:t>
      </w:r>
      <w:r>
        <w:rPr>
          <w:rStyle w:val="None A"/>
          <w:rFonts w:ascii="Arial" w:hAnsi="Arial"/>
          <w:sz w:val="22"/>
          <w:szCs w:val="22"/>
          <w:rtl w:val="0"/>
          <w:lang w:val="en-US"/>
        </w:rPr>
        <w:t xml:space="preserve">As sequencing replicates of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transcriptomes were not feasible, we sought to apply a modified Monte-Carlo simulation to distinguish calculated metabolite importances due to transcriptional patterns, from consistently important compounds or those scores derived from random chance. With this in mind we took an iterative approach of randomizing assignment of transcript abundance to enzyme nodes and recalculating metabolite importances. Each substrate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the  BigSmall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Anaerobic </w:t>
      </w:r>
      <w:r>
        <w:rPr>
          <w:rStyle w:val="None A"/>
          <w:rFonts w:ascii="Arial" w:hAnsi="Arial"/>
          <w:b w:val="1"/>
          <w:bCs w:val="1"/>
          <w:i w:val="1"/>
          <w:iCs w:val="1"/>
          <w:sz w:val="22"/>
          <w:szCs w:val="22"/>
          <w:rtl w:val="0"/>
          <w:lang w:val="en-US"/>
        </w:rPr>
        <w:t>in vitro C. difficile</w:t>
      </w:r>
      <w:r>
        <w:rPr>
          <w:rStyle w:val="None A"/>
          <w:rFonts w:ascii="Arial" w:hAnsi="Arial"/>
          <w:b w:val="1"/>
          <w:bCs w:val="1"/>
          <w:sz w:val="22"/>
          <w:szCs w:val="22"/>
          <w:rtl w:val="0"/>
          <w:lang w:val="en-US"/>
        </w:rPr>
        <w:t xml:space="preserve"> growth curves. </w:t>
      </w:r>
      <w:r>
        <w:rPr>
          <w:rStyle w:val="None A"/>
          <w:rFonts w:ascii="Arial" w:hAnsi="Arial"/>
          <w:sz w:val="22"/>
          <w:szCs w:val="22"/>
          <w:rtl w:val="0"/>
          <w:lang w:val="en-US"/>
        </w:rPr>
        <w:t xml:space="preserve">The carbon-free variation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w:t>
      </w:r>
      <w:r>
        <w:rPr>
          <w:rStyle w:val="None A"/>
          <w:rFonts w:ascii="Arial" w:hAnsi="Arial" w:hint="default"/>
          <w:sz w:val="22"/>
          <w:szCs w:val="22"/>
          <w:rtl w:val="0"/>
          <w:lang w:val="en-US"/>
        </w:rPr>
        <w:t>μ</w:t>
      </w:r>
      <w:r>
        <w:rPr>
          <w:rStyle w:val="None A"/>
          <w:rFonts w:ascii="Arial" w:hAnsi="Arial"/>
          <w:sz w:val="22"/>
          <w:szCs w:val="22"/>
          <w:rtl w:val="0"/>
          <w:lang w:val="en-US"/>
        </w:rPr>
        <w:t>l of final media mixes were added to a 96-well sterile plate arranged as shown in Table S4. A rich media growth control was also included, consisting of liquid Brain-Heart Infusion + 0.5% cysteine. Edge wells were skipped in order to avoid false changes to optical density due to dessication.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All culturing and growth measurement were performed anaerobically in a Coy Type B Vinyl Anaerobic Chamber (3.0% H, 5.0% CO</w:t>
      </w:r>
      <w:r>
        <w:rPr>
          <w:rStyle w:val="None A"/>
          <w:rFonts w:ascii="Arial" w:hAnsi="Arial"/>
          <w:sz w:val="22"/>
          <w:szCs w:val="22"/>
          <w:vertAlign w:val="subscript"/>
          <w:rtl w:val="0"/>
          <w:lang w:val="en-US"/>
        </w:rPr>
        <w:t>2</w:t>
      </w:r>
      <w:r>
        <w:rPr>
          <w:rStyle w:val="None A"/>
          <w:rFonts w:ascii="Arial" w:hAnsi="Arial"/>
          <w:sz w:val="22"/>
          <w:szCs w:val="22"/>
          <w:rtl w:val="0"/>
          <w:lang w:val="en-US"/>
        </w:rPr>
        <w:t xml:space="preserve">, 92.0% N, 0.0% 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grown for 14 hours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A"/>
          <w:rFonts w:ascii="Arial" w:hAnsi="Arial" w:hint="default"/>
          <w:sz w:val="22"/>
          <w:szCs w:val="22"/>
          <w:rtl w:val="0"/>
          <w:lang w:val="en-US"/>
        </w:rPr>
        <w:t>μ</w:t>
      </w:r>
      <w:r>
        <w:rPr>
          <w:rStyle w:val="None A"/>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Plates were incubated for 24 hours with automatic optical density readings at 600 nm taken every 30 minutes.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over time in R to obtain the slope at each time point. Significant differences were determined by Holm-Bonferroni corrected 2-way ANOVA.</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Figure Legends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1 | Experimental timelines and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phenotype quantification 18 hours after infection.</w:t>
      </w:r>
      <w:r>
        <w:rPr>
          <w:rStyle w:val="None A"/>
          <w:rFonts w:ascii="Arial" w:hAnsi="Arial"/>
          <w:sz w:val="22"/>
          <w:szCs w:val="22"/>
          <w:rtl w:val="0"/>
          <w:lang w:val="en-US"/>
        </w:rPr>
        <w:t xml:space="preserve">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Experimental timelines for the antibiotic treatments used to sensitize animals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and infection (n = 9 per treatment group).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Toxin titer measured by activity in Vero cell rounding assay.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monoassociated with germfree mice displayed significantly more toxin activity than any antibiotic treatment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0.05).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CFU assessed through differential plating (plated without germinant) and </w:t>
      </w:r>
      <w:r>
        <w:rPr>
          <w:rStyle w:val="None A"/>
          <w:rFonts w:ascii="Arial" w:hAnsi="Arial"/>
          <w:b w:val="1"/>
          <w:bCs w:val="1"/>
          <w:sz w:val="22"/>
          <w:szCs w:val="22"/>
          <w:rtl w:val="0"/>
          <w:lang w:val="en-US"/>
        </w:rPr>
        <w:t xml:space="preserv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 CFU measured with an alternative plating strategy (heating to 65</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for 30 minutes, plated with germinant). No statistical differences were observed in vegetative cell quantification, however germfree mice had significantly more spores than antibiotic treatment groups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0.05). Differences in spore quantification were noted between antibiotic pretreatment groups, however they were not significant. Conventionally raised mice that received no antibiotics remained resistant to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colonization.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2 | Select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gene set expression compared between treatment group. </w:t>
      </w:r>
      <w:r>
        <w:rPr>
          <w:rStyle w:val="None A"/>
          <w:rFonts w:ascii="Arial" w:hAnsi="Arial"/>
          <w:sz w:val="22"/>
          <w:szCs w:val="22"/>
          <w:rtl w:val="0"/>
          <w:lang w:val="en-US"/>
        </w:rPr>
        <w:t xml:space="preserve">The median of subsampled gene abundances, shown with 95% confidence interval.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Select sigma factors which their expression has been linked to environment cues.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Majority of known genes from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Many key genes for sporulation display differential expression between treatment groups.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Transcript recruitment to pathogenicity loci, including both the standard PaLoc genes as well as </w:t>
      </w:r>
      <w:r>
        <w:rPr>
          <w:rStyle w:val="None A"/>
          <w:rFonts w:ascii="Arial" w:hAnsi="Arial"/>
          <w:i w:val="1"/>
          <w:iCs w:val="1"/>
          <w:sz w:val="22"/>
          <w:szCs w:val="22"/>
          <w:rtl w:val="0"/>
          <w:lang w:val="en-US"/>
        </w:rPr>
        <w:t>cdtR</w:t>
      </w:r>
      <w:r>
        <w:rPr>
          <w:rStyle w:val="None A"/>
          <w:rFonts w:ascii="Arial" w:hAnsi="Arial"/>
          <w:sz w:val="22"/>
          <w:szCs w:val="22"/>
          <w:rtl w:val="0"/>
          <w:lang w:val="en-US"/>
        </w:rPr>
        <w:t xml:space="preserve"> but not the genes for binary toxin as they are absent in str. 630. </w:t>
      </w:r>
      <w:r>
        <w:rPr>
          <w:rStyle w:val="None A"/>
          <w:rFonts w:ascii="Arial" w:hAnsi="Arial"/>
          <w:b w:val="1"/>
          <w:bCs w:val="1"/>
          <w:sz w:val="22"/>
          <w:szCs w:val="22"/>
          <w:rtl w:val="0"/>
          <w:lang w:val="en-US"/>
        </w:rPr>
        <w:t>D)</w:t>
      </w:r>
      <w:r>
        <w:rPr>
          <w:rStyle w:val="None A"/>
          <w:rFonts w:ascii="Arial" w:hAnsi="Arial"/>
          <w:sz w:val="22"/>
          <w:szCs w:val="22"/>
          <w:rtl w:val="0"/>
          <w:lang w:val="en-US"/>
        </w:rPr>
        <w:t xml:space="preserve"> Genes associated with quorum sensing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are detected at approximately even levels in each antibiotic pretreatment.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3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expression of gene sets for alternative carbon metabolism across antibiotic pretreatments. A)</w:t>
      </w:r>
      <w:r>
        <w:rPr>
          <w:rStyle w:val="None A"/>
          <w:rFonts w:ascii="Arial" w:hAnsi="Arial"/>
          <w:sz w:val="22"/>
          <w:szCs w:val="22"/>
          <w:rtl w:val="0"/>
          <w:lang w:val="en-US"/>
        </w:rPr>
        <w:t xml:space="preserve"> Ternary plot of all genes with with any transcripts mapping to them are included.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Groups from (A) are also plotted separately in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through </w:t>
      </w:r>
      <w:r>
        <w:rPr>
          <w:rStyle w:val="None A"/>
          <w:rFonts w:ascii="Arial" w:hAnsi="Arial"/>
          <w:b w:val="1"/>
          <w:bCs w:val="1"/>
          <w:sz w:val="22"/>
          <w:szCs w:val="22"/>
          <w:rtl w:val="0"/>
          <w:lang w:val="en-US"/>
        </w:rPr>
        <w:t>I)</w:t>
      </w:r>
      <w:r>
        <w:rPr>
          <w:rStyle w:val="None A"/>
          <w:rFonts w:ascii="Arial" w:hAnsi="Arial"/>
          <w:sz w:val="22"/>
          <w:szCs w:val="22"/>
          <w:rtl w:val="0"/>
          <w:lang w:val="en-US"/>
        </w:rPr>
        <w:t xml:space="preserve"> without size differences so all points are visible.</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shd w:val="clear" w:color="auto" w:fill="00ffff"/>
          <w:rtl w:val="0"/>
          <w:lang w:val="en-US"/>
        </w:rPr>
        <w:t xml:space="preserve">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 A"/>
          <w:rFonts w:ascii="Arial" w:hAnsi="Arial"/>
          <w:i w:val="1"/>
          <w:iCs w:val="1"/>
          <w:sz w:val="22"/>
          <w:szCs w:val="22"/>
          <w:shd w:val="clear" w:color="auto" w:fill="00ffff"/>
          <w:rtl w:val="0"/>
          <w:lang w:val="en-US"/>
        </w:rPr>
        <w:t>C. difficile</w:t>
      </w:r>
      <w:r>
        <w:rPr>
          <w:rStyle w:val="None A"/>
          <w:rFonts w:ascii="Arial" w:hAnsi="Arial"/>
          <w:sz w:val="22"/>
          <w:szCs w:val="22"/>
          <w:shd w:val="clear" w:color="auto" w:fill="00ffff"/>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 A"/>
          <w:rFonts w:ascii="Arial" w:hAnsi="Arial"/>
          <w:i w:val="1"/>
          <w:iCs w:val="1"/>
          <w:sz w:val="22"/>
          <w:szCs w:val="22"/>
          <w:shd w:val="clear" w:color="auto" w:fill="00ffff"/>
          <w:rtl w:val="0"/>
          <w:lang w:val="en-US"/>
        </w:rPr>
        <w:t>C. difficile</w:t>
      </w:r>
      <w:r>
        <w:rPr>
          <w:rStyle w:val="None A"/>
          <w:rFonts w:ascii="Arial" w:hAnsi="Arial"/>
          <w:sz w:val="22"/>
          <w:szCs w:val="22"/>
          <w:shd w:val="clear" w:color="auto" w:fill="00ffff"/>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4 | Genome-scale bipartite metabolic modeling results using the transcriptome of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in each colonized environment. A) </w:t>
      </w:r>
      <w:r>
        <w:rPr>
          <w:rStyle w:val="None A"/>
          <w:rFonts w:ascii="Arial" w:hAnsi="Arial"/>
          <w:sz w:val="22"/>
          <w:szCs w:val="22"/>
          <w:rtl w:val="0"/>
          <w:lang w:val="en-US"/>
        </w:rPr>
        <w:t xml:space="preserve">Largest component from the bipartite genome-scale metabolic model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This portion of the graph includes 1070 nodes (404 enymes and 666 substrates), with 2000 edges connecting them. The size of enzyme nodes is relative to the number of normalized reads mapping to nucleotide gene sequence.</w:t>
      </w:r>
      <w:r>
        <w:rPr>
          <w:rStyle w:val="None A"/>
          <w:rFonts w:ascii="Arial" w:hAnsi="Arial"/>
          <w:b w:val="1"/>
          <w:bCs w:val="1"/>
          <w:sz w:val="22"/>
          <w:szCs w:val="22"/>
          <w:rtl w:val="0"/>
          <w:lang w:val="en-US"/>
        </w:rPr>
        <w:t xml:space="preserve"> </w:t>
      </w:r>
      <w:r>
        <w:rPr>
          <w:rStyle w:val="None A"/>
          <w:rFonts w:ascii="Arial" w:hAnsi="Arial"/>
          <w:sz w:val="22"/>
          <w:szCs w:val="22"/>
          <w:rtl w:val="0"/>
          <w:lang w:val="en-US"/>
        </w:rPr>
        <w:t xml:space="preserve">Transcript abundances are from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w:t>
      </w:r>
      <w:r>
        <w:rPr>
          <w:rStyle w:val="None A"/>
          <w:rFonts w:ascii="Arial" w:hAnsi="Arial"/>
          <w:b w:val="1"/>
          <w:bCs w:val="1"/>
          <w:sz w:val="22"/>
          <w:szCs w:val="22"/>
          <w:rtl w:val="0"/>
          <w:lang w:val="en-US"/>
        </w:rPr>
        <w:t xml:space="preserve"> B) </w:t>
      </w:r>
      <w:r>
        <w:rPr>
          <w:rStyle w:val="None A"/>
          <w:rFonts w:ascii="Arial" w:hAnsi="Arial"/>
          <w:sz w:val="22"/>
          <w:szCs w:val="22"/>
          <w:rtl w:val="0"/>
          <w:lang w:val="en-US"/>
        </w:rPr>
        <w:t xml:space="preserve">Top scoring unique important substrates in each antibiotic treatment, top 25 from all were cross-referenced to each other. Monte Carlo simulated means are indicated by the lines, all substrates are calculated as more important than if transcripts abundances were randomly assigned throughout the entire metabolic network. </w:t>
      </w:r>
      <w:r>
        <w:rPr>
          <w:rStyle w:val="None A"/>
          <w:rFonts w:ascii="Arial" w:hAnsi="Arial"/>
          <w:b w:val="1"/>
          <w:bCs w:val="1"/>
          <w:sz w:val="22"/>
          <w:szCs w:val="22"/>
          <w:rtl w:val="0"/>
          <w:lang w:val="en-US"/>
        </w:rPr>
        <w:t xml:space="preserve">C) </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curves validating identified growth nutrients from (B). In black are CDMM controls variations with the indicated constituents. At least one experimental growth substrate indicated as uniquely important from each group supports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significantly more than </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Glucose + Amino Acids control wells (corrected </w:t>
      </w:r>
      <w:r>
        <w:rPr>
          <w:rStyle w:val="None A"/>
          <w:rFonts w:ascii="Arial" w:hAnsi="Arial"/>
          <w:i w:val="1"/>
          <w:iCs w:val="1"/>
          <w:sz w:val="22"/>
          <w:szCs w:val="22"/>
          <w:rtl w:val="0"/>
          <w:lang w:val="en-US"/>
        </w:rPr>
        <w:t>p</w:t>
      </w:r>
      <w:r>
        <w:rPr>
          <w:rStyle w:val="None A"/>
          <w:rFonts w:ascii="Arial" w:hAnsi="Arial"/>
          <w:sz w:val="22"/>
          <w:szCs w:val="22"/>
          <w:rtl w:val="0"/>
          <w:lang w:val="en-US"/>
        </w:rPr>
        <w:t>-values &lt;&lt; 0.001).</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5 | </w:t>
      </w:r>
      <w:r>
        <w:rPr>
          <w:rStyle w:val="None A"/>
          <w:rFonts w:ascii="Arial" w:hAnsi="Arial"/>
          <w:b w:val="1"/>
          <w:bCs w:val="1"/>
          <w:i w:val="1"/>
          <w:iCs w:val="1"/>
          <w:sz w:val="22"/>
          <w:szCs w:val="22"/>
          <w:rtl w:val="0"/>
          <w:lang w:val="en-US"/>
        </w:rPr>
        <w:t>in vivo</w:t>
      </w:r>
      <w:r>
        <w:rPr>
          <w:rStyle w:val="None A"/>
          <w:rFonts w:ascii="Arial" w:hAnsi="Arial"/>
          <w:b w:val="1"/>
          <w:bCs w:val="1"/>
          <w:sz w:val="22"/>
          <w:szCs w:val="22"/>
          <w:rtl w:val="0"/>
          <w:lang w:val="en-US"/>
        </w:rPr>
        <w:t xml:space="preserve"> concentrations from targeted LC-MS analysis of predicted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nutrient sources from metabolic models. A)</w:t>
      </w:r>
      <w:r>
        <w:rPr>
          <w:rStyle w:val="None A"/>
          <w:rFonts w:ascii="Arial" w:hAnsi="Arial"/>
          <w:sz w:val="22"/>
          <w:szCs w:val="22"/>
          <w:rtl w:val="0"/>
          <w:lang w:val="en-US"/>
        </w:rPr>
        <w:t xml:space="preserve"> Heatmap, group by treatment group on x-axis and hierarchical clustering on y-axis. Comparing No Antibiotics to each treatment group.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Bar charts of the actual concentrations for the substrates identified through metabolic modeling, shown in Figure 4.</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1 |  Spore % of total CFU and toxin to spore correlations. </w:t>
      </w:r>
      <w:r>
        <w:rPr>
          <w:rStyle w:val="None A"/>
          <w:rFonts w:ascii="Arial" w:hAnsi="Arial"/>
          <w:sz w:val="22"/>
          <w:szCs w:val="22"/>
          <w:rtl w:val="0"/>
          <w:lang w:val="en-US"/>
        </w:rPr>
        <w:t xml:space="preserve">Continued analysis of wetlab phenotypic data.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Spore %.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Spore toxin correlation w/o germfree.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Spore toxin correlation w/ germfree.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exome coverage for each condition. </w:t>
      </w:r>
      <w:r>
        <w:rPr>
          <w:rStyle w:val="None A"/>
          <w:rFonts w:ascii="Arial" w:hAnsi="Arial"/>
          <w:sz w:val="22"/>
          <w:szCs w:val="22"/>
          <w:rtl w:val="0"/>
          <w:lang w:val="en-US"/>
        </w:rPr>
        <w:t xml:space="preserve">Normalized read abundances mapped to the full length genome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3 |  Expression of specific KEGG gene families. </w:t>
      </w:r>
      <w:r>
        <w:rPr>
          <w:rStyle w:val="None A"/>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4 |  Substrate scores outside of at least two standard deviations from simulated means. </w:t>
      </w:r>
      <w:r>
        <w:rPr>
          <w:rStyle w:val="None A"/>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5 |  Additional growth curves. </w:t>
      </w:r>
      <w:r>
        <w:rPr>
          <w:rStyle w:val="None A"/>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6 |  Acetate data supporting network output. </w:t>
      </w:r>
      <w:r>
        <w:rPr>
          <w:rStyle w:val="None A"/>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Acknowledgments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The authors would like to acknowledge members of the Young laboratory, Germfree Center, UM Sequencing Core, and Metabolon for their assistance in experimental design, execution, and data collection.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Conflict of Interest</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18"/>
          <w:szCs w:val="18"/>
        </w:rPr>
      </w:pPr>
      <w:r>
        <w:rPr>
          <w:rStyle w:val="None A"/>
          <w:rFonts w:ascii="Arial" w:hAnsi="Arial"/>
          <w:b w:val="1"/>
          <w:bCs w:val="1"/>
          <w:sz w:val="22"/>
          <w:szCs w:val="22"/>
          <w:rtl w:val="0"/>
          <w:lang w:val="en-US"/>
        </w:rPr>
        <w:t>References</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A"/>
          <w:rFonts w:ascii="Arial" w:hAnsi="Arial"/>
          <w:i w:val="1"/>
          <w:iCs w:val="1"/>
          <w:sz w:val="18"/>
          <w:szCs w:val="18"/>
          <w:rtl w:val="0"/>
          <w:lang w:val="en-US"/>
        </w:rPr>
        <w:t>Nucleic Acids Research</w:t>
      </w:r>
      <w:r>
        <w:rPr>
          <w:rStyle w:val="None A"/>
          <w:rFonts w:ascii="Arial" w:hAnsi="Arial"/>
          <w:sz w:val="18"/>
          <w:szCs w:val="18"/>
          <w:rtl w:val="0"/>
          <w:lang w:val="en-US"/>
        </w:rPr>
        <w:t>. http://doi.org/10.1093/nar/gks864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Martin-Verstraete, I., &amp; Dupuy, B. (2011). CcpA-mediated repression of Clostridium difficile toxin gene expression.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79</w:t>
      </w:r>
      <w:r>
        <w:rPr>
          <w:rStyle w:val="None A"/>
          <w:rFonts w:ascii="Arial" w:hAnsi="Arial"/>
          <w:sz w:val="18"/>
          <w:szCs w:val="18"/>
          <w:rtl w:val="0"/>
          <w:lang w:val="en-US"/>
        </w:rPr>
        <w:t>(4), 882</w:t>
      </w:r>
      <w:r>
        <w:rPr>
          <w:rStyle w:val="None A"/>
          <w:rFonts w:ascii="Arial" w:hAnsi="Arial" w:hint="default"/>
          <w:sz w:val="18"/>
          <w:szCs w:val="18"/>
          <w:rtl w:val="0"/>
          <w:lang w:val="en-US"/>
        </w:rPr>
        <w:t>–</w:t>
      </w:r>
      <w:r>
        <w:rPr>
          <w:rStyle w:val="None A"/>
          <w:rFonts w:ascii="Arial" w:hAnsi="Arial"/>
          <w:sz w:val="18"/>
          <w:szCs w:val="18"/>
          <w:rtl w:val="0"/>
          <w:lang w:val="en-US"/>
        </w:rPr>
        <w:t>899. http://doi.org/10.1111/j.1365-2958.2010.07495.x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Boos, W., &amp; Shuman, H. (1998). Maltose/maltodextrin system of Escherichia coli: transport, metabolism, and regulation.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62</w:t>
      </w:r>
      <w:r>
        <w:rPr>
          <w:rStyle w:val="None A"/>
          <w:rFonts w:ascii="Arial" w:hAnsi="Arial"/>
          <w:sz w:val="18"/>
          <w:szCs w:val="18"/>
          <w:rtl w:val="0"/>
          <w:lang w:val="en-US"/>
        </w:rPr>
        <w:t>(1), 204</w:t>
      </w:r>
      <w:r>
        <w:rPr>
          <w:rStyle w:val="None A"/>
          <w:rFonts w:ascii="Arial" w:hAnsi="Arial" w:hint="default"/>
          <w:sz w:val="18"/>
          <w:szCs w:val="18"/>
          <w:rtl w:val="0"/>
          <w:lang w:val="en-US"/>
        </w:rPr>
        <w:t>–</w:t>
      </w:r>
      <w:r>
        <w:rPr>
          <w:rStyle w:val="None A"/>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Borenstein, E., Kupiec, M., Feldman, M. W., &amp; Ruppin, E. (2008). Large-scale reconstruction and phylogenetic analysis of metabolic environments. Proceedings of the National Academy of Sciences, 105(38), 14482</w:t>
      </w:r>
      <w:r>
        <w:rPr>
          <w:rStyle w:val="None A"/>
          <w:rFonts w:ascii="Arial" w:hAnsi="Arial" w:hint="default"/>
          <w:sz w:val="18"/>
          <w:szCs w:val="18"/>
          <w:rtl w:val="0"/>
          <w:lang w:val="en-US"/>
        </w:rPr>
        <w:t>–</w:t>
      </w:r>
      <w:r>
        <w:rPr>
          <w:rStyle w:val="None A"/>
          <w:rFonts w:ascii="Arial" w:hAnsi="Arial"/>
          <w:sz w:val="18"/>
          <w:szCs w:val="18"/>
          <w:rtl w:val="0"/>
          <w:lang w:val="en-US"/>
        </w:rPr>
        <w:t>14487. http://doi.org/10.1073/pnas.0806162105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Self, W. T., &amp; Sonenshein, A. L. (2013). Proline-dependent regulation of Clostridium difficile stickland metabolism.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(4), 844</w:t>
      </w:r>
      <w:r>
        <w:rPr>
          <w:rStyle w:val="None A"/>
          <w:rFonts w:ascii="Arial" w:hAnsi="Arial" w:hint="default"/>
          <w:sz w:val="18"/>
          <w:szCs w:val="18"/>
          <w:rtl w:val="0"/>
          <w:lang w:val="en-US"/>
        </w:rPr>
        <w:t>–</w:t>
      </w:r>
      <w:r>
        <w:rPr>
          <w:rStyle w:val="None A"/>
          <w:rFonts w:ascii="Arial" w:hAnsi="Arial"/>
          <w:sz w:val="18"/>
          <w:szCs w:val="18"/>
          <w:rtl w:val="0"/>
          <w:lang w:val="en-US"/>
        </w:rPr>
        <w:t>854. http://doi.org/10.1128/JB.01492-12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Carter, G. P., Purdy, D., Williams, P., &amp; Minton, N. P. (2005). Quorum sensing in Clostridium difficile: Analysis of a luxS-type signalling system. In </w:t>
      </w:r>
      <w:r>
        <w:rPr>
          <w:rStyle w:val="None A"/>
          <w:rFonts w:ascii="Arial" w:hAnsi="Arial"/>
          <w:i w:val="1"/>
          <w:iCs w:val="1"/>
          <w:sz w:val="18"/>
          <w:szCs w:val="18"/>
          <w:rtl w:val="0"/>
          <w:lang w:val="en-US"/>
        </w:rPr>
        <w:t>Journal of Medical Microbiology</w:t>
      </w:r>
      <w:r>
        <w:rPr>
          <w:rStyle w:val="None A"/>
          <w:rFonts w:ascii="Arial" w:hAnsi="Arial"/>
          <w:sz w:val="18"/>
          <w:szCs w:val="18"/>
          <w:rtl w:val="0"/>
          <w:lang w:val="en-US"/>
        </w:rPr>
        <w:t xml:space="preserve"> (Vol. 54, pp. 119</w:t>
      </w:r>
      <w:r>
        <w:rPr>
          <w:rStyle w:val="None A"/>
          <w:rFonts w:ascii="Arial" w:hAnsi="Arial" w:hint="default"/>
          <w:sz w:val="18"/>
          <w:szCs w:val="18"/>
          <w:rtl w:val="0"/>
          <w:lang w:val="en-US"/>
        </w:rPr>
        <w:t>–</w:t>
      </w:r>
      <w:r>
        <w:rPr>
          <w:rStyle w:val="None A"/>
          <w:rFonts w:ascii="Arial" w:hAnsi="Arial"/>
          <w:sz w:val="18"/>
          <w:szCs w:val="18"/>
          <w:rtl w:val="0"/>
          <w:lang w:val="en-US"/>
        </w:rPr>
        <w:t>127). http://doi.org/10.1099/jmm.0.45817-0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Carter, G. P., Rood, J. I., &amp; Lyras, D. (2012). The role of toxin A and toxin B in the virulence of Clostridium difficile. </w:t>
      </w:r>
      <w:r>
        <w:rPr>
          <w:rStyle w:val="None A"/>
          <w:rFonts w:ascii="Arial" w:hAnsi="Arial"/>
          <w:i w:val="1"/>
          <w:iCs w:val="1"/>
          <w:sz w:val="18"/>
          <w:szCs w:val="18"/>
          <w:rtl w:val="0"/>
          <w:lang w:val="en-US"/>
        </w:rPr>
        <w:t>Trends in Microbiology</w:t>
      </w:r>
      <w:r>
        <w:rPr>
          <w:rStyle w:val="None A"/>
          <w:rFonts w:ascii="Arial" w:hAnsi="Arial"/>
          <w:sz w:val="18"/>
          <w:szCs w:val="18"/>
          <w:rtl w:val="0"/>
          <w:lang w:val="en-US"/>
        </w:rPr>
        <w:t>. http://doi.org/10.1016/j.tim.2011.11.003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A"/>
          <w:rFonts w:ascii="Arial" w:hAnsi="Arial" w:hint="default"/>
          <w:sz w:val="18"/>
          <w:szCs w:val="18"/>
          <w:rtl w:val="0"/>
          <w:lang w:val="en-US"/>
        </w:rPr>
        <w:t>–</w:t>
      </w:r>
      <w:r>
        <w:rPr>
          <w:rStyle w:val="None A"/>
          <w:rFonts w:ascii="Arial" w:hAnsi="Arial"/>
          <w:sz w:val="18"/>
          <w:szCs w:val="18"/>
          <w:rtl w:val="0"/>
          <w:lang w:val="en-US"/>
        </w:rPr>
        <w:t>1992. http://doi.org/10.1053/j.gastro.2008.09.002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Darkoh, C., Dupont, H. L., Norris, S. J., &amp; Kaplan, H. B. (2015). Toxin synthesis by Clostridium difficile is regulated through quorum signaling.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(2). http://doi.org/10.1128/mBio.02569-14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80</w:t>
      </w:r>
      <w:r>
        <w:rPr>
          <w:rStyle w:val="None A"/>
          <w:rFonts w:ascii="Arial" w:hAnsi="Arial"/>
          <w:sz w:val="18"/>
          <w:szCs w:val="18"/>
          <w:rtl w:val="0"/>
          <w:lang w:val="en-US"/>
        </w:rPr>
        <w:t>(8), 2704</w:t>
      </w:r>
      <w:r>
        <w:rPr>
          <w:rStyle w:val="None A"/>
          <w:rFonts w:ascii="Arial" w:hAnsi="Arial" w:hint="default"/>
          <w:sz w:val="18"/>
          <w:szCs w:val="18"/>
          <w:rtl w:val="0"/>
          <w:lang w:val="en-US"/>
        </w:rPr>
        <w:t>–</w:t>
      </w:r>
      <w:r>
        <w:rPr>
          <w:rStyle w:val="None A"/>
          <w:rFonts w:ascii="Arial" w:hAnsi="Arial"/>
          <w:sz w:val="18"/>
          <w:szCs w:val="18"/>
          <w:rtl w:val="0"/>
          <w:lang w:val="en-US"/>
        </w:rPr>
        <w:t>2711. http://doi.org/10.1128/IAI.00147-12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70</w:t>
      </w:r>
      <w:r>
        <w:rPr>
          <w:rStyle w:val="None A"/>
          <w:rFonts w:ascii="Arial" w:hAnsi="Arial"/>
          <w:sz w:val="18"/>
          <w:szCs w:val="18"/>
          <w:rtl w:val="0"/>
          <w:lang w:val="en-US"/>
        </w:rPr>
        <w:t>(4), 939</w:t>
      </w:r>
      <w:r>
        <w:rPr>
          <w:rStyle w:val="None A"/>
          <w:rFonts w:ascii="Arial" w:hAnsi="Arial" w:hint="default"/>
          <w:sz w:val="18"/>
          <w:szCs w:val="18"/>
          <w:rtl w:val="0"/>
          <w:lang w:val="en-US"/>
        </w:rPr>
        <w:t>–</w:t>
      </w:r>
      <w:r>
        <w:rPr>
          <w:rStyle w:val="None A"/>
          <w:rFonts w:ascii="Arial" w:hAnsi="Arial"/>
          <w:sz w:val="18"/>
          <w:szCs w:val="18"/>
          <w:rtl w:val="0"/>
          <w:lang w:val="en-US"/>
        </w:rPr>
        <w:t>1031. http://doi.org/10.1128/MMBR.00024-06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Donnelly, M. L., Fimlaid, K. A., &amp; Shen, A. (2016). Characterization of </w:t>
      </w:r>
      <w:r>
        <w:rPr>
          <w:rStyle w:val="None A"/>
          <w:rFonts w:ascii="Arial" w:hAnsi="Arial"/>
          <w:i w:val="1"/>
          <w:iCs w:val="1"/>
          <w:sz w:val="18"/>
          <w:szCs w:val="18"/>
          <w:rtl w:val="0"/>
          <w:lang w:val="en-US"/>
        </w:rPr>
        <w:t>Clostridium difficile</w:t>
      </w:r>
      <w:r>
        <w:rPr>
          <w:rStyle w:val="None A"/>
          <w:rFonts w:ascii="Arial" w:hAnsi="Arial"/>
          <w:sz w:val="18"/>
          <w:szCs w:val="18"/>
          <w:rtl w:val="0"/>
          <w:lang w:val="en-US"/>
        </w:rPr>
        <w:t xml:space="preserve"> spores lacking either SpoVAC or DPA Synthetase.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(April), JB.00986</w:t>
      </w:r>
      <w:r>
        <w:rPr>
          <w:rStyle w:val="None A"/>
          <w:rFonts w:ascii="Arial" w:hAnsi="Arial" w:hint="default"/>
          <w:sz w:val="18"/>
          <w:szCs w:val="18"/>
          <w:rtl w:val="0"/>
          <w:lang w:val="en-US"/>
        </w:rPr>
        <w:t>–</w:t>
      </w:r>
      <w:r>
        <w:rPr>
          <w:rStyle w:val="None A"/>
          <w:rFonts w:ascii="Arial" w:hAnsi="Arial"/>
          <w:sz w:val="18"/>
          <w:szCs w:val="18"/>
          <w:rtl w:val="0"/>
          <w:lang w:val="en-US"/>
        </w:rPr>
        <w:t>15. http://doi.org/10.1128/JB.00986-15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Elsden, S. R., &amp; Hilton, M. G. (1978). Volatile acid production from threonine, valine, leucine and isoleucine by clostridia. </w:t>
      </w:r>
      <w:r>
        <w:rPr>
          <w:rStyle w:val="None A"/>
          <w:rFonts w:ascii="Arial" w:hAnsi="Arial"/>
          <w:i w:val="1"/>
          <w:iCs w:val="1"/>
          <w:sz w:val="18"/>
          <w:szCs w:val="18"/>
          <w:rtl w:val="0"/>
          <w:lang w:val="en-US"/>
        </w:rPr>
        <w:t>Archives of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117</w:t>
      </w:r>
      <w:r>
        <w:rPr>
          <w:rStyle w:val="None A"/>
          <w:rFonts w:ascii="Arial" w:hAnsi="Arial"/>
          <w:sz w:val="18"/>
          <w:szCs w:val="18"/>
          <w:rtl w:val="0"/>
          <w:lang w:val="en-US"/>
        </w:rPr>
        <w:t>(2), 165</w:t>
      </w:r>
      <w:r>
        <w:rPr>
          <w:rStyle w:val="None A"/>
          <w:rFonts w:ascii="Arial" w:hAnsi="Arial" w:hint="default"/>
          <w:sz w:val="18"/>
          <w:szCs w:val="18"/>
          <w:rtl w:val="0"/>
          <w:lang w:val="en-US"/>
        </w:rPr>
        <w:t>–</w:t>
      </w:r>
      <w:r>
        <w:rPr>
          <w:rStyle w:val="None A"/>
          <w:rFonts w:ascii="Arial" w:hAnsi="Arial"/>
          <w:sz w:val="18"/>
          <w:szCs w:val="18"/>
          <w:rtl w:val="0"/>
          <w:lang w:val="en-US"/>
        </w:rPr>
        <w:t>172. http://doi.org/10.1007/BF00402304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76</w:t>
      </w:r>
      <w:r>
        <w:rPr>
          <w:rStyle w:val="None A"/>
          <w:rFonts w:ascii="Arial" w:hAnsi="Arial"/>
          <w:sz w:val="18"/>
          <w:szCs w:val="18"/>
          <w:rtl w:val="0"/>
          <w:lang w:val="en-US"/>
        </w:rPr>
        <w:t>(3), 1143</w:t>
      </w:r>
      <w:r>
        <w:rPr>
          <w:rStyle w:val="None A"/>
          <w:rFonts w:ascii="Arial" w:hAnsi="Arial" w:hint="default"/>
          <w:sz w:val="18"/>
          <w:szCs w:val="18"/>
          <w:rtl w:val="0"/>
          <w:lang w:val="en-US"/>
        </w:rPr>
        <w:t>–</w:t>
      </w:r>
      <w:r>
        <w:rPr>
          <w:rStyle w:val="None A"/>
          <w:rFonts w:ascii="Arial" w:hAnsi="Arial"/>
          <w:sz w:val="18"/>
          <w:szCs w:val="18"/>
          <w:rtl w:val="0"/>
          <w:lang w:val="en-US"/>
        </w:rPr>
        <w:t>1152. http://doi.org/10.1128/IAI.01386-07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A"/>
          <w:rFonts w:ascii="Arial" w:hAnsi="Arial"/>
          <w:i w:val="1"/>
          <w:iCs w:val="1"/>
          <w:sz w:val="18"/>
          <w:szCs w:val="18"/>
          <w:rtl w:val="0"/>
          <w:lang w:val="en-US"/>
        </w:rPr>
        <w:t>Cell Host and Microbe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(6), 770</w:t>
      </w:r>
      <w:r>
        <w:rPr>
          <w:rStyle w:val="None A"/>
          <w:rFonts w:ascii="Arial" w:hAnsi="Arial" w:hint="default"/>
          <w:sz w:val="18"/>
          <w:szCs w:val="18"/>
          <w:rtl w:val="0"/>
          <w:lang w:val="en-US"/>
        </w:rPr>
        <w:t>–</w:t>
      </w:r>
      <w:r>
        <w:rPr>
          <w:rStyle w:val="None A"/>
          <w:rFonts w:ascii="Arial" w:hAnsi="Arial"/>
          <w:sz w:val="18"/>
          <w:szCs w:val="18"/>
          <w:rtl w:val="0"/>
          <w:lang w:val="en-US"/>
        </w:rPr>
        <w:t>777. http://doi.org/10.1016/j.chom.2014.11.003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&amp; Shen, A. (2015). Diverse mechanisms regulate sporulation sigma factor activity in the Firmicutes. </w:t>
      </w:r>
      <w:r>
        <w:rPr>
          <w:rStyle w:val="None A"/>
          <w:rFonts w:ascii="Arial" w:hAnsi="Arial"/>
          <w:i w:val="1"/>
          <w:iCs w:val="1"/>
          <w:sz w:val="18"/>
          <w:szCs w:val="18"/>
          <w:rtl w:val="0"/>
          <w:lang w:val="en-US"/>
        </w:rPr>
        <w:t>Current Opinion in Microbiology</w:t>
      </w:r>
      <w:r>
        <w:rPr>
          <w:rStyle w:val="None A"/>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i w:val="1"/>
          <w:iCs w:val="1"/>
          <w:sz w:val="18"/>
          <w:szCs w:val="18"/>
        </w:rPr>
      </w:pPr>
      <w:r>
        <w:rPr>
          <w:rStyle w:val="None A"/>
          <w:rFonts w:ascii="Arial" w:hAnsi="Arial"/>
          <w:sz w:val="18"/>
          <w:szCs w:val="18"/>
          <w:rtl w:val="0"/>
          <w:lang w:val="en-US"/>
        </w:rPr>
        <w:t xml:space="preserve">Freter, R. 1983. Mechanisms that control the microflora in the large intestine, p. 33-54. In D. J. Hentges (ed.), </w:t>
      </w:r>
      <w:r>
        <w:rPr>
          <w:rStyle w:val="None A"/>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cs="Arial" w:hAnsi="Arial" w:eastAsia="Arial"/>
          <w:i w:val="1"/>
          <w:iCs w:val="1"/>
          <w:sz w:val="18"/>
          <w:szCs w:val="18"/>
          <w:rtl w:val="0"/>
        </w:rPr>
        <w:tab/>
        <w:t>intestinal microflora in health and disease</w:t>
      </w:r>
      <w:r>
        <w:rPr>
          <w:rStyle w:val="None A"/>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en-US"/>
        </w:rPr>
        <w:t xml:space="preserve">Ho, T. D., &amp; Ellermeier, C. D. (2015). Ferric uptake regulator fur control of putative iron acquisition systems in Clostridium </w:t>
        <w:tab/>
        <w:tab/>
      </w:r>
      <w:r>
        <w:rPr>
          <w:rStyle w:val="None A"/>
          <w:rFonts w:ascii="Arial" w:hAnsi="Arial"/>
          <w:sz w:val="18"/>
          <w:szCs w:val="18"/>
          <w:rtl w:val="0"/>
          <w:lang w:val="it-IT"/>
        </w:rPr>
        <w:t xml:space="preserve">difficile.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197</w:t>
      </w:r>
      <w:r>
        <w:rPr>
          <w:rStyle w:val="None A"/>
          <w:rFonts w:ascii="Arial" w:hAnsi="Arial"/>
          <w:sz w:val="18"/>
          <w:szCs w:val="18"/>
          <w:rtl w:val="0"/>
          <w:lang w:val="en-US"/>
        </w:rPr>
        <w:t>(18), 2930</w:t>
      </w:r>
      <w:r>
        <w:rPr>
          <w:rStyle w:val="None A"/>
          <w:rFonts w:ascii="Arial" w:hAnsi="Arial" w:hint="default"/>
          <w:sz w:val="18"/>
          <w:szCs w:val="18"/>
          <w:rtl w:val="0"/>
          <w:lang w:val="en-US"/>
        </w:rPr>
        <w:t>–</w:t>
      </w:r>
      <w:r>
        <w:rPr>
          <w:rStyle w:val="None A"/>
          <w:rFonts w:ascii="Arial" w:hAnsi="Arial"/>
          <w:sz w:val="18"/>
          <w:szCs w:val="18"/>
          <w:rtl w:val="0"/>
          <w:lang w:val="it-IT"/>
        </w:rPr>
        <w:t xml:space="preserve">2940. </w:t>
      </w:r>
      <w:r>
        <w:rPr>
          <w:rStyle w:val="Hyperlink.2"/>
          <w:rFonts w:ascii="Arial" w:cs="Arial" w:hAnsi="Arial" w:eastAsia="Arial"/>
          <w:color w:val="0000ff"/>
          <w:sz w:val="18"/>
          <w:szCs w:val="18"/>
          <w:u w:val="single" w:color="0000ff"/>
          <w:lang w:val="en-US"/>
        </w:rPr>
        <w:fldChar w:fldCharType="begin" w:fldLock="0"/>
      </w:r>
      <w:r>
        <w:rPr>
          <w:rStyle w:val="Hyperlink.2"/>
          <w:rFonts w:ascii="Arial" w:cs="Arial" w:hAnsi="Arial" w:eastAsia="Arial"/>
          <w:color w:val="0000ff"/>
          <w:sz w:val="18"/>
          <w:szCs w:val="18"/>
          <w:u w:val="single" w:color="0000ff"/>
          <w:lang w:val="en-US"/>
        </w:rPr>
        <w:instrText xml:space="preserve"> HYPERLINK "http://doi.org/10.1128/JB.00098-15"</w:instrText>
      </w:r>
      <w:r>
        <w:rPr>
          <w:rStyle w:val="Hyperlink.2"/>
          <w:rFonts w:ascii="Arial" w:cs="Arial" w:hAnsi="Arial" w:eastAsia="Arial"/>
          <w:color w:val="0000ff"/>
          <w:sz w:val="18"/>
          <w:szCs w:val="18"/>
          <w:u w:val="single" w:color="0000ff"/>
          <w:lang w:val="en-US"/>
        </w:rPr>
        <w:fldChar w:fldCharType="separate" w:fldLock="0"/>
      </w:r>
      <w:r>
        <w:rPr>
          <w:rStyle w:val="Hyperlink.2"/>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de-DE"/>
        </w:rPr>
        <w:t xml:space="preserve">Hundsberger, T., Braun, V., Weidmann, M., Leukel, P., Sauerborn, M., &amp; von Eichel-Streiber, C. (1997). Transcription analysis </w:t>
      </w:r>
      <w:r>
        <w:rPr>
          <w:rStyle w:val="None A"/>
          <w:rFonts w:ascii="Arial" w:cs="Arial" w:hAnsi="Arial" w:eastAsia="Arial"/>
          <w:sz w:val="18"/>
          <w:szCs w:val="18"/>
          <w:rtl w:val="0"/>
          <w:lang w:val="en-US"/>
        </w:rPr>
        <w:tab/>
        <w:t xml:space="preserve">of the genes tcdA-E of the pathogenicity locus of Clostridium difficile. </w:t>
      </w:r>
      <w:r>
        <w:rPr>
          <w:rStyle w:val="None A"/>
          <w:rFonts w:ascii="Arial" w:hAnsi="Arial"/>
          <w:i w:val="1"/>
          <w:iCs w:val="1"/>
          <w:sz w:val="18"/>
          <w:szCs w:val="18"/>
          <w:rtl w:val="0"/>
          <w:lang w:val="en-US"/>
        </w:rPr>
        <w:t>European Journal of Biochemistry / FEBS</w:t>
      </w:r>
      <w:r>
        <w:rPr>
          <w:rStyle w:val="None A"/>
          <w:rFonts w:ascii="Arial" w:hAnsi="Arial"/>
          <w:sz w:val="18"/>
          <w:szCs w:val="18"/>
          <w:rtl w:val="0"/>
          <w:lang w:val="en-US"/>
        </w:rPr>
        <w:t xml:space="preserve">, </w:t>
        <w:tab/>
        <w:tab/>
      </w:r>
      <w:r>
        <w:rPr>
          <w:rStyle w:val="None A"/>
          <w:rFonts w:ascii="Arial" w:hAnsi="Arial"/>
          <w:i w:val="1"/>
          <w:iCs w:val="1"/>
          <w:sz w:val="18"/>
          <w:szCs w:val="18"/>
          <w:rtl w:val="0"/>
          <w:lang w:val="en-US"/>
        </w:rPr>
        <w:t>244</w:t>
      </w:r>
      <w:r>
        <w:rPr>
          <w:rStyle w:val="None A"/>
          <w:rFonts w:ascii="Arial" w:hAnsi="Arial"/>
          <w:sz w:val="18"/>
          <w:szCs w:val="18"/>
          <w:rtl w:val="0"/>
          <w:lang w:val="en-US"/>
        </w:rPr>
        <w:t>(3), 735</w:t>
      </w:r>
      <w:r>
        <w:rPr>
          <w:rStyle w:val="None A"/>
          <w:rFonts w:ascii="Arial" w:hAnsi="Arial" w:hint="default"/>
          <w:sz w:val="18"/>
          <w:szCs w:val="18"/>
          <w:rtl w:val="0"/>
          <w:lang w:val="en-US"/>
        </w:rPr>
        <w:t>–</w:t>
      </w:r>
      <w:r>
        <w:rPr>
          <w:rStyle w:val="None A"/>
          <w:rFonts w:ascii="Arial" w:hAnsi="Arial"/>
          <w:sz w:val="18"/>
          <w:szCs w:val="18"/>
          <w:rtl w:val="0"/>
          <w:lang w:val="en-US"/>
        </w:rPr>
        <w:t xml:space="preserve">742. </w:t>
      </w:r>
      <w:r>
        <w:rPr>
          <w:rStyle w:val="Hyperlink.2"/>
          <w:rFonts w:ascii="Arial" w:cs="Arial" w:hAnsi="Arial" w:eastAsia="Arial"/>
          <w:color w:val="0000ff"/>
          <w:sz w:val="18"/>
          <w:szCs w:val="18"/>
          <w:u w:val="single" w:color="0000ff"/>
          <w:lang w:val="en-US"/>
        </w:rPr>
        <w:fldChar w:fldCharType="begin" w:fldLock="0"/>
      </w:r>
      <w:r>
        <w:rPr>
          <w:rStyle w:val="Hyperlink.2"/>
          <w:rFonts w:ascii="Arial" w:cs="Arial" w:hAnsi="Arial" w:eastAsia="Arial"/>
          <w:color w:val="0000ff"/>
          <w:sz w:val="18"/>
          <w:szCs w:val="18"/>
          <w:u w:val="single" w:color="0000ff"/>
          <w:lang w:val="en-US"/>
        </w:rPr>
        <w:instrText xml:space="preserve"> HYPERLINK "http://doi.org/10.1111/j.1432-1033.1997.t01-1-00735.x"</w:instrText>
      </w:r>
      <w:r>
        <w:rPr>
          <w:rStyle w:val="Hyperlink.2"/>
          <w:rFonts w:ascii="Arial" w:cs="Arial" w:hAnsi="Arial" w:eastAsia="Arial"/>
          <w:color w:val="0000ff"/>
          <w:sz w:val="18"/>
          <w:szCs w:val="18"/>
          <w:u w:val="single" w:color="0000ff"/>
          <w:lang w:val="en-US"/>
        </w:rPr>
        <w:fldChar w:fldCharType="separate" w:fldLock="0"/>
      </w:r>
      <w:r>
        <w:rPr>
          <w:rStyle w:val="Hyperlink.2"/>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fr-FR"/>
        </w:rPr>
        <w:t>Janoir, C., Den</w:t>
      </w:r>
      <w:r>
        <w:rPr>
          <w:rStyle w:val="None A"/>
          <w:rFonts w:ascii="Arial" w:hAnsi="Arial" w:hint="default"/>
          <w:sz w:val="18"/>
          <w:szCs w:val="18"/>
          <w:rtl w:val="0"/>
          <w:lang w:val="fr-FR"/>
        </w:rPr>
        <w:t>è</w:t>
      </w:r>
      <w:r>
        <w:rPr>
          <w:rStyle w:val="None A"/>
          <w:rFonts w:ascii="Arial" w:hAnsi="Arial"/>
          <w:sz w:val="18"/>
          <w:szCs w:val="18"/>
          <w:rtl w:val="0"/>
          <w:lang w:val="en-US"/>
        </w:rPr>
        <w:t>ve, C., Bouttier, S., Barbut, F., Hoys, S., Caleechum, L., &amp; Dupuy, B. (2013). Adaptive strategies and patho</w:t>
        <w:tab/>
        <w:tab/>
        <w:t xml:space="preserve">genesis of clostridium difficile from In vivo transcriptomics.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81</w:t>
      </w:r>
      <w:r>
        <w:rPr>
          <w:rStyle w:val="None A"/>
          <w:rFonts w:ascii="Arial" w:hAnsi="Arial"/>
          <w:sz w:val="18"/>
          <w:szCs w:val="18"/>
          <w:rtl w:val="0"/>
          <w:lang w:val="en-US"/>
        </w:rPr>
        <w:t>(10), 3757</w:t>
      </w:r>
      <w:r>
        <w:rPr>
          <w:rStyle w:val="None A"/>
          <w:rFonts w:ascii="Arial" w:hAnsi="Arial" w:hint="default"/>
          <w:sz w:val="18"/>
          <w:szCs w:val="18"/>
          <w:rtl w:val="0"/>
          <w:lang w:val="en-US"/>
        </w:rPr>
        <w:t>–</w:t>
      </w:r>
      <w:r>
        <w:rPr>
          <w:rStyle w:val="None A"/>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cs="Arial" w:hAnsi="Arial" w:eastAsia="Arial"/>
          <w:sz w:val="18"/>
          <w:szCs w:val="18"/>
        </w:rPr>
        <w:tab/>
      </w:r>
      <w:r>
        <w:rPr>
          <w:rStyle w:val="Hyperlink.3"/>
        </w:rPr>
        <w:fldChar w:fldCharType="begin" w:fldLock="0"/>
      </w:r>
      <w:r>
        <w:rPr>
          <w:rStyle w:val="Hyperlink.3"/>
        </w:rPr>
        <w:instrText xml:space="preserve"> HYPERLINK "http://doi.org/10.1128/IAI.00515-13"</w:instrText>
      </w:r>
      <w:r>
        <w:rPr>
          <w:rStyle w:val="Hyperlink.3"/>
        </w:rPr>
        <w:fldChar w:fldCharType="separate" w:fldLock="0"/>
      </w:r>
      <w:r>
        <w:rPr>
          <w:rStyle w:val="Hyperlink.3"/>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en-US"/>
        </w:rPr>
        <w:t xml:space="preserve">Joshi, N., &amp; Fass, J. (2011). Sickle: A sliding-window, adaptive, quality-based trimming tool for FastQ files (Version 1.33) </w:t>
        <w:tab/>
        <w:tab/>
        <w:t xml:space="preserve">[Software]. </w:t>
      </w:r>
      <w:r>
        <w:rPr>
          <w:rStyle w:val="None A"/>
          <w:rFonts w:ascii="Arial" w:hAnsi="Arial"/>
          <w:i w:val="1"/>
          <w:iCs w:val="1"/>
          <w:sz w:val="18"/>
          <w:szCs w:val="18"/>
          <w:rtl w:val="0"/>
          <w:lang w:val="en-US"/>
        </w:rPr>
        <w:t>Available at Https://github.com/najoshi/sickle.</w:t>
      </w:r>
      <w:r>
        <w:rPr>
          <w:rStyle w:val="None A"/>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u w:val="none"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u w:val="none" w:color="323232"/>
        </w:rPr>
      </w:pPr>
      <w:r>
        <w:rPr>
          <w:rStyle w:val="None A"/>
          <w:rFonts w:ascii="Arial" w:hAnsi="Arial"/>
          <w:color w:val="323232"/>
          <w:sz w:val="18"/>
          <w:szCs w:val="18"/>
          <w:u w:val="none"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A"/>
          <w:rFonts w:ascii="Arial" w:hAnsi="Arial"/>
          <w:i w:val="1"/>
          <w:iCs w:val="1"/>
          <w:color w:val="323232"/>
          <w:sz w:val="18"/>
          <w:szCs w:val="18"/>
          <w:u w:val="none" w:color="323232"/>
          <w:rtl w:val="0"/>
          <w:lang w:val="de-DE"/>
        </w:rPr>
        <w:t>PLoS ONE</w:t>
      </w:r>
      <w:r>
        <w:rPr>
          <w:rStyle w:val="None A"/>
          <w:rFonts w:ascii="Arial" w:hAnsi="Arial"/>
          <w:color w:val="323232"/>
          <w:sz w:val="18"/>
          <w:szCs w:val="18"/>
          <w:u w:val="none"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A"/>
          <w:rFonts w:ascii="Arial" w:hAnsi="Arial"/>
          <w:i w:val="1"/>
          <w:iCs w:val="1"/>
          <w:sz w:val="18"/>
          <w:szCs w:val="18"/>
          <w:rtl w:val="0"/>
          <w:lang w:val="en-US"/>
        </w:rPr>
        <w:t>Microbiology and 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41</w:t>
      </w:r>
      <w:r>
        <w:rPr>
          <w:rStyle w:val="None A"/>
          <w:rFonts w:ascii="Arial" w:hAnsi="Arial"/>
          <w:sz w:val="18"/>
          <w:szCs w:val="18"/>
          <w:rtl w:val="0"/>
          <w:lang w:val="en-US"/>
        </w:rPr>
        <w:t>(8), 581</w:t>
      </w:r>
      <w:r>
        <w:rPr>
          <w:rStyle w:val="None A"/>
          <w:rFonts w:ascii="Arial" w:hAnsi="Arial" w:hint="default"/>
          <w:sz w:val="18"/>
          <w:szCs w:val="18"/>
          <w:rtl w:val="0"/>
          <w:lang w:val="en-US"/>
        </w:rPr>
        <w:t>–</w:t>
      </w:r>
      <w:r>
        <w:rPr>
          <w:rStyle w:val="None A"/>
          <w:rFonts w:ascii="Arial" w:hAnsi="Arial"/>
          <w:sz w:val="18"/>
          <w:szCs w:val="18"/>
          <w:rtl w:val="0"/>
          <w:lang w:val="en-US"/>
        </w:rPr>
        <w:t>5. Retrieved from http://www.ncbi.nlm.nih.gov/pubmed/9310936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Karlsson, S., Dupuy, B., Mukherjee, K., Norin, E., Burman, L. G., &amp; </w:t>
      </w:r>
      <w:r>
        <w:rPr>
          <w:rStyle w:val="None A"/>
          <w:rFonts w:ascii="Arial" w:hAnsi="Arial" w:hint="default"/>
          <w:sz w:val="18"/>
          <w:szCs w:val="18"/>
          <w:rtl w:val="0"/>
          <w:lang w:val="en-US"/>
        </w:rPr>
        <w:t>Å</w:t>
      </w:r>
      <w:r>
        <w:rPr>
          <w:rStyle w:val="None A"/>
          <w:rFonts w:ascii="Arial" w:hAnsi="Arial"/>
          <w:sz w:val="18"/>
          <w:szCs w:val="18"/>
          <w:rtl w:val="0"/>
          <w:lang w:val="en-US"/>
        </w:rPr>
        <w:t xml:space="preserve">kerlund, T. (2003). Expression of Clostridium difficile toxins A and B and their sigma factor TcdD is controlled by temperature.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71</w:t>
      </w:r>
      <w:r>
        <w:rPr>
          <w:rStyle w:val="None A"/>
          <w:rFonts w:ascii="Arial" w:hAnsi="Arial"/>
          <w:sz w:val="18"/>
          <w:szCs w:val="18"/>
          <w:rtl w:val="0"/>
          <w:lang w:val="en-US"/>
        </w:rPr>
        <w:t>(4), 1784</w:t>
      </w:r>
      <w:r>
        <w:rPr>
          <w:rStyle w:val="None A"/>
          <w:rFonts w:ascii="Arial" w:hAnsi="Arial" w:hint="default"/>
          <w:sz w:val="18"/>
          <w:szCs w:val="18"/>
          <w:rtl w:val="0"/>
          <w:lang w:val="en-US"/>
        </w:rPr>
        <w:t>–</w:t>
      </w:r>
      <w:r>
        <w:rPr>
          <w:rStyle w:val="None A"/>
          <w:rFonts w:ascii="Arial" w:hAnsi="Arial"/>
          <w:sz w:val="18"/>
          <w:szCs w:val="18"/>
          <w:rtl w:val="0"/>
          <w:lang w:val="en-US"/>
        </w:rPr>
        <w:t>1793. http://doi.org/10.1128/IAI.71.4.1784-1793.2003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Kim, J., Hetzel, M., Boiangiu, C. D., &amp; Buckel, W. (2004). Dehydration of (R)-2-hydroxyacyl-CoA to enoyl-CoA in the fermentation of </w:t>
      </w:r>
      <w:r>
        <w:rPr>
          <w:rStyle w:val="None A"/>
          <w:rFonts w:ascii="Arial" w:hAnsi="Arial" w:hint="default"/>
          <w:sz w:val="18"/>
          <w:szCs w:val="18"/>
          <w:rtl w:val="0"/>
          <w:lang w:val="en-US"/>
        </w:rPr>
        <w:t>α</w:t>
      </w:r>
      <w:r>
        <w:rPr>
          <w:rStyle w:val="None A"/>
          <w:rFonts w:ascii="Arial" w:hAnsi="Arial"/>
          <w:sz w:val="18"/>
          <w:szCs w:val="18"/>
          <w:rtl w:val="0"/>
          <w:lang w:val="en-US"/>
        </w:rPr>
        <w:t xml:space="preserve">-amino acids by anaerobic bacteria. </w:t>
      </w:r>
      <w:r>
        <w:rPr>
          <w:rStyle w:val="None A"/>
          <w:rFonts w:ascii="Arial" w:hAnsi="Arial"/>
          <w:i w:val="1"/>
          <w:iCs w:val="1"/>
          <w:sz w:val="18"/>
          <w:szCs w:val="18"/>
          <w:rtl w:val="0"/>
          <w:lang w:val="en-US"/>
        </w:rPr>
        <w:t>FEMS Microbiology Reviews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28</w:t>
      </w:r>
      <w:r>
        <w:rPr>
          <w:rStyle w:val="None A"/>
          <w:rFonts w:ascii="Arial" w:hAnsi="Arial"/>
          <w:sz w:val="18"/>
          <w:szCs w:val="18"/>
          <w:rtl w:val="0"/>
          <w:lang w:val="en-US"/>
        </w:rPr>
        <w:t>(4), 455</w:t>
      </w:r>
      <w:r>
        <w:rPr>
          <w:rStyle w:val="None A"/>
          <w:rFonts w:ascii="Arial" w:hAnsi="Arial" w:hint="default"/>
          <w:sz w:val="18"/>
          <w:szCs w:val="18"/>
          <w:rtl w:val="0"/>
          <w:lang w:val="en-US"/>
        </w:rPr>
        <w:t>–</w:t>
      </w:r>
      <w:r>
        <w:rPr>
          <w:rStyle w:val="None A"/>
          <w:rFonts w:ascii="Arial" w:hAnsi="Arial"/>
          <w:sz w:val="18"/>
          <w:szCs w:val="18"/>
          <w:rtl w:val="0"/>
          <w:lang w:val="en-US"/>
        </w:rPr>
        <w:t>468. http://doi.org/10.1016/j.femsre.2004.03.001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83</w:t>
      </w:r>
      <w:r>
        <w:rPr>
          <w:rStyle w:val="None A"/>
          <w:rFonts w:ascii="Arial" w:hAnsi="Arial"/>
          <w:sz w:val="18"/>
          <w:szCs w:val="18"/>
          <w:rtl w:val="0"/>
          <w:lang w:val="en-US"/>
        </w:rPr>
        <w:t>(3), 934</w:t>
      </w:r>
      <w:r>
        <w:rPr>
          <w:rStyle w:val="None A"/>
          <w:rFonts w:ascii="Arial" w:hAnsi="Arial" w:hint="default"/>
          <w:sz w:val="18"/>
          <w:szCs w:val="18"/>
          <w:rtl w:val="0"/>
          <w:lang w:val="en-US"/>
        </w:rPr>
        <w:t>–</w:t>
      </w:r>
      <w:r>
        <w:rPr>
          <w:rStyle w:val="None A"/>
          <w:rFonts w:ascii="Arial" w:hAnsi="Arial"/>
          <w:sz w:val="18"/>
          <w:szCs w:val="18"/>
          <w:rtl w:val="0"/>
          <w:lang w:val="en-US"/>
        </w:rPr>
        <w:t>941. http://doi.org/10.1128/IAI.02768-14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Langmead, B., Trapnell, C., Pop, M., &amp; Salzberg, S. L. (2009). Ultrafast and memory-efficient alignment of short DNA sequences to the human genome. </w:t>
      </w:r>
      <w:r>
        <w:rPr>
          <w:rStyle w:val="None A"/>
          <w:rFonts w:ascii="Arial" w:hAnsi="Arial"/>
          <w:i w:val="1"/>
          <w:iCs w:val="1"/>
          <w:sz w:val="18"/>
          <w:szCs w:val="18"/>
          <w:rtl w:val="0"/>
          <w:lang w:val="en-US"/>
        </w:rPr>
        <w:t>Genome Biol</w:t>
      </w:r>
      <w:r>
        <w:rPr>
          <w:rStyle w:val="None A"/>
          <w:rFonts w:ascii="Arial" w:hAnsi="Arial"/>
          <w:sz w:val="18"/>
          <w:szCs w:val="18"/>
          <w:rtl w:val="0"/>
          <w:lang w:val="en-US"/>
        </w:rPr>
        <w:t>, 1</w:t>
      </w:r>
      <w:r>
        <w:rPr>
          <w:rStyle w:val="None A"/>
          <w:rFonts w:ascii="Arial" w:hAnsi="Arial" w:hint="default"/>
          <w:sz w:val="18"/>
          <w:szCs w:val="18"/>
          <w:rtl w:val="0"/>
          <w:lang w:val="en-US"/>
        </w:rPr>
        <w:t>–</w:t>
      </w:r>
      <w:r>
        <w:rPr>
          <w:rStyle w:val="None A"/>
          <w:rFonts w:ascii="Arial" w:hAnsi="Arial"/>
          <w:sz w:val="18"/>
          <w:szCs w:val="18"/>
          <w:rtl w:val="0"/>
          <w:lang w:val="en-US"/>
        </w:rPr>
        <w:t>10. http://doi.org/gb-2009-10-3-r25 [pii]\r10.1186/gb-2009-10-3-r25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Lawley, T. D., &amp; Walker, A. W. (2013). Intestinal colonization resistance. </w:t>
      </w:r>
      <w:r>
        <w:rPr>
          <w:rStyle w:val="None A"/>
          <w:rFonts w:ascii="Arial" w:hAnsi="Arial"/>
          <w:i w:val="1"/>
          <w:iCs w:val="1"/>
          <w:sz w:val="18"/>
          <w:szCs w:val="18"/>
          <w:rtl w:val="0"/>
          <w:lang w:val="en-US"/>
        </w:rPr>
        <w:t>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138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11. http://doi.org/10.1111/j.1365-2567.2012.03616.x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Leffler, D. A., &amp; Lamont, J. T. (2015). Clostridium difficile Infection. </w:t>
      </w:r>
      <w:r>
        <w:rPr>
          <w:rStyle w:val="None A"/>
          <w:rFonts w:ascii="Arial" w:hAnsi="Arial"/>
          <w:i w:val="1"/>
          <w:iCs w:val="1"/>
          <w:sz w:val="18"/>
          <w:szCs w:val="18"/>
          <w:rtl w:val="0"/>
          <w:lang w:val="en-US"/>
        </w:rPr>
        <w:t>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(16), 1539</w:t>
      </w:r>
      <w:r>
        <w:rPr>
          <w:rStyle w:val="None A"/>
          <w:rFonts w:ascii="Arial" w:hAnsi="Arial" w:hint="default"/>
          <w:sz w:val="18"/>
          <w:szCs w:val="18"/>
          <w:rtl w:val="0"/>
          <w:lang w:val="en-US"/>
        </w:rPr>
        <w:t>–</w:t>
      </w:r>
      <w:r>
        <w:rPr>
          <w:rStyle w:val="None A"/>
          <w:rFonts w:ascii="Arial" w:hAnsi="Arial"/>
          <w:sz w:val="18"/>
          <w:szCs w:val="18"/>
          <w:rtl w:val="0"/>
          <w:lang w:val="en-US"/>
        </w:rPr>
        <w:t>1548. http://doi.org/10.1056/NEJMra1403772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Lessa, F. C., Gould, C. V, &amp; McDonald, L. C. (2012). Current status of Clostridium difficile infection epidemiology. </w:t>
      </w:r>
      <w:r>
        <w:rPr>
          <w:rStyle w:val="None A"/>
          <w:rFonts w:ascii="Arial" w:hAnsi="Arial"/>
          <w:i w:val="1"/>
          <w:iCs w:val="1"/>
          <w:sz w:val="18"/>
          <w:szCs w:val="18"/>
          <w:rtl w:val="0"/>
          <w:lang w:val="en-US"/>
        </w:rPr>
        <w:t>Clinical Infectious Diseases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An Official Publication of the Infectious Diseases Society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 Suppl 2</w:t>
      </w:r>
      <w:r>
        <w:rPr>
          <w:rStyle w:val="None A"/>
          <w:rFonts w:ascii="Arial" w:hAnsi="Arial"/>
          <w:sz w:val="18"/>
          <w:szCs w:val="18"/>
          <w:rtl w:val="0"/>
          <w:lang w:val="en-US"/>
        </w:rPr>
        <w:t>(Suppl 2), S65</w:t>
      </w:r>
      <w:r>
        <w:rPr>
          <w:rStyle w:val="None A"/>
          <w:rFonts w:ascii="Arial" w:hAnsi="Arial" w:hint="default"/>
          <w:sz w:val="18"/>
          <w:szCs w:val="18"/>
          <w:rtl w:val="0"/>
          <w:lang w:val="en-US"/>
        </w:rPr>
        <w:t>–</w:t>
      </w:r>
      <w:r>
        <w:rPr>
          <w:rStyle w:val="None A"/>
          <w:rFonts w:ascii="Arial" w:hAnsi="Arial"/>
          <w:sz w:val="18"/>
          <w:szCs w:val="18"/>
          <w:rtl w:val="0"/>
          <w:lang w:val="en-US"/>
        </w:rPr>
        <w:t>70. http://doi.org/10.1093/cid/cis319</w:t>
      </w:r>
    </w:p>
    <w:p>
      <w:pPr>
        <w:pStyle w:val="Text body"/>
        <w:shd w:val="clear" w:color="auto" w:fill="ffffff"/>
        <w:ind w:left="480" w:hanging="480"/>
      </w:pPr>
      <w:r>
        <w:rPr>
          <w:rStyle w:val="None A"/>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A"/>
          <w:rFonts w:ascii="Arial" w:hAnsi="Arial"/>
          <w:i w:val="1"/>
          <w:iCs w:val="1"/>
          <w:sz w:val="18"/>
          <w:szCs w:val="18"/>
          <w:rtl w:val="0"/>
          <w:lang w:val="en-US"/>
        </w:rPr>
        <w:t>The 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(9), 825</w:t>
      </w:r>
      <w:r>
        <w:rPr>
          <w:rStyle w:val="None A"/>
          <w:rFonts w:ascii="Arial" w:hAnsi="Arial" w:hint="default"/>
          <w:sz w:val="18"/>
          <w:szCs w:val="18"/>
          <w:rtl w:val="0"/>
          <w:lang w:val="en-US"/>
        </w:rPr>
        <w:t>–</w:t>
      </w:r>
      <w:r>
        <w:rPr>
          <w:rStyle w:val="None A"/>
          <w:rFonts w:ascii="Arial" w:hAnsi="Arial"/>
          <w:sz w:val="18"/>
          <w:szCs w:val="18"/>
          <w:rtl w:val="0"/>
          <w:lang w:val="en-US"/>
        </w:rPr>
        <w:t xml:space="preserve">834. </w:t>
      </w:r>
      <w:r>
        <w:rPr>
          <w:rStyle w:val="Hyperlink.4"/>
        </w:rPr>
        <w:fldChar w:fldCharType="begin" w:fldLock="0"/>
      </w:r>
      <w:r>
        <w:rPr>
          <w:rStyle w:val="Hyperlink.4"/>
        </w:rPr>
        <w:instrText xml:space="preserve"> HYPERLINK "http://doi.org/10.1056/NEJMoa1408913"</w:instrText>
      </w:r>
      <w:r>
        <w:rPr>
          <w:rStyle w:val="Hyperlink.4"/>
        </w:rPr>
        <w:fldChar w:fldCharType="separate" w:fldLock="0"/>
      </w:r>
      <w:r>
        <w:rPr>
          <w:rStyle w:val="Hyperlink.4"/>
          <w:rtl w:val="0"/>
          <w:lang w:val="en-US"/>
        </w:rPr>
        <w:t>http://doi.org/10.1056/NEJMoa1408913</w:t>
      </w:r>
      <w:r>
        <w:rPr/>
        <w:fldChar w:fldCharType="end" w:fldLock="0"/>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190</w:t>
      </w:r>
      <w:r>
        <w:rPr>
          <w:rStyle w:val="None A"/>
          <w:rFonts w:ascii="Arial" w:hAnsi="Arial"/>
          <w:sz w:val="18"/>
          <w:szCs w:val="18"/>
          <w:rtl w:val="0"/>
          <w:lang w:val="en-US"/>
        </w:rPr>
        <w:t>(3), 843</w:t>
      </w:r>
      <w:r>
        <w:rPr>
          <w:rStyle w:val="None A"/>
          <w:rFonts w:ascii="Arial" w:hAnsi="Arial" w:hint="default"/>
          <w:sz w:val="18"/>
          <w:szCs w:val="18"/>
          <w:rtl w:val="0"/>
          <w:lang w:val="en-US"/>
        </w:rPr>
        <w:t>–</w:t>
      </w:r>
      <w:r>
        <w:rPr>
          <w:rStyle w:val="None A"/>
          <w:rFonts w:ascii="Arial" w:hAnsi="Arial"/>
          <w:sz w:val="18"/>
          <w:szCs w:val="18"/>
          <w:rtl w:val="0"/>
          <w:lang w:val="en-US"/>
        </w:rPr>
        <w:t>850. http://doi.org/10.1128/JB.01417-07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H., Handsaker, B., Wysoker, A., Fennell, T., Ruan, J., Homer, N., &amp; Durbin, R. (2009). The Sequence Alignment/Map format and SAMtools. </w:t>
      </w:r>
      <w:r>
        <w:rPr>
          <w:rStyle w:val="None A"/>
          <w:rFonts w:ascii="Arial" w:hAnsi="Arial"/>
          <w:i w:val="1"/>
          <w:iCs w:val="1"/>
          <w:sz w:val="18"/>
          <w:szCs w:val="18"/>
          <w:rtl w:val="0"/>
          <w:lang w:val="en-US"/>
        </w:rPr>
        <w:t>Bioinformatics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25</w:t>
      </w:r>
      <w:r>
        <w:rPr>
          <w:rStyle w:val="None A"/>
          <w:rFonts w:ascii="Arial" w:hAnsi="Arial"/>
          <w:sz w:val="18"/>
          <w:szCs w:val="18"/>
          <w:rtl w:val="0"/>
          <w:lang w:val="en-US"/>
        </w:rPr>
        <w:t>(16), 2078</w:t>
      </w:r>
      <w:r>
        <w:rPr>
          <w:rStyle w:val="None A"/>
          <w:rFonts w:ascii="Arial" w:hAnsi="Arial" w:hint="default"/>
          <w:sz w:val="18"/>
          <w:szCs w:val="18"/>
          <w:rtl w:val="0"/>
          <w:lang w:val="en-US"/>
        </w:rPr>
        <w:t>–</w:t>
      </w:r>
      <w:r>
        <w:rPr>
          <w:rStyle w:val="None A"/>
          <w:rFonts w:ascii="Arial" w:hAnsi="Arial"/>
          <w:sz w:val="18"/>
          <w:szCs w:val="18"/>
          <w:rtl w:val="0"/>
          <w:lang w:val="en-US"/>
        </w:rPr>
        <w:t>2079. http://doi.org/10.1093/bioinformatics/btp352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Lopez-Medina, E., Neubauer, M. M., Pier, G. B., &amp; Koh, A. Y. (2011). RNA isolation of Pseudomonas aeruginosa colonizing the murine gastrointestinal tract. </w:t>
      </w:r>
      <w:r>
        <w:rPr>
          <w:rStyle w:val="None A"/>
          <w:rFonts w:ascii="Arial" w:hAnsi="Arial"/>
          <w:i w:val="1"/>
          <w:iCs w:val="1"/>
          <w:sz w:val="18"/>
          <w:szCs w:val="18"/>
          <w:rtl w:val="0"/>
          <w:lang w:val="en-US"/>
        </w:rPr>
        <w:t>Journal of Visualized Experiments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JoVE</w:t>
      </w:r>
      <w:r>
        <w:rPr>
          <w:rStyle w:val="None A"/>
          <w:rFonts w:ascii="Arial" w:hAnsi="Arial"/>
          <w:sz w:val="18"/>
          <w:szCs w:val="18"/>
          <w:rtl w:val="0"/>
          <w:lang w:val="en-US"/>
        </w:rPr>
        <w:t>, (55), 6</w:t>
      </w:r>
      <w:r>
        <w:rPr>
          <w:rStyle w:val="None A"/>
          <w:rFonts w:ascii="Arial" w:hAnsi="Arial" w:hint="default"/>
          <w:sz w:val="18"/>
          <w:szCs w:val="18"/>
          <w:rtl w:val="0"/>
          <w:lang w:val="en-US"/>
        </w:rPr>
        <w:t>–</w:t>
      </w:r>
      <w:r>
        <w:rPr>
          <w:rStyle w:val="None A"/>
          <w:rFonts w:ascii="Arial" w:hAnsi="Arial"/>
          <w:sz w:val="18"/>
          <w:szCs w:val="18"/>
          <w:rtl w:val="0"/>
          <w:lang w:val="en-US"/>
        </w:rPr>
        <w:t>9. http://doi.org/10.3791/3293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Martin, M. (2011). Cutadapt removes adapter sequences from high-throughput sequencing reads. </w:t>
      </w:r>
      <w:r>
        <w:rPr>
          <w:rStyle w:val="None A"/>
          <w:rFonts w:ascii="Arial" w:hAnsi="Arial"/>
          <w:i w:val="1"/>
          <w:iCs w:val="1"/>
          <w:sz w:val="18"/>
          <w:szCs w:val="18"/>
          <w:rtl w:val="0"/>
          <w:lang w:val="en-US"/>
        </w:rPr>
        <w:t>EMBnet.journal</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17</w:t>
      </w:r>
      <w:r>
        <w:rPr>
          <w:rStyle w:val="None A"/>
          <w:rFonts w:ascii="Arial" w:hAnsi="Arial"/>
          <w:sz w:val="18"/>
          <w:szCs w:val="18"/>
          <w:rtl w:val="0"/>
          <w:lang w:val="en-US"/>
        </w:rPr>
        <w:t>(1), 10. http://doi.org/10.14806/ej.17.1.200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Matamouros, S., England, P., &amp; Dupuy, B. (2007). Clostridium difficile toxin expression is inhibited by the novel regulator TcdC.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64</w:t>
      </w:r>
      <w:r>
        <w:rPr>
          <w:rStyle w:val="None A"/>
          <w:rFonts w:ascii="Arial" w:hAnsi="Arial"/>
          <w:sz w:val="18"/>
          <w:szCs w:val="18"/>
          <w:rtl w:val="0"/>
          <w:lang w:val="en-US"/>
        </w:rPr>
        <w:t>(5), 1274</w:t>
      </w:r>
      <w:r>
        <w:rPr>
          <w:rStyle w:val="None A"/>
          <w:rFonts w:ascii="Arial" w:hAnsi="Arial" w:hint="default"/>
          <w:sz w:val="18"/>
          <w:szCs w:val="18"/>
          <w:rtl w:val="0"/>
          <w:lang w:val="en-US"/>
        </w:rPr>
        <w:t>–</w:t>
      </w:r>
      <w:r>
        <w:rPr>
          <w:rStyle w:val="None A"/>
          <w:rFonts w:ascii="Arial" w:hAnsi="Arial"/>
          <w:sz w:val="18"/>
          <w:szCs w:val="18"/>
          <w:rtl w:val="0"/>
          <w:lang w:val="en-US"/>
        </w:rPr>
        <w:t>1288. http://doi.org/10.1111/j.1365-2958.2007.05739.x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Moncrief, J. S., Barroso, L. A., &amp; Wilkins, T. D. (1997). Positive regulation of Clostridium difficile toxins.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65</w:t>
      </w:r>
      <w:r>
        <w:rPr>
          <w:rStyle w:val="None A"/>
          <w:rFonts w:ascii="Arial" w:hAnsi="Arial"/>
          <w:sz w:val="18"/>
          <w:szCs w:val="18"/>
          <w:rtl w:val="0"/>
          <w:lang w:val="en-US"/>
        </w:rPr>
        <w:t>(3), 1105</w:t>
      </w:r>
      <w:r>
        <w:rPr>
          <w:rStyle w:val="None A"/>
          <w:rFonts w:ascii="Arial" w:hAnsi="Arial" w:hint="default"/>
          <w:sz w:val="18"/>
          <w:szCs w:val="18"/>
          <w:rtl w:val="0"/>
          <w:lang w:val="en-US"/>
        </w:rPr>
        <w:t>–</w:t>
      </w:r>
      <w:r>
        <w:rPr>
          <w:rStyle w:val="None A"/>
          <w:rFonts w:ascii="Arial" w:hAnsi="Arial"/>
          <w:sz w:val="18"/>
          <w:szCs w:val="18"/>
          <w:rtl w:val="0"/>
          <w:lang w:val="en-US"/>
        </w:rPr>
        <w:t>1108.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Naaber, P., Smidt, I., </w:t>
      </w:r>
      <w:r>
        <w:rPr>
          <w:rStyle w:val="None A"/>
          <w:rFonts w:ascii="Arial" w:hAnsi="Arial" w:hint="default"/>
          <w:sz w:val="18"/>
          <w:szCs w:val="18"/>
          <w:rtl w:val="0"/>
          <w:lang w:val="en-US"/>
        </w:rPr>
        <w:t>Š</w:t>
      </w:r>
      <w:r>
        <w:rPr>
          <w:rStyle w:val="None A"/>
          <w:rFonts w:ascii="Arial" w:hAnsi="Arial"/>
          <w:sz w:val="18"/>
          <w:szCs w:val="18"/>
          <w:rtl w:val="0"/>
          <w:lang w:val="en-US"/>
        </w:rPr>
        <w:t>t</w:t>
      </w:r>
      <w:r>
        <w:rPr>
          <w:rStyle w:val="None A"/>
          <w:rFonts w:ascii="Arial" w:hAnsi="Arial" w:hint="default"/>
          <w:sz w:val="18"/>
          <w:szCs w:val="18"/>
          <w:rtl w:val="0"/>
          <w:lang w:val="en-US"/>
        </w:rPr>
        <w:t>š</w:t>
      </w:r>
      <w:r>
        <w:rPr>
          <w:rStyle w:val="None A"/>
          <w:rFonts w:ascii="Arial" w:hAnsi="Arial"/>
          <w:sz w:val="18"/>
          <w:szCs w:val="18"/>
          <w:rtl w:val="0"/>
          <w:lang w:val="en-US"/>
        </w:rPr>
        <w:t xml:space="preserve">epetova, J., Brilene, T., Annuk, H., &amp; Mikelsaar, M. (2004). Inhibition of Clostridium difficile strains by intestinal Lactobacillus species. </w:t>
      </w:r>
      <w:r>
        <w:rPr>
          <w:rStyle w:val="None A"/>
          <w:rFonts w:ascii="Arial" w:hAnsi="Arial"/>
          <w:i w:val="1"/>
          <w:iCs w:val="1"/>
          <w:sz w:val="18"/>
          <w:szCs w:val="18"/>
          <w:rtl w:val="0"/>
          <w:lang w:val="en-US"/>
        </w:rPr>
        <w:t>Journal of Medical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53</w:t>
      </w:r>
      <w:r>
        <w:rPr>
          <w:rStyle w:val="None A"/>
          <w:rFonts w:ascii="Arial" w:hAnsi="Arial"/>
          <w:sz w:val="18"/>
          <w:szCs w:val="18"/>
          <w:rtl w:val="0"/>
          <w:lang w:val="en-US"/>
        </w:rPr>
        <w:t>(6), 551</w:t>
      </w:r>
      <w:r>
        <w:rPr>
          <w:rStyle w:val="None A"/>
          <w:rFonts w:ascii="Arial" w:hAnsi="Arial" w:hint="default"/>
          <w:sz w:val="18"/>
          <w:szCs w:val="18"/>
          <w:rtl w:val="0"/>
          <w:lang w:val="en-US"/>
        </w:rPr>
        <w:t>–</w:t>
      </w:r>
      <w:r>
        <w:rPr>
          <w:rStyle w:val="None A"/>
          <w:rFonts w:ascii="Arial" w:hAnsi="Arial"/>
          <w:sz w:val="18"/>
          <w:szCs w:val="18"/>
          <w:rtl w:val="0"/>
          <w:lang w:val="en-US"/>
        </w:rPr>
        <w:t>554. http://doi.org/10.1099/jmm.0.45595-0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Nakamura, S., Nakashio, S., Yamakawa, K., Tanabe, N., &amp; Nishida, S. (1982). Carbohydrate Fermentation by Clostridium difficile. Microbiology and Immunology, 26(2), 107</w:t>
      </w:r>
      <w:r>
        <w:rPr>
          <w:rStyle w:val="None A"/>
          <w:rFonts w:ascii="Arial" w:hAnsi="Arial" w:hint="default"/>
          <w:sz w:val="18"/>
          <w:szCs w:val="18"/>
          <w:rtl w:val="0"/>
          <w:lang w:val="en-US"/>
        </w:rPr>
        <w:t>–</w:t>
      </w:r>
      <w:r>
        <w:rPr>
          <w:rStyle w:val="None A"/>
          <w:rFonts w:ascii="Arial" w:hAnsi="Arial"/>
          <w:sz w:val="18"/>
          <w:szCs w:val="18"/>
          <w:rtl w:val="0"/>
          <w:lang w:val="en-US"/>
        </w:rPr>
        <w:t>111. http://doi.org/10.1111/j.1348-0421.1982.tb00159.x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A"/>
          <w:rFonts w:ascii="Arial" w:hAnsi="Arial"/>
          <w:i w:val="1"/>
          <w:iCs w:val="1"/>
          <w:sz w:val="18"/>
          <w:szCs w:val="18"/>
          <w:rtl w:val="0"/>
          <w:lang w:val="en-US"/>
        </w:rPr>
        <w:t>Nature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502</w:t>
      </w:r>
      <w:r>
        <w:rPr>
          <w:rStyle w:val="None A"/>
          <w:rFonts w:ascii="Arial" w:hAnsi="Arial"/>
          <w:sz w:val="18"/>
          <w:szCs w:val="18"/>
          <w:rtl w:val="0"/>
          <w:lang w:val="en-US"/>
        </w:rPr>
        <w:t>(7469), 96</w:t>
      </w:r>
      <w:r>
        <w:rPr>
          <w:rStyle w:val="None A"/>
          <w:rFonts w:ascii="Arial" w:hAnsi="Arial" w:hint="default"/>
          <w:sz w:val="18"/>
          <w:szCs w:val="18"/>
          <w:rtl w:val="0"/>
          <w:lang w:val="en-US"/>
        </w:rPr>
        <w:t>–</w:t>
      </w:r>
      <w:r>
        <w:rPr>
          <w:rStyle w:val="None A"/>
          <w:rFonts w:ascii="Arial" w:hAnsi="Arial"/>
          <w:sz w:val="18"/>
          <w:szCs w:val="18"/>
          <w:rtl w:val="0"/>
          <w:lang w:val="en-US"/>
        </w:rPr>
        <w:t>9. http://doi.org/10.1038/nature12503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(7), 1492</w:t>
      </w:r>
      <w:r>
        <w:rPr>
          <w:rStyle w:val="None A"/>
          <w:rFonts w:ascii="Arial" w:hAnsi="Arial" w:hint="default"/>
          <w:sz w:val="18"/>
          <w:szCs w:val="18"/>
          <w:rtl w:val="0"/>
          <w:lang w:val="en-US"/>
        </w:rPr>
        <w:t>–</w:t>
      </w:r>
      <w:r>
        <w:rPr>
          <w:rStyle w:val="None A"/>
          <w:rFonts w:ascii="Arial" w:hAnsi="Arial"/>
          <w:sz w:val="18"/>
          <w:szCs w:val="18"/>
          <w:rtl w:val="0"/>
          <w:lang w:val="en-US"/>
        </w:rPr>
        <w:t>1503. http://doi.org/10.1128/JB.02104-12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A"/>
          <w:rFonts w:ascii="Arial" w:hAnsi="Arial" w:hint="default"/>
          <w:sz w:val="18"/>
          <w:szCs w:val="18"/>
          <w:rtl w:val="0"/>
          <w:lang w:val="en-US"/>
        </w:rPr>
        <w:t>–</w:t>
      </w:r>
      <w:r>
        <w:rPr>
          <w:rStyle w:val="None A"/>
          <w:rFonts w:ascii="Arial" w:hAnsi="Arial"/>
          <w:sz w:val="18"/>
          <w:szCs w:val="18"/>
          <w:rtl w:val="0"/>
          <w:lang w:val="en-US"/>
        </w:rPr>
        <w:t>235). http://doi.org/10.1016/S0065-2296(08)60217-7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Saujet, L., Pereira, F. C., Henriques, A. O., &amp; Martin-Verstraete, I. (2014). The regulatory network controlling spore formation in Clostridium difficile. </w:t>
      </w:r>
      <w:r>
        <w:rPr>
          <w:rStyle w:val="None A"/>
          <w:rFonts w:ascii="Arial" w:hAnsi="Arial"/>
          <w:i w:val="1"/>
          <w:iCs w:val="1"/>
          <w:sz w:val="18"/>
          <w:szCs w:val="18"/>
          <w:rtl w:val="0"/>
          <w:lang w:val="en-US"/>
        </w:rPr>
        <w:t>FEMS Microbiology Letters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358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10. http://doi.org/10.1111/1574-6968.12540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Scaria, J., Suzuki, H., Ptak, C. P., Chen, J.-W., Zhu, Y., Guo, X.-K., &amp; Chang, Y.-F. (2015). Comparative genomic and phenomic analysis of Clostridium difficile and </w:t>
      </w:r>
      <w:r>
        <w:rPr>
          <w:rStyle w:val="None A"/>
          <w:rFonts w:ascii="Arial" w:hAnsi="Arial"/>
          <w:i w:val="1"/>
          <w:iCs w:val="1"/>
          <w:sz w:val="18"/>
          <w:szCs w:val="18"/>
          <w:rtl w:val="0"/>
          <w:lang w:val="en-US"/>
        </w:rPr>
        <w:t>Clostridium sordellii</w:t>
      </w:r>
      <w:r>
        <w:rPr>
          <w:rStyle w:val="None A"/>
          <w:rFonts w:ascii="Arial" w:hAnsi="Arial"/>
          <w:sz w:val="18"/>
          <w:szCs w:val="18"/>
          <w:rtl w:val="0"/>
          <w:lang w:val="en-US"/>
        </w:rPr>
        <w:t xml:space="preserve">, two related pathogens with differing host tissue preference. </w:t>
      </w:r>
      <w:r>
        <w:rPr>
          <w:rStyle w:val="None A"/>
          <w:rFonts w:ascii="Arial" w:hAnsi="Arial"/>
          <w:i w:val="1"/>
          <w:iCs w:val="1"/>
          <w:sz w:val="18"/>
          <w:szCs w:val="18"/>
          <w:rtl w:val="0"/>
          <w:lang w:val="en-US"/>
        </w:rPr>
        <w:t>BMC Genomics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(1), 448. http://doi.org/10.1186/s12864-015-1663-5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169</w:t>
      </w:r>
      <w:r>
        <w:rPr>
          <w:rStyle w:val="None A"/>
          <w:rFonts w:ascii="Arial" w:hAnsi="Arial"/>
          <w:sz w:val="18"/>
          <w:szCs w:val="18"/>
          <w:rtl w:val="0"/>
          <w:lang w:val="en-US"/>
        </w:rPr>
        <w:t>(6), 2579</w:t>
      </w:r>
      <w:r>
        <w:rPr>
          <w:rStyle w:val="None A"/>
          <w:rFonts w:ascii="Arial" w:hAnsi="Arial" w:hint="default"/>
          <w:sz w:val="18"/>
          <w:szCs w:val="18"/>
          <w:rtl w:val="0"/>
          <w:lang w:val="en-US"/>
        </w:rPr>
        <w:t>–</w:t>
      </w:r>
      <w:r>
        <w:rPr>
          <w:rStyle w:val="None A"/>
          <w:rFonts w:ascii="Arial" w:hAnsi="Arial"/>
          <w:sz w:val="18"/>
          <w:szCs w:val="18"/>
          <w:rtl w:val="0"/>
          <w:lang w:val="en-US"/>
        </w:rPr>
        <w:t>2590.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(4). http://doi.org/10.1128/mBio.00974-15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A"/>
          <w:rFonts w:ascii="Arial" w:hAnsi="Arial"/>
          <w:i w:val="1"/>
          <w:iCs w:val="1"/>
          <w:sz w:val="18"/>
          <w:szCs w:val="18"/>
          <w:rtl w:val="0"/>
          <w:lang w:val="en-US"/>
        </w:rPr>
        <w:t>Nature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38</w:t>
      </w:r>
      <w:r>
        <w:rPr>
          <w:rStyle w:val="None A"/>
          <w:rFonts w:ascii="Arial" w:hAnsi="Arial"/>
          <w:sz w:val="18"/>
          <w:szCs w:val="18"/>
          <w:rtl w:val="0"/>
          <w:lang w:val="en-US"/>
        </w:rPr>
        <w:t>(7), 779</w:t>
      </w:r>
      <w:r>
        <w:rPr>
          <w:rStyle w:val="None A"/>
          <w:rFonts w:ascii="Arial" w:hAnsi="Arial" w:hint="default"/>
          <w:sz w:val="18"/>
          <w:szCs w:val="18"/>
          <w:rtl w:val="0"/>
          <w:lang w:val="en-US"/>
        </w:rPr>
        <w:t>–</w:t>
      </w:r>
      <w:r>
        <w:rPr>
          <w:rStyle w:val="None A"/>
          <w:rFonts w:ascii="Arial" w:hAnsi="Arial"/>
          <w:sz w:val="18"/>
          <w:szCs w:val="18"/>
          <w:rtl w:val="0"/>
          <w:lang w:val="en-US"/>
        </w:rPr>
        <w:t>786. http://doi.org/10.1038/ng1830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Songer, J. G., &amp; Anderson, M. A. (2006). Clostridium difficile: An important pathogen of food animals. </w:t>
      </w:r>
      <w:r>
        <w:rPr>
          <w:rStyle w:val="None A"/>
          <w:rFonts w:ascii="Arial" w:hAnsi="Arial"/>
          <w:i w:val="1"/>
          <w:iCs w:val="1"/>
          <w:sz w:val="18"/>
          <w:szCs w:val="18"/>
          <w:rtl w:val="0"/>
          <w:lang w:val="en-US"/>
        </w:rPr>
        <w:t>Anaerobe</w:t>
      </w:r>
      <w:r>
        <w:rPr>
          <w:rStyle w:val="None A"/>
          <w:rFonts w:ascii="Arial" w:hAnsi="Arial"/>
          <w:sz w:val="18"/>
          <w:szCs w:val="18"/>
          <w:rtl w:val="0"/>
          <w:lang w:val="en-US"/>
        </w:rPr>
        <w:t>. http://doi.org/10.1016/j.anaerobe.2005.09.001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A"/>
          <w:rFonts w:ascii="Arial" w:hAnsi="Arial"/>
          <w:i w:val="1"/>
          <w:iCs w:val="1"/>
          <w:sz w:val="18"/>
          <w:szCs w:val="18"/>
          <w:rtl w:val="0"/>
          <w:lang w:val="en-US"/>
        </w:rPr>
        <w:t>Gut Microbes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w:t>
      </w:r>
      <w:r>
        <w:rPr>
          <w:rStyle w:val="None A"/>
          <w:rFonts w:ascii="Arial" w:hAnsi="Arial"/>
          <w:sz w:val="18"/>
          <w:szCs w:val="18"/>
          <w:rtl w:val="0"/>
          <w:lang w:val="en-US"/>
        </w:rPr>
        <w:t>(6), 326</w:t>
      </w:r>
      <w:r>
        <w:rPr>
          <w:rStyle w:val="None A"/>
          <w:rFonts w:ascii="Arial" w:hAnsi="Arial" w:hint="default"/>
          <w:sz w:val="18"/>
          <w:szCs w:val="18"/>
          <w:rtl w:val="0"/>
          <w:lang w:val="en-US"/>
        </w:rPr>
        <w:t>–</w:t>
      </w:r>
      <w:r>
        <w:rPr>
          <w:rStyle w:val="None A"/>
          <w:rFonts w:ascii="Arial" w:hAnsi="Arial"/>
          <w:sz w:val="18"/>
          <w:szCs w:val="18"/>
          <w:rtl w:val="0"/>
          <w:lang w:val="en-US"/>
        </w:rPr>
        <w:t>334. http://doi.org/10.4161/gmic.19142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A"/>
          <w:rFonts w:ascii="Arial" w:hAnsi="Arial"/>
          <w:i w:val="1"/>
          <w:iCs w:val="1"/>
          <w:sz w:val="18"/>
          <w:szCs w:val="18"/>
          <w:rtl w:val="0"/>
          <w:lang w:val="en-US"/>
        </w:rPr>
        <w:t>13th biennial Congress of the Anaerobe Society of the Americas</w:t>
      </w:r>
      <w:r>
        <w:rPr>
          <w:rStyle w:val="None A"/>
          <w:rFonts w:ascii="Arial" w:hAnsi="Arial"/>
          <w:sz w:val="18"/>
          <w:szCs w:val="18"/>
          <w:rtl w:val="0"/>
          <w:lang w:val="en-US"/>
        </w:rPr>
        <w:t>. Poster presentation. 2016 July 11-14. Nashville, TN.</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A"/>
          <w:rFonts w:ascii="Arial" w:hAnsi="Arial"/>
          <w:i w:val="1"/>
          <w:iCs w:val="1"/>
          <w:sz w:val="18"/>
          <w:szCs w:val="18"/>
          <w:rtl w:val="0"/>
          <w:lang w:val="en-US"/>
        </w:rPr>
        <w:t>Current Opinion in Biotechnology</w:t>
      </w:r>
      <w:r>
        <w:rPr>
          <w:rStyle w:val="None A"/>
          <w:rFonts w:ascii="Arial" w:hAnsi="Arial"/>
          <w:sz w:val="18"/>
          <w:szCs w:val="18"/>
          <w:rtl w:val="0"/>
          <w:lang w:val="en-US"/>
        </w:rPr>
        <w:t>. http://doi.org/10.1016/j.copbio.2011.10.008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A"/>
          <w:rFonts w:ascii="Arial" w:hAnsi="Arial"/>
          <w:i w:val="1"/>
          <w:iCs w:val="1"/>
          <w:sz w:val="18"/>
          <w:szCs w:val="18"/>
          <w:rtl w:val="0"/>
          <w:lang w:val="en-US"/>
        </w:rPr>
        <w:t>Frontiers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w:t>
      </w:r>
      <w:r>
        <w:rPr>
          <w:rStyle w:val="None A"/>
          <w:rFonts w:ascii="Arial" w:hAnsi="Arial"/>
          <w:sz w:val="18"/>
          <w:szCs w:val="18"/>
          <w:rtl w:val="0"/>
          <w:lang w:val="en-US"/>
        </w:rPr>
        <w:t>(JUN). http://doi.org/10.3389/fmicb.2013.00157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Wilson, K. H., &amp; Perini, F. (1988). Role of competition for nutrients in suppression of Clostridium difficile by the colonic microflora.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56</w:t>
      </w:r>
      <w:r>
        <w:rPr>
          <w:rStyle w:val="None A"/>
          <w:rFonts w:ascii="Arial" w:hAnsi="Arial"/>
          <w:sz w:val="18"/>
          <w:szCs w:val="18"/>
          <w:rtl w:val="0"/>
          <w:lang w:val="en-US"/>
        </w:rPr>
        <w:t>(10), 2610</w:t>
      </w:r>
      <w:r>
        <w:rPr>
          <w:rStyle w:val="None A"/>
          <w:rFonts w:ascii="Arial" w:hAnsi="Arial" w:hint="default"/>
          <w:sz w:val="18"/>
          <w:szCs w:val="18"/>
          <w:rtl w:val="0"/>
          <w:lang w:val="en-US"/>
        </w:rPr>
        <w:t>–</w:t>
      </w:r>
      <w:r>
        <w:rPr>
          <w:rStyle w:val="None A"/>
          <w:rFonts w:ascii="Arial" w:hAnsi="Arial"/>
          <w:sz w:val="18"/>
          <w:szCs w:val="18"/>
          <w:rtl w:val="0"/>
          <w:lang w:val="en-US"/>
        </w:rPr>
        <w:t>2614.</w:t>
      </w:r>
    </w:p>
    <w:p>
      <w:pPr>
        <w:pStyle w:val="Text body"/>
        <w:shd w:val="clear" w:color="auto" w:fill="ffffff"/>
        <w:spacing w:line="100" w:lineRule="atLeast"/>
        <w:ind w:left="480" w:hanging="480"/>
        <w:jc w:val="both"/>
        <w:rPr>
          <w:rStyle w:val="None A"/>
          <w:rFonts w:ascii="Arial" w:cs="Arial" w:hAnsi="Arial" w:eastAsia="Arial"/>
          <w:sz w:val="18"/>
          <w:szCs w:val="18"/>
        </w:rPr>
      </w:pPr>
      <w:r>
        <w:rPr>
          <w:rStyle w:val="None A"/>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A"/>
          <w:rFonts w:ascii="Arial" w:hAnsi="Arial" w:hint="default"/>
          <w:sz w:val="18"/>
          <w:szCs w:val="18"/>
          <w:rtl w:val="0"/>
          <w:lang w:val="en-US"/>
        </w:rPr>
        <w:t>–</w:t>
      </w:r>
      <w:r>
        <w:rPr>
          <w:rStyle w:val="None A"/>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A"/>
          <w:rFonts w:ascii="Arial" w:hAnsi="Arial"/>
          <w:sz w:val="18"/>
          <w:szCs w:val="18"/>
          <w:rtl w:val="0"/>
          <w:lang w:val="en-US"/>
        </w:rPr>
        <w:t xml:space="preserve">Yuille, S., Mackay, W. G., Morrison, D. J., &amp; Tedford, M. C. (2015). Optimising gut colonisation resistance against Clostridium difficile infection. </w:t>
      </w:r>
      <w:r>
        <w:rPr>
          <w:rStyle w:val="None A"/>
          <w:rFonts w:ascii="Arial" w:hAnsi="Arial"/>
          <w:i w:val="1"/>
          <w:iCs w:val="1"/>
          <w:sz w:val="18"/>
          <w:szCs w:val="18"/>
          <w:rtl w:val="0"/>
          <w:lang w:val="en-US"/>
        </w:rPr>
        <w:t>European Journal of Clinical Microbiology and Infectious Diseases</w:t>
      </w:r>
      <w:r>
        <w:rPr>
          <w:rStyle w:val="None A"/>
          <w:rFonts w:ascii="Arial" w:hAnsi="Arial"/>
          <w:sz w:val="18"/>
          <w:szCs w:val="18"/>
          <w:rtl w:val="0"/>
          <w:lang w:val="en-US"/>
        </w:rPr>
        <w:t xml:space="preserve">. </w:t>
      </w:r>
      <w:r>
        <w:rPr>
          <w:rStyle w:val="Hyperlink.5"/>
        </w:rPr>
        <w:fldChar w:fldCharType="begin" w:fldLock="0"/>
      </w:r>
      <w:r>
        <w:rPr>
          <w:rStyle w:val="Hyperlink.5"/>
        </w:rPr>
        <w:instrText xml:space="preserve"> HYPERLINK "http://doi.org/10.1007/s10096-015-2479-6"</w:instrText>
      </w:r>
      <w:r>
        <w:rPr>
          <w:rStyle w:val="Hyperlink.5"/>
        </w:rPr>
        <w:fldChar w:fldCharType="separate" w:fldLock="0"/>
      </w:r>
      <w:r>
        <w:rPr>
          <w:rStyle w:val="Hyperlink.5"/>
          <w:rtl w:val="0"/>
          <w:lang w:val="en-US"/>
        </w:rPr>
        <w:t>http://doi.org/10.1007/s10096-015-2479-6</w:t>
      </w:r>
      <w:r>
        <w:rPr/>
        <w:fldChar w:fldCharType="end" w:fldLock="0"/>
      </w:r>
    </w:p>
    <w:sectPr>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A">
    <w:name w:val="None A"/>
    <w:rPr>
      <w:lang w:val="en-US"/>
    </w:rPr>
  </w:style>
  <w:style w:type="character" w:styleId="Hyperlink.0">
    <w:name w:val="Hyperlink.0"/>
    <w:basedOn w:val="None A"/>
    <w:next w:val="Hyperlink.0"/>
    <w:rPr>
      <w:rFonts w:ascii="Arial" w:cs="Arial" w:hAnsi="Arial" w:eastAsia="Arial"/>
      <w:caps w:val="0"/>
      <w:smallCaps w:val="0"/>
      <w:color w:val="000000"/>
      <w:spacing w:val="0"/>
      <w:sz w:val="22"/>
      <w:szCs w:val="22"/>
      <w:u w:val="single" w:color="000000"/>
    </w:rPr>
  </w:style>
  <w:style w:type="character" w:styleId="Hyperlink.1">
    <w:name w:val="Hyperlink.1"/>
    <w:basedOn w:val="None A"/>
    <w:next w:val="Hyperlink.1"/>
    <w:rPr>
      <w:rFonts w:ascii="Arial" w:cs="Arial" w:hAnsi="Arial" w:eastAsia="Arial"/>
      <w:color w:val="000080"/>
      <w:sz w:val="22"/>
      <w:szCs w:val="22"/>
      <w:u w:val="single" w:color="00008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2">
    <w:name w:val="Hyperlink.2"/>
    <w:basedOn w:val="None A"/>
    <w:next w:val="Hyperlink.2"/>
    <w:rPr>
      <w:rFonts w:ascii="Arial" w:cs="Arial" w:hAnsi="Arial" w:eastAsia="Arial"/>
      <w:color w:val="0000ff"/>
      <w:sz w:val="18"/>
      <w:szCs w:val="18"/>
      <w:u w:val="single" w:color="0000ff"/>
      <w:lang w:val="en-US"/>
    </w:rPr>
  </w:style>
  <w:style w:type="character" w:styleId="Hyperlink.3">
    <w:name w:val="Hyperlink.3"/>
    <w:basedOn w:val="None A"/>
    <w:next w:val="Hyperlink.3"/>
    <w:rPr>
      <w:rFonts w:ascii="Arial" w:cs="Arial" w:hAnsi="Arial" w:eastAsia="Arial"/>
      <w:color w:val="0000ff"/>
      <w:sz w:val="18"/>
      <w:szCs w:val="18"/>
      <w:u w:val="single" w:color="0000ff"/>
    </w:rPr>
  </w:style>
  <w:style w:type="character" w:styleId="Hyperlink.4">
    <w:name w:val="Hyperlink.4"/>
    <w:basedOn w:val="None A"/>
    <w:next w:val="Hyperlink.4"/>
    <w:rPr>
      <w:rFonts w:ascii="Arial" w:cs="Arial" w:hAnsi="Arial" w:eastAsia="Arial"/>
      <w:color w:val="000080"/>
      <w:sz w:val="18"/>
      <w:szCs w:val="18"/>
      <w:u w:val="single" w:color="000080"/>
    </w:rPr>
  </w:style>
  <w:style w:type="character" w:styleId="Hyperlink.5">
    <w:name w:val="Hyperlink.5"/>
    <w:basedOn w:val="None A"/>
    <w:next w:val="Hyperlink.5"/>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