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fill="FFFFFF"/>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val="clear" w:fill="FFFFFF"/>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val="clear" w:fill="FFFFFF"/>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val="clear"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val="clear" w:fill="FFFFFF"/>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fill="FFFFFF"/>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fill="FFFFFF"/>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fill="FFFFFF"/>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Genome-scale Bipartite metabolic models underscore known bacterial metabolism.</w:t>
      </w:r>
    </w:p>
    <w:p>
      <w:pPr>
        <w:pStyle w:val="Default"/>
        <w:shd w:val="clear" w:fill="FFFFFF"/>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val="clear"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w:t>
      </w:r>
      <w:r>
        <w:rPr>
          <w:rStyle w:val="NoneA"/>
          <w:rFonts w:ascii="Arial" w:hAnsi="Arial"/>
          <w:sz w:val="22"/>
          <w:szCs w:val="22"/>
          <w:shd w:fill="FFFFFF" w:val="clear"/>
          <w:lang w:val="en-US"/>
        </w:rPr>
        <w:t>b</w:t>
      </w:r>
      <w:r>
        <w:rPr>
          <w:rStyle w:val="NoneA"/>
          <w:rFonts w:ascii="Arial" w:hAnsi="Arial"/>
          <w:sz w:val="22"/>
          <w:szCs w:val="22"/>
          <w:shd w:fill="FFFFFF" w:val="clear"/>
          <w:lang w:val="en-US"/>
        </w:rPr>
        <w:t xml:space="preserve">).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C. difficile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val="clear" w:fill="FFFFFF"/>
        <w:spacing w:lineRule="auto" w:line="480"/>
        <w:ind w:left="0" w:right="0" w:firstLine="709"/>
        <w:jc w:val="both"/>
        <w:rPr/>
      </w:pPr>
      <w:r>
        <w:rPr>
          <w:rStyle w:val="NoneA"/>
          <w:rFonts w:ascii="Arial" w:hAnsi="Arial"/>
          <w:sz w:val="22"/>
          <w:szCs w:val="22"/>
          <w:lang w:val="en-US"/>
        </w:rPr>
        <w:t>As previously stated, N-acetyl-D-glucosamine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0.559)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0.439). D-sorbitol induced no difference over controls (Fig. S6). Interestingly, this carbohydrate has been shown to moderately promote the growth of other </w:t>
      </w:r>
      <w:r>
        <w:rPr>
          <w:rStyle w:val="NoneA"/>
          <w:rFonts w:ascii="Arial" w:hAnsi="Arial"/>
          <w:i/>
          <w:iCs/>
          <w:sz w:val="22"/>
          <w:szCs w:val="22"/>
          <w:lang w:val="en-US"/>
        </w:rPr>
        <w:t>C. difficile</w:t>
      </w:r>
      <w:r>
        <w:rPr>
          <w:rStyle w:val="NoneA"/>
          <w:rFonts w:ascii="Arial" w:hAnsi="Arial"/>
          <w:sz w:val="22"/>
          <w:szCs w:val="22"/>
          <w:lang w:val="en-US"/>
        </w:rPr>
        <w:t xml:space="preserve"> strains </w:t>
      </w:r>
      <w:r>
        <w:rPr>
          <w:rStyle w:val="NoneA"/>
          <w:rFonts w:ascii="Arial" w:hAnsi="Arial"/>
          <w:i/>
          <w:iCs/>
          <w:sz w:val="22"/>
          <w:szCs w:val="22"/>
          <w:lang w:val="en-US"/>
        </w:rPr>
        <w:t>in vitro</w:t>
      </w:r>
      <w:r>
        <w:rPr>
          <w:rStyle w:val="NoneA"/>
          <w:rFonts w:ascii="Arial" w:hAnsi="Arial"/>
          <w:sz w:val="22"/>
          <w:szCs w:val="22"/>
          <w:lang w:val="en-US"/>
        </w:rPr>
        <w:t xml:space="preserve"> and may indicate strain to strain variation in nutrient preferences (Theriot, 2014). 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metabolic modeling approach that … Our approach demonstrates several key improvements over </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Strengths/Weakness of modeling approach</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Transcriptomics is better than metagenomics, duh.</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Weaknesses: annotation, lack of translation / kinetic data</w:t>
      </w:r>
    </w:p>
    <w:p>
      <w:pPr>
        <w:pStyle w:val="Default"/>
        <w:shd w:val="clear" w:fill="FFFFFF"/>
        <w:spacing w:lineRule="auto" w:line="480"/>
        <w:ind w:left="0" w:right="0" w:firstLine="709"/>
        <w:jc w:val="both"/>
        <w:rPr>
          <w:rStyle w:val="NoneA"/>
        </w:rPr>
      </w:pPr>
      <w:r>
        <w:rPr/>
      </w:r>
    </w:p>
    <w:p>
      <w:pPr>
        <w:pStyle w:val="Default"/>
        <w:shd w:val="clear" w:fill="FFFFFF"/>
        <w:spacing w:lineRule="auto" w:line="480"/>
        <w:ind w:left="0" w:right="0" w:firstLine="709"/>
        <w:jc w:val="both"/>
        <w:rPr>
          <w:rStyle w:val="NoneA"/>
        </w:rPr>
      </w:pPr>
      <w:r>
        <w:rPr/>
      </w:r>
    </w:p>
    <w:p>
      <w:pPr>
        <w:pStyle w:val="Default"/>
        <w:shd w:val="clear" w:fill="FFFFFF"/>
        <w:spacing w:lineRule="auto" w:line="480"/>
        <w:ind w:left="0" w:right="0" w:firstLine="709"/>
        <w:jc w:val="both"/>
        <w:rPr/>
      </w:pPr>
      <w:r>
        <w:rPr>
          <w:rStyle w:val="NoneA"/>
          <w:rFonts w:ascii="Arial" w:hAnsi="Arial"/>
          <w:sz w:val="22"/>
          <w:szCs w:val="22"/>
          <w:lang w:val="en-US"/>
        </w:rPr>
        <w:t xml:space="preserve">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general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w:t>
      </w:r>
      <w:r>
        <w:rPr>
          <w:lang w:val="en-US"/>
        </w:rPr>
        <w:t xml:space="preserve"> </w:t>
      </w:r>
      <w:r>
        <w:rPr>
          <w:rStyle w:val="NoneA"/>
          <w:rFonts w:ascii="Arial" w:hAnsi="Arial"/>
          <w:sz w:val="22"/>
          <w:szCs w:val="22"/>
          <w:lang w:val="en-US"/>
        </w:rPr>
        <w:t>Although the exact source is unknown salicin availability in the gut could be derived from the mice’s plant-based diet, possibly following release during degradation of cell wall molecules by other gut bacterial species (Pierpoint, 1994).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most likely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N-acetylneuraminate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fill="FFFFFF"/>
        <w:spacing w:lineRule="auto" w:line="480"/>
        <w:ind w:left="0" w:right="0" w:firstLine="709"/>
        <w:jc w:val="both"/>
        <w:rPr>
          <w:rStyle w:val="NoneA"/>
        </w:rPr>
      </w:pPr>
      <w:r>
        <w:rPr/>
      </w:r>
    </w:p>
    <w:p>
      <w:pPr>
        <w:pStyle w:val="Default"/>
        <w:shd w:val="clear" w:fill="FFFFFF"/>
        <w:spacing w:lineRule="auto" w:line="480"/>
        <w:ind w:left="0" w:right="0" w:firstLine="709"/>
        <w:jc w:val="both"/>
        <w:rPr/>
      </w:pPr>
      <w:r>
        <w:rPr>
          <w:rStyle w:val="NoneA"/>
          <w:rFonts w:ascii="Arial" w:hAnsi="Arial"/>
          <w:sz w:val="22"/>
          <w:szCs w:val="22"/>
          <w:lang w:val="en-US"/>
        </w:rPr>
        <w:t>Novel insights from metabolic model - really significant metabolites in supplement</w:t>
      </w:r>
      <w:r>
        <w:rPr>
          <w:rStyle w:val="NoneA"/>
          <w:rFonts w:eastAsia="Arial" w:cs="Arial" w:ascii="Arial" w:hAnsi="Arial"/>
          <w:sz w:val="22"/>
          <w:szCs w:val="22"/>
        </w:rPr>
        <w:t xml:space="preserve"> </w:t>
      </w:r>
      <w:r>
        <w:rPr>
          <w:rStyle w:val="NoneA"/>
          <w:rFonts w:eastAsia="Arial" w:cs="Arial" w:ascii="Arial" w:hAnsi="Arial"/>
          <w:sz w:val="22"/>
          <w:szCs w:val="22"/>
        </w:rPr>
        <w:t>Table S3</w:t>
      </w:r>
    </w:p>
    <w:p>
      <w:pPr>
        <w:pStyle w:val="Default"/>
        <w:shd w:val="clear" w:fill="FFFFFF"/>
        <w:spacing w:lineRule="auto" w:line="480"/>
        <w:ind w:left="0" w:right="0" w:firstLine="709"/>
        <w:jc w:val="both"/>
        <w:rPr/>
      </w:pPr>
      <w:r>
        <w:rPr>
          <w:rStyle w:val="NoneA"/>
          <w:rFonts w:eastAsia="Arial" w:cs="Arial" w:ascii="Arial" w:hAnsi="Arial"/>
          <w:sz w:val="22"/>
          <w:szCs w:val="22"/>
        </w:rPr>
        <w:t>emergent properties, inferring reverse ecology</w:t>
      </w:r>
    </w:p>
    <w:p>
      <w:pPr>
        <w:pStyle w:val="Default"/>
        <w:shd w:val="clear" w:fill="FFFFFF"/>
        <w:spacing w:lineRule="auto" w:line="480"/>
        <w:ind w:left="0" w:right="0" w:firstLine="709"/>
        <w:jc w:val="both"/>
        <w:rPr/>
      </w:pPr>
      <w:r>
        <w:rPr>
          <w:rStyle w:val="Hyperlink2"/>
          <w:lang w:val="en-US"/>
        </w:rPr>
        <w:t>Demonstrates value for hypothesis generation.</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2,4−Diamino−6−nitrotoluene may indicate that C diff is actually metabolizing cefoperazone….</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2</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3</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Grand conclusion</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Style w:val="NoneA"/>
          <w:rFonts w:ascii="Arial" w:hAnsi="Arial"/>
          <w:sz w:val="22"/>
          <w:szCs w:val="22"/>
          <w:lang w:val="en-US"/>
        </w:rPr>
        <w:t>C. diff is able to colonize environment where these carbohydrates are available because the community has shifted, excluding the population that would normally consume the carbohydrate or eliminated competition for other resources for the remaining populations and C diff picks up the scraps</w:t>
      </w:r>
    </w:p>
    <w:p>
      <w:pPr>
        <w:pStyle w:val="Default"/>
        <w:shd w:val="clear" w:fill="FFFFFF"/>
        <w:spacing w:lineRule="auto" w:line="480"/>
        <w:ind w:left="0" w:right="0" w:firstLine="709"/>
        <w:jc w:val="both"/>
        <w:rPr/>
      </w:pPr>
      <w:r>
        <w:rPr/>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plasticity of </w:t>
      </w:r>
      <w:r>
        <w:rPr>
          <w:rStyle w:val="NoneA"/>
          <w:rFonts w:ascii="Arial" w:hAnsi="Arial"/>
          <w:i/>
          <w:iCs/>
          <w:sz w:val="22"/>
          <w:szCs w:val="22"/>
          <w:lang w:val="en-US"/>
        </w:rPr>
        <w:t>C. difficile</w:t>
      </w:r>
      <w:r>
        <w:rPr>
          <w:rStyle w:val="NoneA"/>
          <w:rFonts w:ascii="Arial" w:hAnsi="Arial"/>
          <w:sz w:val="22"/>
          <w:szCs w:val="22"/>
          <w:lang w:val="en-US"/>
        </w:rPr>
        <w:t>’s metabolism could be advantageous because it allows to fill an array of nutrient niches and outcompete other organisms in the environment that remain following antibiotics.</w:t>
      </w:r>
      <w:r>
        <w:rPr>
          <w:lang w:val="en-US"/>
        </w:rPr>
        <w:t xml:space="preserve"> </w:t>
      </w:r>
      <w:r>
        <w:rPr>
          <w:rStyle w:val="NoneA"/>
          <w:rFonts w:ascii="Arial" w:hAnsi="Arial"/>
          <w:sz w:val="22"/>
          <w:szCs w:val="22"/>
          <w:lang w:val="en-US"/>
        </w:rPr>
        <w:t>a variety of factors including variations in concentration of certain nutrients or competition with other microorganisms for growth resources.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lang w:val="en-US"/>
        </w:rPr>
        <w:t>spo0A</w:t>
      </w:r>
      <w:r>
        <w:rPr>
          <w:rStyle w:val="NoneA"/>
          <w:rFonts w:ascii="Arial" w:hAnsi="Arial"/>
          <w:sz w:val="22"/>
          <w:szCs w:val="22"/>
          <w:lang w:val="en-US"/>
        </w:rPr>
        <w:t xml:space="preserve">, which was consistently highly expressed, </w:t>
      </w:r>
      <w:r>
        <w:rPr>
          <w:rStyle w:val="NoneA"/>
          <w:rFonts w:ascii="Arial" w:hAnsi="Arial"/>
          <w:i/>
          <w:iCs/>
          <w:sz w:val="22"/>
          <w:szCs w:val="22"/>
          <w:lang w:val="en-US"/>
        </w:rPr>
        <w:t>spo</w:t>
      </w:r>
      <w:r>
        <w:rPr>
          <w:rStyle w:val="NoneA"/>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lang w:val="en-US"/>
        </w:rPr>
        <w:t>C. difficile</w:t>
      </w:r>
      <w:r>
        <w:rPr>
          <w:rStyle w:val="NoneA"/>
          <w:rFonts w:ascii="Arial" w:hAnsi="Arial"/>
          <w:sz w:val="22"/>
          <w:szCs w:val="22"/>
          <w:lang w:val="en-US"/>
        </w:rPr>
        <w:t xml:space="preserve"> has begun its final phase before transmission either other antibiotic group. In addition to lifestyle associated genes, </w:t>
      </w:r>
      <w:r>
        <w:rPr>
          <w:rStyle w:val="NoneA"/>
          <w:rFonts w:ascii="Arial" w:hAnsi="Arial"/>
          <w:i/>
          <w:iCs/>
          <w:sz w:val="22"/>
          <w:szCs w:val="22"/>
          <w:lang w:val="en-US"/>
        </w:rPr>
        <w:t>C. difficile</w:t>
      </w:r>
      <w:r>
        <w:rPr>
          <w:rStyle w:val="NoneA"/>
          <w:rFonts w:ascii="Arial" w:hAnsi="Arial"/>
          <w:sz w:val="22"/>
          <w:szCs w:val="22"/>
          <w:lang w:val="en-US"/>
        </w:rPr>
        <w:t xml:space="preserve"> str. 630 also demonstrated clear trends of expression for genes associated with separate aspects of its carbon metabolism between pretreatment groups. </w:t>
      </w:r>
    </w:p>
    <w:p>
      <w:pPr>
        <w:pStyle w:val="Default"/>
        <w:shd w:val="clear"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One potential limitation of the metabolite importance calculation is the inherent dependency on enzyme annotation. For example, </w:t>
      </w:r>
    </w:p>
    <w:p>
      <w:pPr>
        <w:pStyle w:val="Default"/>
        <w:shd w:val="clear"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Style w:val="NoneA"/>
          <w:rFonts w:ascii="Arial" w:hAnsi="Arial"/>
          <w:sz w:val="22"/>
          <w:szCs w:val="22"/>
          <w:lang w:val="en-US"/>
        </w:rPr>
        <w:t>Additionally, the workflow presented here assumes that KEGG annotated biochemical reactions are monodirectional. Although this is not a complete reflection of an organism’s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Style w:val="NoneA"/>
          <w:rFonts w:ascii="Arial" w:hAnsi="Arial"/>
          <w:sz w:val="22"/>
          <w:szCs w:val="22"/>
          <w:vertAlign w:val="subscript"/>
          <w:lang w:val="en-US"/>
        </w:rPr>
        <w:t>2</w:t>
      </w:r>
      <w:r>
        <w:rPr>
          <w:rStyle w:val="NoneA"/>
          <w:rFonts w:ascii="Arial" w:hAnsi="Arial"/>
          <w:sz w:val="22"/>
          <w:szCs w:val="22"/>
          <w:lang w:val="en-US"/>
        </w:rPr>
        <w:t xml:space="preserve"> or Ethanol). While this may be a shortcoming inherent in database-driven research, it may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an autotrophe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r>
      <w:r>
        <w:rPr>
          <w:rStyle w:val="NoneA"/>
          <w:rFonts w:ascii="Arial" w:hAnsi="Arial"/>
          <w:sz w:val="22"/>
          <w:szCs w:val="22"/>
          <w:lang w:val="en-US"/>
        </w:rPr>
        <w:t xml:space="preserve">Based on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w:t>
      </w:r>
      <w:r>
        <w:rPr>
          <w:rStyle w:val="NoneA"/>
          <w:rFonts w:ascii="Arial" w:hAnsi="Arial"/>
          <w:sz w:val="22"/>
          <w:szCs w:val="22"/>
          <w:lang w:val="en-US"/>
        </w:rPr>
        <w:t xml:space="preserve">(~24x coverage of </w:t>
      </w:r>
      <w:r>
        <w:rPr>
          <w:rStyle w:val="NoneA"/>
          <w:rFonts w:ascii="Arial" w:hAnsi="Arial"/>
          <w:i/>
          <w:iCs/>
          <w:sz w:val="22"/>
          <w:szCs w:val="22"/>
          <w:lang w:val="en-US"/>
        </w:rPr>
        <w:t>C. difficile</w:t>
      </w:r>
      <w:r>
        <w:rPr>
          <w:rStyle w:val="NoneA"/>
          <w:rFonts w:ascii="Arial" w:hAnsi="Arial"/>
          <w:sz w:val="22"/>
          <w:szCs w:val="22"/>
          <w:lang w:val="en-US"/>
        </w:rPr>
        <w:t xml:space="preserve"> str. 630 genes)</w:t>
      </w:r>
      <w:r>
        <w:rPr>
          <w:rStyle w:val="NoneA"/>
          <w:rFonts w:ascii="Arial" w:hAnsi="Arial"/>
          <w:sz w:val="22"/>
          <w:szCs w:val="22"/>
          <w:lang w:val="en-US"/>
        </w:rPr>
        <w:t xml:space="preserv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val="clear" w:fill="FFFFFF"/>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val="clear" w:fill="FFFFFF"/>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val="clear" w:fill="FFFFFF"/>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w:t>
      </w:r>
      <w:bookmarkStart w:id="2" w:name="MathJaxElement43Frame1"/>
      <w:r>
        <w:rPr>
          <w:rStyle w:val="NoneA"/>
          <w:rFonts w:ascii="Arial" w:hAnsi="Arial"/>
          <w:sz w:val="22"/>
          <w:szCs w:val="22"/>
          <w:vertAlign w:val="superscript"/>
          <w:lang w:val="en-US"/>
        </w:rPr>
        <w:t>2</w:t>
      </w:r>
      <w:r>
        <w:rPr>
          <w:rStyle w:val="Hyperlink2"/>
          <w:lang w:val="en-US"/>
        </w:rPr>
        <w:t>√(</w:t>
      </w:r>
      <w:bookmarkEnd w:id="2"/>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3" w:name="MathJaxElement43Frame2"/>
      <w:r>
        <w:rPr>
          <w:rStyle w:val="Hyperlink2"/>
          <w:lang w:val="en-US"/>
        </w:rPr>
        <w:t>)</w:t>
      </w:r>
    </w:p>
    <w:p>
      <w:pPr>
        <w:pStyle w:val="Default"/>
        <w:shd w:val="clear" w:fill="FFFFFF"/>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bookmarkStart w:id="4" w:name="MathJaxElement43Frame3"/>
      <w:r>
        <w:rPr>
          <w:rStyle w:val="NoneA"/>
          <w:rFonts w:ascii="Arial" w:hAnsi="Arial"/>
          <w:b/>
          <w:bCs/>
          <w:sz w:val="22"/>
          <w:szCs w:val="22"/>
          <w:lang w:val="en-US"/>
        </w:rPr>
        <w:t>Transcriptome Bootstrapping and Probability Distribution Comparison.</w:t>
      </w:r>
      <w:bookmarkEnd w:id="4"/>
      <w:r>
        <w:rPr>
          <w:rStyle w:val="NoneA"/>
          <w:rFonts w:ascii="Arial" w:hAnsi="Arial"/>
          <w:b/>
          <w:bCs/>
          <w:sz w:val="22"/>
          <w:szCs w:val="22"/>
          <w:lang w:val="en-US"/>
        </w:rPr>
        <w:t xml:space="preserve"> </w:t>
      </w:r>
      <w:bookmarkEnd w:id="3"/>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fill="FFFFFF"/>
        <w:spacing w:lineRule="auto" w:line="480"/>
        <w:jc w:val="both"/>
        <w:rPr>
          <w:rStyle w:val="Hyperlink2"/>
        </w:rPr>
      </w:pPr>
      <w:bookmarkStart w:id="5" w:name="MathJaxElement43Frame5"/>
      <w:bookmarkStart w:id="6" w:name="MathJaxElement43Frame5"/>
      <w:r>
        <w:rPr/>
      </w:r>
    </w:p>
    <w:p>
      <w:pPr>
        <w:pStyle w:val="Default"/>
        <w:shd w:val="clear"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w:t>
      </w:r>
      <w:r>
        <w:rPr>
          <w:rStyle w:val="Hyperlink2"/>
          <w:lang w:val="en-US"/>
        </w:rPr>
        <w:t xml:space="preserve">clear-bottom </w:t>
      </w:r>
      <w:r>
        <w:rPr>
          <w:rStyle w:val="Hyperlink2"/>
          <w:lang w:val="en-US"/>
        </w:rPr>
        <w:t>plate.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fill="FFFFFF"/>
        <w:spacing w:lineRule="auto" w:line="480"/>
        <w:ind w:left="480" w:right="0" w:hanging="480"/>
        <w:jc w:val="both"/>
        <w:rPr/>
      </w:pPr>
      <w:r>
        <w:rPr>
          <w:rStyle w:val="NoneA"/>
          <w:rFonts w:ascii="Arial" w:hAnsi="Arial"/>
          <w:b/>
          <w:bCs/>
          <w:sz w:val="22"/>
          <w:szCs w:val="22"/>
          <w:lang w:val="en-US"/>
        </w:rPr>
        <w:t>Figure Legends</w:t>
      </w:r>
    </w:p>
    <w:p>
      <w:pPr>
        <w:pStyle w:val="Default"/>
        <w:shd w:val="clear" w:fill="FFFFFF"/>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Like-colored asterisks refer to groups that display significantly different distributions by 2-way MANOVA (</w:t>
      </w:r>
      <w:r>
        <w:rPr>
          <w:rStyle w:val="NoneA"/>
          <w:rFonts w:ascii="Arial" w:hAnsi="Arial"/>
          <w:i/>
          <w:iCs/>
          <w:sz w:val="22"/>
          <w:szCs w:val="22"/>
          <w:lang w:val="en-US"/>
        </w:rPr>
        <w:t>P</w:t>
      </w:r>
      <w:r>
        <w:rPr>
          <w:rStyle w:val="Hyperlink2"/>
          <w:lang w:val="en-US"/>
        </w:rPr>
        <w:t xml:space="preserve"> &lt; 0.05).</w:t>
      </w:r>
    </w:p>
    <w:p>
      <w:pPr>
        <w:pStyle w:val="Default"/>
        <w:shd w:val="clear" w:fill="FFFFFF"/>
        <w:spacing w:lineRule="auto" w:line="480"/>
        <w:jc w:val="both"/>
        <w:rPr>
          <w:sz w:val="22"/>
          <w:szCs w:val="22"/>
        </w:rPr>
      </w:pPr>
      <w:r>
        <w:rPr>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w:t>
      </w:r>
      <w:r>
        <w:rPr>
          <w:rStyle w:val="NoneA"/>
          <w:rFonts w:ascii="Arial" w:hAnsi="Arial"/>
          <w:b/>
          <w:bCs/>
          <w:sz w:val="22"/>
          <w:szCs w:val="22"/>
          <w:lang w:val="en-US"/>
        </w:rPr>
        <w:t xml:space="preserve">(a) </w:t>
      </w:r>
      <w:r>
        <w:rPr>
          <w:rStyle w:val="NoneA"/>
          <w:rFonts w:ascii="Arial" w:hAnsi="Arial"/>
          <w:b w:val="false"/>
          <w:bCs w:val="false"/>
          <w:sz w:val="22"/>
          <w:szCs w:val="22"/>
          <w:lang w:val="en-US"/>
        </w:rPr>
        <w:t xml:space="preserve">An excerpt from the bipartite genome-scale metabolic model of </w:t>
      </w:r>
      <w:r>
        <w:rPr>
          <w:rStyle w:val="NoneA"/>
          <w:rFonts w:ascii="Arial" w:hAnsi="Arial"/>
          <w:b w:val="false"/>
          <w:bCs w:val="false"/>
          <w:i/>
          <w:iCs/>
          <w:sz w:val="22"/>
          <w:szCs w:val="22"/>
          <w:lang w:val="it-IT"/>
        </w:rPr>
        <w:t>C. difficile</w:t>
      </w:r>
      <w:r>
        <w:rPr>
          <w:rStyle w:val="NoneA"/>
          <w:rFonts w:ascii="Arial" w:hAnsi="Arial"/>
          <w:b w:val="false"/>
          <w:bCs w:val="false"/>
          <w:sz w:val="22"/>
          <w:szCs w:val="22"/>
          <w:lang w:val="en-US"/>
        </w:rPr>
        <w:t xml:space="preserve"> str. 630. Metrics under the exmple network reflect the size of the complete metabolic model. Shown above is the largest contiguous section (component) from the network (404 enzymes and 666 metabolites), and size of enzyme nodes is relative to the number of normalized reads mapped to the corresponding gene. Abundances are from the transcriptome of </w:t>
      </w:r>
      <w:r>
        <w:rPr>
          <w:rStyle w:val="NoneA"/>
          <w:rFonts w:ascii="Arial" w:hAnsi="Arial"/>
          <w:b w:val="false"/>
          <w:bCs w:val="false"/>
          <w:i/>
          <w:iCs/>
          <w:sz w:val="22"/>
          <w:szCs w:val="22"/>
          <w:lang w:val="en-US"/>
        </w:rPr>
        <w:t>C. difficile</w:t>
      </w:r>
      <w:r>
        <w:rPr>
          <w:rStyle w:val="NoneA"/>
          <w:rFonts w:ascii="Arial" w:hAnsi="Arial"/>
          <w:b w:val="false"/>
          <w:bCs w:val="false"/>
          <w:sz w:val="22"/>
          <w:szCs w:val="22"/>
          <w:lang w:val="en-US"/>
        </w:rPr>
        <w:t xml:space="preserve"> str. 630 during infection of cefoperazone-treated mice. </w:t>
      </w:r>
      <w:r>
        <w:rPr>
          <w:rStyle w:val="NoneA"/>
          <w:rFonts w:ascii="Arial" w:hAnsi="Arial"/>
          <w:b/>
          <w:bCs/>
          <w:sz w:val="22"/>
          <w:szCs w:val="22"/>
          <w:lang w:val="en-US"/>
        </w:rPr>
        <w:t xml:space="preserve">(b) </w:t>
      </w:r>
      <w:r>
        <w:rPr>
          <w:rStyle w:val="NoneA"/>
          <w:rFonts w:ascii="Arial" w:hAnsi="Arial"/>
          <w:sz w:val="22"/>
          <w:szCs w:val="22"/>
          <w:lang w:val="en-US"/>
        </w:rPr>
        <w:t xml:space="preserve">The expanded window displays an example of a single </w:t>
      </w:r>
      <w:r>
        <w:rPr>
          <w:rStyle w:val="NoneA"/>
          <w:rFonts w:ascii="Arial" w:hAnsi="Arial"/>
          <w:sz w:val="22"/>
          <w:szCs w:val="22"/>
          <w:lang w:val="en-US"/>
        </w:rPr>
        <w:t>metabolite</w:t>
      </w:r>
      <w:r>
        <w:rPr>
          <w:rStyle w:val="NoneA"/>
          <w:rFonts w:ascii="Arial" w:hAnsi="Arial"/>
          <w:sz w:val="22"/>
          <w:szCs w:val="22"/>
          <w:lang w:val="en-US"/>
        </w:rPr>
        <w:t xml:space="preserv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i/>
          <w:i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Log</w:t>
      </w:r>
      <w:r>
        <w:rPr>
          <w:rStyle w:val="NoneA"/>
          <w:rFonts w:ascii="Arial" w:hAnsi="Arial"/>
          <w:sz w:val="22"/>
          <w:szCs w:val="22"/>
          <w:vertAlign w:val="subscript"/>
          <w:lang w:val="en-US"/>
        </w:rPr>
        <w:t>2</w:t>
      </w:r>
      <w:r>
        <w:rPr>
          <w:rStyle w:val="NoneA"/>
          <w:rFonts w:ascii="Arial" w:hAnsi="Arial"/>
          <w:sz w:val="22"/>
          <w:szCs w:val="22"/>
          <w:lang w:val="en-US"/>
        </w:rPr>
        <w:t xml:space="preserve"> tran</w:t>
      </w:r>
      <w:r>
        <w:rPr>
          <w:rStyle w:val="NoneA"/>
          <w:rFonts w:ascii="Arial" w:hAnsi="Arial"/>
          <w:sz w:val="22"/>
          <w:szCs w:val="22"/>
          <w:lang w:val="en-US"/>
        </w:rPr>
        <w:t>s</w:t>
      </w:r>
      <w:r>
        <w:rPr>
          <w:rStyle w:val="NoneA"/>
          <w:rFonts w:ascii="Arial" w:hAnsi="Arial"/>
          <w:sz w:val="22"/>
          <w:szCs w:val="22"/>
          <w:lang w:val="en-US"/>
        </w:rPr>
        <w:t xml:space="preserve">formation is then performed to make comparisons between metabolites more </w:t>
      </w:r>
      <w:r>
        <w:rPr>
          <w:rStyle w:val="NoneA"/>
          <w:rFonts w:ascii="Arial" w:hAnsi="Arial"/>
          <w:sz w:val="22"/>
          <w:szCs w:val="22"/>
          <w:lang w:val="en-US"/>
        </w:rPr>
        <w:t>simple</w:t>
      </w:r>
      <w:bookmarkEnd w:id="6"/>
      <w:r>
        <w:rPr>
          <w:rStyle w:val="NoneA"/>
          <w:rFonts w:ascii="Arial" w:hAnsi="Arial"/>
          <w:sz w:val="22"/>
          <w:szCs w:val="22"/>
          <w:lang w:val="en-US"/>
        </w:rPr>
        <w:t>. The complete importance algorithm can be found in Materials &amp; Methods.</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Style w:val="NoneA"/>
          <w:rFonts w:ascii="Arial" w:hAnsi="Arial"/>
          <w:b/>
          <w:b/>
          <w:bCs/>
          <w:sz w:val="22"/>
          <w:szCs w:val="22"/>
          <w:lang w:val="en-US"/>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Figure 6 | Results from network-based metabolite importance calcu</w:t>
      </w:r>
      <w:r>
        <w:rPr>
          <w:rStyle w:val="NoneA"/>
          <w:rFonts w:ascii="Arial" w:hAnsi="Arial"/>
          <w:b/>
          <w:bCs/>
          <w:sz w:val="22"/>
          <w:szCs w:val="22"/>
          <w:lang w:val="en-US"/>
        </w:rPr>
        <w:t>lation</w:t>
      </w:r>
      <w:r>
        <w:rPr>
          <w:rStyle w:val="NoneA"/>
          <w:rFonts w:ascii="Arial" w:hAnsi="Arial"/>
          <w:b/>
          <w:bCs/>
          <w:sz w:val="22"/>
          <w:szCs w:val="22"/>
          <w:lang w:val="en-US"/>
        </w:rPr>
        <w:t xml:space="preserve"> and </w:t>
      </w:r>
      <w:r>
        <w:rPr>
          <w:rStyle w:val="NoneA"/>
          <w:rFonts w:ascii="Arial" w:hAnsi="Arial"/>
          <w:b/>
          <w:bCs/>
          <w:i/>
          <w:iCs/>
          <w:sz w:val="22"/>
          <w:szCs w:val="22"/>
          <w:lang w:val="en-US"/>
        </w:rPr>
        <w:t>i</w:t>
      </w:r>
      <w:r>
        <w:rPr>
          <w:rStyle w:val="NoneA"/>
          <w:rFonts w:ascii="Arial" w:hAnsi="Arial"/>
          <w:b/>
          <w:bCs/>
          <w:i/>
          <w:iCs/>
          <w:sz w:val="22"/>
          <w:szCs w:val="22"/>
          <w:lang w:val="en-US"/>
        </w:rPr>
        <w:t>n vitro</w:t>
      </w:r>
      <w:r>
        <w:rPr>
          <w:rStyle w:val="NoneA"/>
          <w:rFonts w:ascii="Arial" w:hAnsi="Arial"/>
          <w:b/>
          <w:bCs/>
          <w:sz w:val="22"/>
          <w:szCs w:val="22"/>
          <w:lang w:val="en-US"/>
        </w:rPr>
        <w:t xml:space="preserve"> growth with important carbohydrates</w:t>
      </w:r>
      <w:r>
        <w:rPr>
          <w:rStyle w:val="NoneA"/>
          <w:rFonts w:ascii="Arial" w:hAnsi="Arial"/>
          <w:b/>
          <w:bCs/>
          <w:sz w:val="22"/>
          <w:szCs w:val="22"/>
          <w:lang w:val="en-US"/>
        </w:rPr>
        <w:t>.</w:t>
      </w:r>
      <w:r>
        <w:rPr>
          <w:rStyle w:val="NoneA"/>
          <w:rFonts w:ascii="Arial" w:hAnsi="Arial"/>
          <w:b w:val="false"/>
          <w:bCs w:val="false"/>
          <w:sz w:val="22"/>
          <w:szCs w:val="22"/>
          <w:lang w:val="en-US"/>
        </w:rPr>
        <w:t xml:space="preserve"> </w:t>
      </w:r>
      <w:r>
        <w:rPr>
          <w:rStyle w:val="NoneA"/>
          <w:rFonts w:ascii="Arial" w:hAnsi="Arial"/>
          <w:b w:val="false"/>
          <w:bCs w:val="false"/>
          <w:sz w:val="22"/>
          <w:szCs w:val="22"/>
          <w:lang w:val="en-US"/>
        </w:rPr>
        <w:t xml:space="preserve">Prior to importance calculation, transcript abundances for each condition were evenly </w:t>
      </w:r>
      <w:r>
        <w:rPr>
          <w:rStyle w:val="NoneA"/>
          <w:rFonts w:ascii="Arial" w:hAnsi="Arial"/>
          <w:b w:val="false"/>
          <w:bCs w:val="false"/>
          <w:sz w:val="22"/>
          <w:szCs w:val="22"/>
          <w:lang w:val="en-US"/>
        </w:rPr>
        <w:t>rarefied</w:t>
      </w:r>
      <w:r>
        <w:rPr>
          <w:rStyle w:val="NoneA"/>
          <w:rFonts w:ascii="Arial" w:hAnsi="Arial"/>
          <w:b w:val="false"/>
          <w:bCs w:val="false"/>
          <w:sz w:val="22"/>
          <w:szCs w:val="22"/>
          <w:lang w:val="en-US"/>
        </w:rPr>
        <w:t xml:space="preserve"> to 27,664 normalized reads for even comparison across colonized environments </w:t>
      </w:r>
      <w:r>
        <w:rPr>
          <w:rStyle w:val="NoneA"/>
          <w:rFonts w:ascii="Arial" w:hAnsi="Arial"/>
          <w:b w:val="false"/>
          <w:bCs w:val="false"/>
          <w:sz w:val="22"/>
          <w:szCs w:val="22"/>
          <w:lang w:val="en-US"/>
        </w:rPr>
        <w:t xml:space="preserve">(~18x coverage of </w:t>
      </w:r>
      <w:r>
        <w:rPr>
          <w:rStyle w:val="NoneA"/>
          <w:rFonts w:ascii="Arial" w:hAnsi="Arial"/>
          <w:b w:val="false"/>
          <w:bCs w:val="false"/>
          <w:i/>
          <w:iCs/>
          <w:sz w:val="22"/>
          <w:szCs w:val="22"/>
          <w:lang w:val="en-US"/>
        </w:rPr>
        <w:t>C. difficile</w:t>
      </w:r>
      <w:r>
        <w:rPr>
          <w:rStyle w:val="NoneA"/>
          <w:rFonts w:ascii="Arial" w:hAnsi="Arial"/>
          <w:b w:val="false"/>
          <w:bCs w:val="false"/>
          <w:sz w:val="22"/>
          <w:szCs w:val="22"/>
          <w:lang w:val="en-US"/>
        </w:rPr>
        <w:t xml:space="preserve"> str. 630 annotated KEGG orthologs)</w:t>
      </w:r>
      <w:r>
        <w:rPr>
          <w:rStyle w:val="NoneA"/>
          <w:rFonts w:ascii="Arial" w:hAnsi="Arial"/>
          <w:b w:val="false"/>
          <w:bCs w:val="false"/>
          <w:sz w:val="22"/>
          <w:szCs w:val="22"/>
          <w:lang w:val="en-US"/>
        </w:rPr>
        <w:t>.</w:t>
      </w:r>
      <w:r>
        <w:rPr>
          <w:rStyle w:val="NoneA"/>
          <w:rFonts w:ascii="Arial" w:hAnsi="Arial"/>
          <w:b/>
          <w:bCs/>
          <w:sz w:val="22"/>
          <w:szCs w:val="22"/>
          <w:lang w:val="en-US"/>
        </w:rPr>
        <w:t xml:space="preserve"> </w:t>
      </w:r>
      <w:bookmarkStart w:id="7" w:name="MathJaxElement43Frame55"/>
      <w:r>
        <w:rPr>
          <w:rStyle w:val="NoneA"/>
          <w:rFonts w:ascii="Arial" w:hAnsi="Arial"/>
          <w:b/>
          <w:bCs/>
          <w:sz w:val="22"/>
          <w:szCs w:val="22"/>
          <w:lang w:val="en-US"/>
        </w:rPr>
        <w:t>(</w:t>
      </w:r>
      <w:r>
        <w:rPr>
          <w:rStyle w:val="NoneA"/>
          <w:rFonts w:ascii="Arial" w:hAnsi="Arial"/>
          <w:b/>
          <w:bCs/>
          <w:sz w:val="22"/>
          <w:szCs w:val="22"/>
          <w:lang w:val="en-US"/>
        </w:rPr>
        <w:t>a</w:t>
      </w:r>
      <w:r>
        <w:rPr>
          <w:rStyle w:val="NoneA"/>
          <w:rFonts w:ascii="Arial" w:hAnsi="Arial"/>
          <w:b/>
          <w:bCs/>
          <w:sz w:val="22"/>
          <w:szCs w:val="22"/>
          <w:lang w:val="en-US"/>
        </w:rPr>
        <w:t>)</w:t>
      </w:r>
      <w:r>
        <w:rPr>
          <w:rStyle w:val="NoneA"/>
          <w:rFonts w:ascii="Arial" w:hAnsi="Arial"/>
          <w:sz w:val="22"/>
          <w:szCs w:val="22"/>
          <w:lang w:val="en-US"/>
        </w:rPr>
        <w:t xml:space="preserve"> Median</w:t>
      </w:r>
      <w:bookmarkStart w:id="8" w:name="MathJaxElement43Frame54"/>
      <w:bookmarkEnd w:id="7"/>
      <w:r>
        <w:rPr>
          <w:rStyle w:val="NoneA"/>
          <w:rFonts w:ascii="Arial" w:hAnsi="Arial"/>
          <w:sz w:val="22"/>
          <w:szCs w:val="22"/>
          <w:lang w:val="en-US"/>
        </w:rPr>
        <w:t xml:space="preserve"> </w:t>
      </w:r>
      <w:bookmarkEnd w:id="8"/>
      <w:r>
        <w:rPr>
          <w:rStyle w:val="NoneA"/>
          <w:rFonts w:ascii="Arial" w:hAnsi="Arial"/>
          <w:sz w:val="22"/>
          <w:szCs w:val="22"/>
          <w:lang w:val="en-US"/>
        </w:rPr>
        <w:t>s</w:t>
      </w:r>
      <w:bookmarkStart w:id="9" w:name="MathJaxElement43Frame56"/>
      <w:r>
        <w:rPr>
          <w:rStyle w:val="NoneA"/>
          <w:rFonts w:ascii="Arial" w:hAnsi="Arial"/>
          <w:sz w:val="22"/>
          <w:szCs w:val="22"/>
          <w:lang w:val="en-US"/>
        </w:rPr>
        <w:t xml:space="preserve">hared </w:t>
      </w:r>
      <w:bookmarkEnd w:id="9"/>
      <w:r>
        <w:rPr>
          <w:rStyle w:val="NoneA"/>
          <w:rFonts w:ascii="Arial" w:hAnsi="Arial"/>
          <w:sz w:val="22"/>
          <w:szCs w:val="22"/>
          <w:lang w:val="en-US"/>
        </w:rPr>
        <w:t>significant m</w:t>
      </w:r>
      <w:bookmarkStart w:id="10"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0"/>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1" w:name="MathJaxElement43Frame58"/>
      <w:r>
        <w:rPr>
          <w:rStyle w:val="NoneA"/>
          <w:rFonts w:ascii="Arial" w:hAnsi="Arial"/>
          <w:b/>
          <w:bCs/>
          <w:sz w:val="22"/>
          <w:szCs w:val="22"/>
          <w:lang w:val="en-US"/>
        </w:rPr>
        <w:t>(</w:t>
      </w:r>
      <w:r>
        <w:rPr>
          <w:rStyle w:val="NoneA"/>
          <w:rFonts w:ascii="Arial" w:hAnsi="Arial"/>
          <w:b/>
          <w:bCs/>
          <w:sz w:val="22"/>
          <w:szCs w:val="22"/>
          <w:lang w:val="en-US"/>
        </w:rPr>
        <w:t>b</w:t>
      </w:r>
      <w:r>
        <w:rPr>
          <w:rStyle w:val="NoneA"/>
          <w:rFonts w:ascii="Arial" w:hAnsi="Arial"/>
          <w:b/>
          <w:bCs/>
          <w:sz w:val="22"/>
          <w:szCs w:val="22"/>
          <w:lang w:val="en-US"/>
        </w:rPr>
        <w:t>)</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1"/>
      <w:r>
        <w:rPr>
          <w:rStyle w:val="NoneA"/>
          <w:rFonts w:ascii="Arial" w:hAnsi="Arial"/>
          <w:sz w:val="22"/>
          <w:szCs w:val="22"/>
          <w:lang w:val="en-US"/>
        </w:rPr>
        <w:t xml:space="preserve"> </w:t>
      </w:r>
      <w:bookmarkStart w:id="12" w:name="MathJaxElement43Frame59"/>
      <w:r>
        <w:rPr>
          <w:rStyle w:val="NoneA"/>
          <w:rFonts w:ascii="Arial" w:hAnsi="Arial"/>
          <w:b/>
          <w:bCs/>
          <w:sz w:val="22"/>
          <w:szCs w:val="22"/>
          <w:lang w:val="it-IT"/>
        </w:rPr>
        <w:t>(</w:t>
      </w:r>
      <w:r>
        <w:rPr>
          <w:rStyle w:val="NoneA"/>
          <w:rFonts w:ascii="Arial" w:hAnsi="Arial"/>
          <w:b/>
          <w:bCs/>
          <w:sz w:val="22"/>
          <w:szCs w:val="22"/>
          <w:lang w:val="it-IT"/>
        </w:rPr>
        <w:t>c</w:t>
      </w:r>
      <w:r>
        <w:rPr>
          <w:rStyle w:val="NoneA"/>
          <w:rFonts w:ascii="Arial" w:hAnsi="Arial"/>
          <w:b/>
          <w:bCs/>
          <w:sz w:val="22"/>
          <w:szCs w:val="22"/>
          <w:lang w:val="it-IT"/>
        </w:rPr>
        <w:t xml:space="preserve">)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w:t>
      </w:r>
      <w:r>
        <w:rPr>
          <w:rStyle w:val="NoneA"/>
          <w:rFonts w:ascii="Arial" w:hAnsi="Arial"/>
          <w:sz w:val="22"/>
          <w:szCs w:val="22"/>
          <w:lang w:val="en-US"/>
        </w:rPr>
        <w:t>gray</w:t>
      </w:r>
      <w:r>
        <w:rPr>
          <w:rStyle w:val="NoneA"/>
          <w:rFonts w:ascii="Arial" w:hAnsi="Arial"/>
          <w:sz w:val="22"/>
          <w:szCs w:val="22"/>
          <w:lang w:val="en-US"/>
        </w:rPr>
        <w:t xml:space="preserve"> </w:t>
      </w:r>
      <w:r>
        <w:rPr>
          <w:rStyle w:val="NoneA"/>
          <w:rFonts w:ascii="Arial" w:hAnsi="Arial"/>
          <w:sz w:val="22"/>
          <w:szCs w:val="22"/>
          <w:lang w:val="en-US"/>
        </w:rPr>
        <w:t xml:space="preserve">is a control curve in which amino acids are the only possible source of carbon for </w:t>
      </w:r>
      <w:r>
        <w:rPr>
          <w:rStyle w:val="NoneA"/>
          <w:rFonts w:ascii="Arial" w:hAnsi="Arial"/>
          <w:i/>
          <w:iCs/>
          <w:sz w:val="22"/>
          <w:szCs w:val="22"/>
          <w:lang w:val="en-US"/>
        </w:rPr>
        <w:t>C. difficile</w:t>
      </w:r>
      <w:r>
        <w:rPr>
          <w:rStyle w:val="NoneA"/>
          <w:rFonts w:ascii="Arial" w:hAnsi="Arial"/>
          <w:sz w:val="22"/>
          <w:szCs w:val="22"/>
          <w:lang w:val="en-US"/>
        </w:rPr>
        <w:t xml:space="preserve">.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w:t>
      </w:r>
      <w:r>
        <w:rPr>
          <w:rStyle w:val="NoneA"/>
          <w:rFonts w:ascii="Arial" w:hAnsi="Arial"/>
          <w:sz w:val="22"/>
          <w:szCs w:val="22"/>
          <w:lang w:val="en-US"/>
        </w:rPr>
        <w:t>s</w:t>
      </w:r>
      <w:r>
        <w:rPr>
          <w:rStyle w:val="NoneA"/>
          <w:rFonts w:ascii="Arial" w:hAnsi="Arial"/>
          <w:sz w:val="22"/>
          <w:szCs w:val="22"/>
          <w:lang w:val="en-US"/>
        </w:rPr>
        <w:t xml:space="preserve"> </w:t>
      </w:r>
      <w:r>
        <w:rPr>
          <w:rStyle w:val="NoneA"/>
          <w:rFonts w:ascii="Arial" w:hAnsi="Arial"/>
          <w:sz w:val="22"/>
          <w:szCs w:val="22"/>
          <w:lang w:val="en-US"/>
        </w:rPr>
        <w:t xml:space="preserve">(+ Amino acids) </w:t>
      </w:r>
      <w:r>
        <w:rPr>
          <w:rStyle w:val="NoneA"/>
          <w:rFonts w:ascii="Arial" w:hAnsi="Arial"/>
          <w:sz w:val="22"/>
          <w:szCs w:val="22"/>
          <w:lang w:val="en-US"/>
        </w:rPr>
        <w:t>control.</w:t>
      </w:r>
      <w:bookmarkEnd w:id="12"/>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S6). </w:t>
      </w:r>
      <w:bookmarkStart w:id="13" w:name="MathJaxElement43Frame510"/>
      <w:r>
        <w:rPr>
          <w:rStyle w:val="NoneA"/>
          <w:rFonts w:ascii="Arial" w:hAnsi="Arial"/>
          <w:sz w:val="22"/>
          <w:szCs w:val="22"/>
          <w:lang w:val="en-US"/>
        </w:rPr>
        <w:t>Significant differences were calculated using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A"/>
          <w:rFonts w:ascii="Arial" w:hAnsi="Arial"/>
          <w:b/>
          <w:bCs/>
          <w:sz w:val="22"/>
          <w:szCs w:val="22"/>
          <w:lang w:val="en-US"/>
        </w:rPr>
        <w:t xml:space="preserve">Supplementary Figure </w:t>
      </w:r>
      <w:r>
        <w:rPr>
          <w:rStyle w:val="NoneA"/>
          <w:rFonts w:ascii="Arial" w:hAnsi="Arial"/>
          <w:b/>
          <w:bCs/>
          <w:sz w:val="22"/>
          <w:szCs w:val="22"/>
          <w:lang w:val="en-US"/>
        </w:rPr>
        <w:t>1</w:t>
      </w:r>
      <w:r>
        <w:rPr>
          <w:rStyle w:val="NoneA"/>
          <w:rFonts w:ascii="Arial" w:hAnsi="Arial"/>
          <w:b/>
          <w:bCs/>
          <w:sz w:val="22"/>
          <w:szCs w:val="22"/>
          <w:lang w:val="en-US"/>
        </w:rPr>
        <w:t xml:space="preserve"> |  Expression of specific KEGG gene families. </w:t>
      </w:r>
      <w:r>
        <w:rPr>
          <w:rStyle w:val="Hyperlink2"/>
          <w:lang w:val="en-US"/>
        </w:rPr>
        <w:t>Description. (a). (b). (c).</w:t>
      </w:r>
    </w:p>
    <w:p>
      <w:pPr>
        <w:pStyle w:val="Default"/>
        <w:shd w:val="clear" w:fill="FFFFFF"/>
        <w:spacing w:lineRule="auto" w:line="480"/>
        <w:jc w:val="both"/>
        <w:rPr>
          <w:rFonts w:ascii="Arial" w:hAnsi="Arial" w:eastAsia="Arial" w:cs="Arial"/>
          <w:sz w:val="22"/>
          <w:szCs w:val="22"/>
        </w:rPr>
      </w:pPr>
      <w:r>
        <w:rPr>
          <w:rStyle w:val="Hyperlink2"/>
          <w:rFonts w:ascii="Arial" w:hAnsi="Arial"/>
        </w:rPr>
        <w:t>Describe why this sucked so you did the triangle plot</w:t>
      </w:r>
    </w:p>
    <w:p>
      <w:pPr>
        <w:pStyle w:val="Default"/>
        <w:shd w:val="clear" w:fill="FFFFFF"/>
        <w:spacing w:lineRule="auto" w:line="480"/>
        <w:jc w:val="both"/>
        <w:rPr/>
      </w:pPr>
      <w:r>
        <w:rPr>
          <w:rStyle w:val="NoneA"/>
          <w:rFonts w:ascii="Arial" w:hAnsi="Arial"/>
          <w:b/>
          <w:bCs/>
          <w:sz w:val="22"/>
          <w:szCs w:val="22"/>
          <w:lang w:val="en-US"/>
        </w:rPr>
        <w:t xml:space="preserve">Supplementary Figure </w:t>
      </w:r>
      <w:r>
        <w:rPr>
          <w:rStyle w:val="NoneA"/>
          <w:rFonts w:ascii="Arial" w:hAnsi="Arial"/>
          <w:b/>
          <w:bCs/>
          <w:sz w:val="22"/>
          <w:szCs w:val="22"/>
          <w:lang w:val="en-US"/>
        </w:rPr>
        <w:t>2</w:t>
      </w:r>
      <w:r>
        <w:rPr>
          <w:rStyle w:val="NoneA"/>
          <w:rFonts w:ascii="Arial" w:hAnsi="Arial"/>
          <w:b/>
          <w:bCs/>
          <w:sz w:val="22"/>
          <w:szCs w:val="22"/>
          <w:lang w:val="en-US"/>
        </w:rPr>
        <w:t xml:space="preserve"> |  </w:t>
      </w:r>
      <w:r>
        <w:rPr>
          <w:rStyle w:val="NoneA"/>
          <w:rFonts w:ascii="Arial" w:hAnsi="Arial"/>
          <w:b/>
          <w:bCs/>
          <w:sz w:val="22"/>
          <w:szCs w:val="22"/>
          <w:lang w:val="en-US"/>
        </w:rPr>
        <w:t xml:space="preserve">Significantly scoring metabolites from each </w:t>
      </w:r>
      <w:r>
        <w:rPr>
          <w:rStyle w:val="NoneA"/>
          <w:rFonts w:ascii="Arial" w:hAnsi="Arial"/>
          <w:b/>
          <w:bCs/>
          <w:i/>
          <w:iCs/>
          <w:sz w:val="22"/>
          <w:szCs w:val="22"/>
          <w:lang w:val="en-US"/>
        </w:rPr>
        <w:t>C. difficile</w:t>
      </w:r>
      <w:r>
        <w:rPr>
          <w:rStyle w:val="NoneA"/>
          <w:rFonts w:ascii="Arial" w:hAnsi="Arial"/>
          <w:b/>
          <w:bCs/>
          <w:sz w:val="22"/>
          <w:szCs w:val="22"/>
          <w:lang w:val="en-US"/>
        </w:rPr>
        <w:t xml:space="preserve"> colonized condition</w:t>
      </w:r>
      <w:r>
        <w:rPr>
          <w:rStyle w:val="NoneA"/>
          <w:rFonts w:ascii="Arial" w:hAnsi="Arial"/>
          <w:b/>
          <w:bCs/>
          <w:sz w:val="22"/>
          <w:szCs w:val="22"/>
          <w:lang w:val="en-US"/>
        </w:rPr>
        <w:t xml:space="preserve">. </w:t>
      </w:r>
      <w:r>
        <w:rPr>
          <w:rStyle w:val="Hyperlink2"/>
          <w:lang w:val="en-US"/>
        </w:rPr>
        <w:t xml:space="preserve">Description. </w:t>
      </w:r>
      <w:r>
        <w:rPr>
          <w:rStyle w:val="Hyperlink2"/>
          <w:lang w:val="en-US"/>
        </w:rPr>
        <w:t>(a)</w:t>
      </w:r>
      <w:r>
        <w:rPr>
          <w:rStyle w:val="Hyperlink2"/>
          <w:lang w:val="en-US"/>
        </w:rPr>
        <w:t xml:space="preserve">. </w:t>
      </w:r>
      <w:r>
        <w:rPr>
          <w:rStyle w:val="Hyperlink2"/>
          <w:lang w:val="en-US"/>
        </w:rPr>
        <w:t>(b</w:t>
      </w:r>
      <w:r>
        <w:rPr>
          <w:rStyle w:val="Hyperlink2"/>
          <w:lang w:val="en-US"/>
        </w:rPr>
        <w:t xml:space="preserve">). </w:t>
      </w:r>
      <w:r>
        <w:rPr>
          <w:rStyle w:val="Hyperlink2"/>
          <w:lang w:val="en-US"/>
        </w:rPr>
        <w:t>(c</w:t>
      </w:r>
      <w:r>
        <w:rPr>
          <w:rStyle w:val="Hyperlink2"/>
          <w:lang w:val="en-US"/>
        </w:rPr>
        <w:t xml:space="preserve">). </w:t>
      </w:r>
      <w:r>
        <w:rPr>
          <w:rStyle w:val="Hyperlink2"/>
          <w:lang w:val="en-US"/>
        </w:rPr>
        <w:t>(d).</w:t>
      </w:r>
    </w:p>
    <w:p>
      <w:pPr>
        <w:pStyle w:val="Textbody1"/>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ind w:left="480" w:right="0" w:hanging="480"/>
        <w:jc w:val="both"/>
        <w:rPr/>
      </w:pPr>
      <w:r>
        <w:rPr>
          <w:rStyle w:val="NoneA"/>
          <w:rFonts w:ascii="Arial" w:hAnsi="Arial"/>
          <w:b/>
          <w:bCs/>
          <w:sz w:val="22"/>
          <w:szCs w:val="22"/>
          <w:lang w:val="en-US"/>
        </w:rPr>
        <w:t xml:space="preserve">Supplementary Figure </w:t>
      </w:r>
      <w:r>
        <w:rPr>
          <w:rStyle w:val="NoneA"/>
          <w:rFonts w:ascii="Arial" w:hAnsi="Arial"/>
          <w:b/>
          <w:bCs/>
          <w:sz w:val="22"/>
          <w:szCs w:val="22"/>
          <w:lang w:val="en-US"/>
        </w:rPr>
        <w:t>3</w:t>
      </w:r>
      <w:r>
        <w:rPr>
          <w:rStyle w:val="NoneA"/>
          <w:rFonts w:ascii="Arial" w:hAnsi="Arial"/>
          <w:b/>
          <w:bCs/>
          <w:sz w:val="22"/>
          <w:szCs w:val="22"/>
          <w:lang w:val="en-US"/>
        </w:rPr>
        <w:t xml:space="preserve"> |  Acetate data supporting network output. </w:t>
      </w:r>
      <w:r>
        <w:rPr>
          <w:rStyle w:val="Hyperlink2"/>
          <w:lang w:val="en-US"/>
        </w:rPr>
        <w:t>Description.</w:t>
      </w:r>
    </w:p>
    <w:p>
      <w:pPr>
        <w:pStyle w:val="Default"/>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Table 1</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ind w:left="480" w:right="0" w:hanging="480"/>
        <w:jc w:val="both"/>
        <w:rPr>
          <w:rStyle w:val="NoneA"/>
          <w:lang w:val="en-US"/>
        </w:rPr>
      </w:pPr>
      <w:r>
        <w:rPr>
          <w:rFonts w:eastAsia="Arial" w:cs="Arial" w:ascii="Arial" w:hAnsi="Arial"/>
          <w:b/>
          <w:bCs/>
          <w:sz w:val="22"/>
          <w:szCs w:val="22"/>
        </w:rPr>
      </w:r>
    </w:p>
    <w:p>
      <w:pPr>
        <w:pStyle w:val="Default"/>
        <w:shd w:val="clear" w:fill="FFFFFF"/>
        <w:spacing w:lineRule="auto" w:line="480"/>
        <w:ind w:left="0" w:right="0" w:hanging="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Table 2</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ind w:left="480" w:right="0" w:hanging="480"/>
        <w:jc w:val="both"/>
        <w:rPr>
          <w:rStyle w:val="NoneA"/>
          <w:lang w:val="en-US"/>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Table 3</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ind w:left="0" w:right="0" w:hanging="0"/>
        <w:jc w:val="both"/>
        <w:rPr>
          <w:rStyle w:val="NoneA"/>
          <w:lang w:val="en-US"/>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 xml:space="preserve">Table </w:t>
      </w:r>
      <w:r>
        <w:rPr>
          <w:rStyle w:val="NoneA"/>
          <w:rFonts w:eastAsia="Arial" w:cs="Arial" w:ascii="Arial" w:hAnsi="Arial"/>
          <w:b/>
          <w:bCs/>
          <w:sz w:val="22"/>
          <w:szCs w:val="22"/>
          <w:lang w:val="en-US"/>
        </w:rPr>
        <w:t>4</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jc w:val="both"/>
        <w:rPr>
          <w:rStyle w:val="NoneA"/>
          <w:rFonts w:ascii="Arial" w:hAnsi="Arial"/>
          <w:b/>
          <w:b/>
          <w:bCs/>
          <w:sz w:val="22"/>
          <w:szCs w:val="22"/>
          <w:lang w:val="en-US"/>
        </w:rPr>
      </w:pPr>
      <w:r>
        <w:rPr/>
      </w:r>
    </w:p>
    <w:p>
      <w:pPr>
        <w:pStyle w:val="Default"/>
        <w:shd w:val="clear" w:fill="FFFFFF"/>
        <w:spacing w:lineRule="auto" w:line="480"/>
        <w:jc w:val="both"/>
        <w:rPr>
          <w:rStyle w:val="NoneA"/>
          <w:rFonts w:ascii="Arial" w:hAnsi="Arial"/>
          <w:b/>
          <w:b/>
          <w:bCs/>
          <w:sz w:val="22"/>
          <w:szCs w:val="22"/>
          <w:lang w:val="en-US"/>
        </w:rPr>
      </w:pPr>
      <w:r>
        <w:rPr/>
      </w:r>
    </w:p>
    <w:p>
      <w:pPr>
        <w:pStyle w:val="Default"/>
        <w:shd w:val="clear" w:fill="FFFFFF"/>
        <w:spacing w:lineRule="auto" w:line="480"/>
        <w:jc w:val="both"/>
        <w:rPr/>
      </w:pPr>
      <w:r>
        <w:rPr>
          <w:rStyle w:val="NoneA"/>
          <w:rFonts w:ascii="Arial" w:hAnsi="Arial"/>
          <w:b/>
          <w:bCs/>
          <w:sz w:val="22"/>
          <w:szCs w:val="22"/>
          <w:lang w:val="en-US"/>
        </w:rPr>
        <w:t>Acknowledgments</w:t>
      </w:r>
    </w:p>
    <w:p>
      <w:pPr>
        <w:pStyle w:val="Default"/>
        <w:shd w:val="clear" w:fill="FFFFFF"/>
        <w:spacing w:lineRule="auto" w:line="480"/>
        <w:jc w:val="both"/>
        <w:rPr/>
      </w:pPr>
      <w:r>
        <w:rPr>
          <w:rStyle w:val="Hyperlink2"/>
          <w:lang w:val="en-US"/>
        </w:rPr>
        <w:t>The authors would like to acknowledge members of the University of Michigan Germ free Mouse Center and Sequencing Core for their assistance in experimental design, execution, data collection, and analysis.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Conflict of Interest</w:t>
      </w:r>
    </w:p>
    <w:p>
      <w:pPr>
        <w:pStyle w:val="Default"/>
        <w:shd w:val="clear" w:fill="FFFFFF"/>
        <w:spacing w:lineRule="auto" w:line="480"/>
        <w:jc w:val="both"/>
        <w:rPr/>
      </w:pPr>
      <w:r>
        <w:rPr>
          <w:rStyle w:val="Hyperlink2"/>
          <w:lang w:val="en-US"/>
        </w:rPr>
        <w:t>The authors declare no conflict of interest.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References</w:t>
      </w:r>
    </w:p>
    <w:p>
      <w:pPr>
        <w:pStyle w:val="Textbody1"/>
        <w:shd w:val="clear" w:fill="FFFFFF"/>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fill="FFFFFF"/>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fill="FFFFFF"/>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fill="FFFFFF"/>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fill="FFFFFF"/>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fill="FFFFFF"/>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fill="FFFFFF"/>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val="clear" w:fill="FFFFFF"/>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fill="FFFFFF"/>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fill="FFFFFF"/>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fill="FFFFFF"/>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fill="FFFFFF"/>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fill="FFFFFF"/>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fill="FFFFFF"/>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fill="FFFFFF"/>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fill="FFFFFF"/>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val="clear"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fill="FFFFFF"/>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fill="FFFFFF"/>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val="clear" w:fill="FFFFFF"/>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fill="FFFFFF"/>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fill="FFFFFF"/>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fill="FFFFFF"/>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fill="FFFFFF"/>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fill="FFFFFF"/>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fill="FFFFFF"/>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fill="FFFFFF"/>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fill="FFFFFF"/>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fill="FFFFFF"/>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fill="FFFFFF"/>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fill="FFFFFF"/>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fill="FFFFFF"/>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val="clear" w:fill="FFFFFF"/>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val="clear" w:fill="FFFFFF"/>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fill="FFFFFF"/>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fill="FFFFFF"/>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val="clear" w:fill="FFFFFF"/>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fill="FFFFFF"/>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fill="FFFFFF"/>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val="clear" w:fill="FFFFFF"/>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fill="FFFFFF"/>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fill="FFFFFF"/>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fill="FFFFFF"/>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fill="FFFFFF"/>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fill="FFFFFF"/>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val="clear" w:fill="FFFFFF"/>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fill="FFFFFF"/>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fill="FFFFFF"/>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fill="FFFFFF"/>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fill="FFFFFF"/>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fill="FFFFFF"/>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fill="FFFFFF"/>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val="clear" w:fill="FFFFFF"/>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
    <w:name w:val="ListLabel 2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9">
    <w:name w:val="ListLabel 2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1">
    <w:name w:val="ListLabel 3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2">
    <w:name w:val="ListLabel 3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3">
    <w:name w:val="ListLabel 3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4">
    <w:name w:val="ListLabel 3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5">
    <w:name w:val="ListLabel 3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6">
    <w:name w:val="ListLabel 3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141</TotalTime>
  <Application>LibreOffice/5.1.4.2$Linux_X86_64 LibreOffice_project/10m0$Build-2</Application>
  <Pages>39</Pages>
  <Words>11669</Words>
  <Characters>69875</Characters>
  <CharactersWithSpaces>81381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2016-11-04T17:54:44Z</dcterms:modified>
  <cp:revision>18</cp:revision>
  <dc:subject/>
  <dc:title/>
</cp:coreProperties>
</file>