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shd w:val="clear" w:color="auto" w:fill="ffffff"/>
        <w:spacing w:line="480" w:lineRule="auto"/>
        <w:jc w:val="both"/>
        <w:rPr>
          <w:rStyle w:val="None A"/>
          <w:rFonts w:ascii="Arial" w:cs="Arial" w:hAnsi="Arial" w:eastAsia="Arial"/>
          <w:i w:val="1"/>
          <w:iCs w:val="1"/>
          <w:color w:val="2c2d30"/>
          <w:sz w:val="22"/>
          <w:szCs w:val="22"/>
          <w:u w:val="none" w:color="2c2d30"/>
        </w:rPr>
      </w:pPr>
      <w:r>
        <w:rPr>
          <w:rStyle w:val="None A"/>
          <w:rFonts w:ascii="Arial" w:hAnsi="Arial"/>
          <w:b w:val="1"/>
          <w:bCs w:val="1"/>
          <w:sz w:val="22"/>
          <w:szCs w:val="22"/>
          <w:rtl w:val="0"/>
          <w:lang w:val="en-US"/>
        </w:rPr>
        <w:t>Title</w:t>
      </w:r>
    </w:p>
    <w:p>
      <w:pPr>
        <w:pStyle w:val="Default"/>
        <w:shd w:val="clear" w:color="auto" w:fill="ffffff"/>
        <w:spacing w:line="480" w:lineRule="auto"/>
        <w:jc w:val="both"/>
        <w:rPr>
          <w:rStyle w:val="None A"/>
          <w:rFonts w:ascii="Arial" w:cs="Arial" w:hAnsi="Arial" w:eastAsia="Arial"/>
          <w:b w:val="1"/>
          <w:bCs w:val="1"/>
          <w:sz w:val="22"/>
          <w:szCs w:val="22"/>
        </w:rPr>
      </w:pPr>
      <w:r>
        <w:rPr>
          <w:rStyle w:val="None A"/>
          <w:rFonts w:ascii="Arial" w:hAnsi="Arial"/>
          <w:i w:val="1"/>
          <w:iCs w:val="1"/>
          <w:color w:val="2c2d30"/>
          <w:sz w:val="22"/>
          <w:szCs w:val="22"/>
          <w:u w:val="none" w:color="2c2d30"/>
          <w:rtl w:val="0"/>
          <w:lang w:val="en-US"/>
        </w:rPr>
        <w:t>Clostridium difficile</w:t>
      </w:r>
      <w:r>
        <w:rPr>
          <w:rStyle w:val="None A"/>
          <w:rFonts w:ascii="Arial" w:hAnsi="Arial"/>
          <w:color w:val="2c2d30"/>
          <w:sz w:val="22"/>
          <w:szCs w:val="22"/>
          <w:u w:val="none" w:color="2c2d30"/>
          <w:rtl w:val="0"/>
          <w:lang w:val="en-US"/>
        </w:rPr>
        <w:t xml:space="preserve"> colonizes alternative nutrient niches during infection across unique murine gut environments</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Authors</w:t>
      </w:r>
    </w:p>
    <w:p>
      <w:pPr>
        <w:pStyle w:val="Default"/>
        <w:shd w:val="clear" w:color="auto" w:fill="ffffff"/>
        <w:spacing w:line="480" w:lineRule="auto"/>
        <w:jc w:val="both"/>
        <w:rPr>
          <w:rStyle w:val="None A"/>
          <w:rFonts w:ascii="Arial" w:cs="Arial" w:hAnsi="Arial" w:eastAsia="Arial"/>
          <w:b w:val="1"/>
          <w:bCs w:val="1"/>
          <w:sz w:val="22"/>
          <w:szCs w:val="22"/>
        </w:rPr>
      </w:pPr>
      <w:r>
        <w:rPr>
          <w:rStyle w:val="None A"/>
          <w:rFonts w:ascii="Arial" w:hAnsi="Arial"/>
          <w:sz w:val="22"/>
          <w:szCs w:val="22"/>
          <w:rtl w:val="0"/>
          <w:lang w:val="en-US"/>
        </w:rPr>
        <w:t>Jenior ML</w:t>
      </w:r>
      <w:r>
        <w:rPr>
          <w:rStyle w:val="None A"/>
          <w:rFonts w:ascii="Arial" w:hAnsi="Arial"/>
          <w:sz w:val="22"/>
          <w:szCs w:val="22"/>
          <w:vertAlign w:val="superscript"/>
          <w:rtl w:val="0"/>
          <w:lang w:val="en-US"/>
        </w:rPr>
        <w:t>1</w:t>
      </w:r>
      <w:r>
        <w:rPr>
          <w:rStyle w:val="None A"/>
          <w:rFonts w:ascii="Arial" w:hAnsi="Arial"/>
          <w:sz w:val="22"/>
          <w:szCs w:val="22"/>
          <w:rtl w:val="0"/>
          <w:lang w:val="en-US"/>
        </w:rPr>
        <w:t>, Leslie JL</w:t>
      </w:r>
      <w:r>
        <w:rPr>
          <w:rStyle w:val="None A"/>
          <w:rFonts w:ascii="Arial" w:hAnsi="Arial"/>
          <w:sz w:val="22"/>
          <w:szCs w:val="22"/>
          <w:vertAlign w:val="superscript"/>
          <w:rtl w:val="0"/>
          <w:lang w:val="en-US"/>
        </w:rPr>
        <w:t>1</w:t>
      </w:r>
      <w:r>
        <w:rPr>
          <w:rStyle w:val="None A"/>
          <w:rFonts w:ascii="Arial" w:hAnsi="Arial"/>
          <w:sz w:val="22"/>
          <w:szCs w:val="22"/>
          <w:rtl w:val="0"/>
          <w:lang w:val="en-US"/>
        </w:rPr>
        <w:t>, Young VB</w:t>
      </w:r>
      <w:r>
        <w:rPr>
          <w:rStyle w:val="None A"/>
          <w:rFonts w:ascii="Arial" w:hAnsi="Arial"/>
          <w:sz w:val="22"/>
          <w:szCs w:val="22"/>
          <w:vertAlign w:val="superscript"/>
          <w:rtl w:val="0"/>
          <w:lang w:val="en-US"/>
        </w:rPr>
        <w:t>1,2</w:t>
      </w:r>
      <w:r>
        <w:rPr>
          <w:rStyle w:val="None A"/>
          <w:rFonts w:ascii="Arial" w:hAnsi="Arial"/>
          <w:sz w:val="22"/>
          <w:szCs w:val="22"/>
          <w:rtl w:val="0"/>
          <w:lang w:val="en-US"/>
        </w:rPr>
        <w:t>, and Schloss PD</w:t>
      </w:r>
      <w:r>
        <w:rPr>
          <w:rStyle w:val="None A"/>
          <w:rFonts w:ascii="Arial" w:hAnsi="Arial"/>
          <w:sz w:val="22"/>
          <w:szCs w:val="22"/>
          <w:vertAlign w:val="superscript"/>
          <w:rtl w:val="0"/>
          <w:lang w:val="en-US"/>
        </w:rPr>
        <w:t>1</w:t>
      </w:r>
      <w:r>
        <w:rPr>
          <w:rStyle w:val="None A"/>
          <w:rFonts w:ascii="Arial" w:hAnsi="Arial"/>
          <w:b w:val="1"/>
          <w:bCs w:val="1"/>
          <w:sz w:val="22"/>
          <w:szCs w:val="22"/>
          <w:rtl w:val="0"/>
          <w:lang w:val="en-US"/>
        </w:rPr>
        <w:t>*</w:t>
      </w:r>
    </w:p>
    <w:p>
      <w:pPr>
        <w:pStyle w:val="Default"/>
        <w:shd w:val="clear" w:color="auto" w:fill="ffffff"/>
        <w:spacing w:line="480" w:lineRule="auto"/>
        <w:jc w:val="both"/>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Affiliations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1. Department of Microbiology &amp; Immunology; University of Michigan; Ann Arbor, MI</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2</w:t>
      </w:r>
      <w:bookmarkStart w:name="_DdeLink__1571_979451698" w:id="0"/>
      <w:r>
        <w:rPr>
          <w:rStyle w:val="None A"/>
          <w:rFonts w:ascii="Arial" w:hAnsi="Arial"/>
          <w:sz w:val="22"/>
          <w:szCs w:val="22"/>
          <w:rtl w:val="0"/>
          <w:lang w:val="en-US"/>
        </w:rPr>
        <w:t>. Department of Internal Medicine</w:t>
      </w:r>
      <w:bookmarkEnd w:id="0"/>
      <w:r>
        <w:rPr>
          <w:rStyle w:val="None A"/>
          <w:rFonts w:ascii="Arial" w:hAnsi="Arial"/>
          <w:sz w:val="22"/>
          <w:szCs w:val="22"/>
          <w:rtl w:val="0"/>
          <w:lang w:val="en-US"/>
        </w:rPr>
        <w:t>; University of Michigan Health System; Ann Arbor, MI</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Abstract</w:t>
      </w:r>
    </w:p>
    <w:p>
      <w:pPr>
        <w:pStyle w:val="Default"/>
        <w:shd w:val="clear" w:color="auto" w:fill="ffffff"/>
        <w:spacing w:line="480" w:lineRule="auto"/>
        <w:jc w:val="both"/>
      </w:pPr>
      <w:r>
        <w:rPr>
          <w:rStyle w:val="None A"/>
          <w:rFonts w:ascii="Arial" w:cs="Arial" w:hAnsi="Arial" w:eastAsia="Arial"/>
          <w:sz w:val="22"/>
          <w:szCs w:val="22"/>
        </w:rPr>
        <w:tab/>
      </w:r>
      <w:r>
        <w:rPr>
          <w:rStyle w:val="None A"/>
          <w:rFonts w:ascii="Arial" w:hAnsi="Arial"/>
          <w:i w:val="1"/>
          <w:iCs w:val="1"/>
          <w:sz w:val="22"/>
          <w:szCs w:val="22"/>
          <w:rtl w:val="0"/>
          <w:lang w:val="en-US"/>
        </w:rPr>
        <w:t>Clostridium difficile</w:t>
      </w:r>
      <w:r>
        <w:rPr>
          <w:rStyle w:val="None A"/>
          <w:rFonts w:ascii="Arial" w:hAnsi="Arial"/>
          <w:sz w:val="22"/>
          <w:szCs w:val="22"/>
          <w:rtl w:val="0"/>
          <w:lang w:val="en-US"/>
        </w:rPr>
        <w:t xml:space="preserve"> infection (CDI) as grown to be the greatest cause of hospital acquired infection in the United States. Susceptibility to CDI is induced by previous antibiotic exposure, which has been shown to alter the structure of the gut microbiome. These changes have been associated with changes in bacterial growth nutrient availability in the gut, often increasing concentrations of several useable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this study, we orally challenged C57BL/6 mice with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and demonstrated that it was able to colonize the ceca in three separate models of antibiotic induced susceptibility to the same high degree (~1</w:t>
      </w:r>
      <w:r>
        <w:rPr>
          <w:rStyle w:val="None A"/>
          <w:rFonts w:ascii="Arial" w:hAnsi="Arial" w:hint="default"/>
          <w:sz w:val="22"/>
          <w:szCs w:val="22"/>
          <w:rtl w:val="0"/>
          <w:lang w:val="en-US"/>
        </w:rPr>
        <w:t>×</w:t>
      </w:r>
      <w:r>
        <w:rPr>
          <w:rStyle w:val="None A"/>
          <w:rFonts w:ascii="Arial" w:hAnsi="Arial"/>
          <w:sz w:val="22"/>
          <w:szCs w:val="22"/>
          <w:rtl w:val="0"/>
          <w:lang w:val="en-US"/>
        </w:rPr>
        <w:t>10</w:t>
      </w:r>
      <w:r>
        <w:rPr>
          <w:rStyle w:val="None A"/>
          <w:rFonts w:ascii="Arial" w:hAnsi="Arial"/>
          <w:sz w:val="22"/>
          <w:szCs w:val="22"/>
          <w:vertAlign w:val="superscript"/>
          <w:rtl w:val="0"/>
          <w:lang w:val="en-US"/>
        </w:rPr>
        <w:t>8</w:t>
      </w:r>
      <w:r>
        <w:rPr>
          <w:rStyle w:val="None A"/>
          <w:rFonts w:ascii="Arial" w:hAnsi="Arial"/>
          <w:sz w:val="22"/>
          <w:szCs w:val="22"/>
          <w:rtl w:val="0"/>
          <w:lang w:val="en-US"/>
        </w:rPr>
        <w:t xml:space="preserve"> CFU/g content) within 18 hours of inoculation. However, despite equal vegetative cell load at this time point, the levels of both spore and toxin production vary between each antibiotic treatment group. The expression of both phenotypes have both been linked to environmental concentrations of certain substrates, and this indicated possible differences in the nutrient niche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inhabits between susceptible gut conditions. To more closely investigate the specific responses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as it colonizes the GI tract of mice, we performed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-focused RNA-Seq analysis from cecal content of infected mice. This approach identified differences in expression for genes associated with life-cycle stages and pathogenicity between antibiotic pretreatments, in agreement with previous results. We then went on to observe numerous variations between condition in metabolic pathways associated with carbohydrate and amino acid catabolism, indicating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likely colonizes alternative nutrient niches across the environments it colonizes. In order to assess which aspects of the gut environment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exploiting during infection, we sought to identify the growth nutrients that are most likely being used the the pathogen in each colonized condition. To accomplish this we developed a novel substrate scoring algorithm within the genome-scale bipartite metabolic network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The calculation incorporates both network topology and transcript abundance for enzymes within the model to infer the likelihood that a given substrate in acquired from the environment as opposed to being produced by the organism itself. Using this technique, we first validated the approach by confirming the most central nodes reflect known components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core metabolism. Applying the importance algorithm, we found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indeed occupies alternative nutrient niches across each antibiotic class tested. Results from this analysis support specific sugar alcohols (D-sorbitol &amp; mannitol) and host derived amino sugars (salicin &amp; N-acetylneuraminate) as the most probable growth nutrients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differentially utilizes across the susceptible gut environments it colonizes. We then confirmed the capacity of each implicated substrate to support substantial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Furthermore, by employing liquid chromatography-mass spectrometry, we show that these substrates are significantly enriched in the conditions they were found to be most important by the network/transcript-based algorithm. This work has implications for elucidating specifics of the nutrient niche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during infection, and may lead to the discovery of targeted measures for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colonization prevention.</w:t>
      </w:r>
      <w:r>
        <w:rPr>
          <w:rStyle w:val="None A"/>
          <w:rFonts w:ascii="Arial Unicode MS" w:cs="Arial Unicode MS" w:hAnsi="Arial Unicode MS" w:eastAsia="Arial Unicode MS"/>
          <w:b w:val="0"/>
          <w:bCs w:val="0"/>
          <w:i w:val="0"/>
          <w:iCs w:val="0"/>
          <w:sz w:val="22"/>
          <w:szCs w:val="22"/>
        </w:rPr>
        <w:br w:type="page"/>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Introduction</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Infection by the Gram-positive, spore-forming bacterium Clostridium difficile has increased in both prevalence and severity across numerous countries over the last decade (Lessa 2012). In the United States in 2014, C. difficile was estimated to have caused &gt;500,000 infections and resulted in ~$4.8 billion worth of acute care costs (Lessa, 2015). Clostridium difficile 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 (Leffler, 2015). It has been shown that antibiotic therapy alters the structure and function of the gut microbiota makes it susceptible to colonization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(Young, 2004). This is referred to as colonization resistance, in which the gut microbiota inhibits the persistence or growth of a number of pathogenic bacteria. Colonization resistance can be achieved by multiple mechanisms including competition for physical space or growth nutrients (Lawley, 2013).</w:t>
      </w:r>
    </w:p>
    <w:p>
      <w:pPr>
        <w:pStyle w:val="Default"/>
        <w:shd w:val="clear" w:color="auto" w:fill="ffffff"/>
        <w:spacing w:line="480" w:lineRule="auto"/>
        <w:ind w:firstLine="709"/>
        <w:jc w:val="both"/>
        <w:rPr>
          <w:rStyle w:val="None A"/>
          <w:rFonts w:ascii="Arial" w:cs="Arial" w:hAnsi="Arial" w:eastAsia="Arial"/>
          <w:sz w:val="22"/>
          <w:szCs w:val="22"/>
        </w:rPr>
      </w:pPr>
      <w:r>
        <w:rPr>
          <w:rStyle w:val="None A"/>
          <w:rFonts w:ascii="Arial" w:hAnsi="Arial"/>
          <w:sz w:val="22"/>
          <w:szCs w:val="22"/>
          <w:rtl w:val="0"/>
          <w:lang w:val="en-US"/>
        </w:rPr>
        <w:t xml:space="preserve">Mouse models have been an effective tool for studying the mechanisms of colonization resistance. Use of distinct antibiotic classes to vary the structure of the microbiota has been shown to result in varied levels of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colonization (Chen, 2008; Theriot, 2013; Schubert, 2015). Additionally, 18 hours after initially colonizing a cefoperazone treated mouse,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reaches its maximum vegetative cell density in the cecum before beginning to sporulate (Koenigsknecht, 2015). This provided a single timepoint in which to measure the largest population of metabolically active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Building upon these results, others have shown that many of these antibiotic classes also alter the gut metabolome, increasing the concentrations of known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substrates (Antunes 2011; Theriot, 2014; Ferreyra, 2014; Jump, 2014). Taken together these results are a strong indication that the healthy gut microbiota inhibits the growth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through limitation of substrates it needs to grow. The ability of a healthy gut community to exclude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colonization is suggestive of the nutrient-niche hypothesis (Freter, 1983; Wilson, 1988) in which an organism must be able to utilize a subset of available resources better than all competitors to colonize the intestine.</w:t>
      </w:r>
    </w:p>
    <w:p>
      <w:pPr>
        <w:pStyle w:val="Default"/>
        <w:shd w:val="clear" w:color="auto" w:fill="ffffff"/>
        <w:spacing w:line="480" w:lineRule="auto"/>
        <w:ind w:firstLine="709"/>
        <w:jc w:val="both"/>
      </w:pPr>
      <w:r>
        <w:rPr>
          <w:rStyle w:val="None A"/>
          <w:rFonts w:ascii="Arial" w:hAnsi="Arial"/>
          <w:sz w:val="22"/>
          <w:szCs w:val="22"/>
          <w:rtl w:val="0"/>
          <w:lang w:val="en-US"/>
        </w:rPr>
        <w:t xml:space="preserve">Based on its genome sequence and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growth characteristics,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appears to be able to fill multiple nutrient niches.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has a relatively large and mosaic genome, it is amenable to a variety of growth substrates, and is able to colonize a diverse array of hosts suggesting that that it is a bacterial generalist (Sebaihia, 2006; Tracy, 2012; Songer, 2006). The ability to metabolize a variety of substrates is important since these substrates affect the regulation of genes involved in </w:t>
      </w:r>
      <w:r>
        <w:rPr>
          <w:rStyle w:val="None A"/>
          <w:rFonts w:ascii="Arial" w:hAnsi="Arial"/>
          <w:i w:val="1"/>
          <w:iCs w:val="1"/>
          <w:sz w:val="22"/>
          <w:szCs w:val="22"/>
          <w:rtl w:val="0"/>
          <w:lang w:val="en-US"/>
        </w:rPr>
        <w:t>C. difficile</w:t>
      </w:r>
      <w:r>
        <w:rPr>
          <w:rStyle w:val="None A"/>
          <w:rFonts w:ascii="Arial" w:hAnsi="Arial" w:hint="default"/>
          <w:sz w:val="22"/>
          <w:szCs w:val="22"/>
          <w:rtl w:val="0"/>
          <w:lang w:val="en-US"/>
        </w:rPr>
        <w:t>’</w:t>
      </w:r>
      <w:r>
        <w:rPr>
          <w:rStyle w:val="None A"/>
          <w:rFonts w:ascii="Arial" w:hAnsi="Arial"/>
          <w:sz w:val="22"/>
          <w:szCs w:val="22"/>
          <w:rtl w:val="0"/>
          <w:lang w:val="en-US"/>
        </w:rPr>
        <w:t xml:space="preserve">s pathogenesis. For example, </w:t>
      </w:r>
      <w:r>
        <w:rPr>
          <w:rStyle w:val="None A"/>
          <w:rFonts w:ascii="Arial" w:hAnsi="Arial"/>
          <w:i w:val="1"/>
          <w:iCs w:val="1"/>
          <w:sz w:val="22"/>
          <w:szCs w:val="22"/>
          <w:rtl w:val="0"/>
          <w:lang w:val="en-US"/>
        </w:rPr>
        <w:t xml:space="preserve">in vitro </w:t>
      </w:r>
      <w:r>
        <w:rPr>
          <w:rStyle w:val="None A"/>
          <w:rFonts w:ascii="Arial" w:hAnsi="Arial"/>
          <w:sz w:val="22"/>
          <w:szCs w:val="22"/>
          <w:rtl w:val="0"/>
          <w:lang w:val="en-US"/>
        </w:rPr>
        <w:t xml:space="preserve">transcriptomic analysis suggests that high concentrations of easily metabolized carbon sources, such as glucose or amino acids, inhibit toxin gene expression (Neumann-Schaal, 2015) and sporulation (Nawrocki, 2016). These genes are regulated by DNA-binding sigma factors, such as the pleiotropic regulator </w:t>
      </w:r>
      <w:r>
        <w:rPr>
          <w:rStyle w:val="None A"/>
          <w:rFonts w:ascii="Arial" w:hAnsi="Arial"/>
          <w:i w:val="1"/>
          <w:iCs w:val="1"/>
          <w:sz w:val="22"/>
          <w:szCs w:val="22"/>
          <w:rtl w:val="0"/>
          <w:lang w:val="en-US"/>
        </w:rPr>
        <w:t>ccpA,</w:t>
      </w:r>
      <w:r>
        <w:rPr>
          <w:rStyle w:val="None A"/>
          <w:rFonts w:ascii="Arial" w:hAnsi="Arial"/>
          <w:sz w:val="22"/>
          <w:szCs w:val="22"/>
          <w:rtl w:val="0"/>
          <w:lang w:val="en-US"/>
        </w:rPr>
        <w:t xml:space="preserve"> which are under the control of environmental nutrient concentrations, especially carbohydrates (Bouillaut, 2015). Downstream effects of this regulation likely have enormous impact on the lifestyle and metabolic strategy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when colonizing across sensitive hosts.</w:t>
      </w:r>
    </w:p>
    <w:p>
      <w:pPr>
        <w:pStyle w:val="Default"/>
        <w:shd w:val="clear" w:color="auto" w:fill="ffffff"/>
        <w:spacing w:line="480" w:lineRule="auto"/>
        <w:jc w:val="both"/>
      </w:pPr>
      <w:r>
        <w:rPr>
          <w:rStyle w:val="None A"/>
          <w:rFonts w:ascii="Arial" w:cs="Arial" w:hAnsi="Arial" w:eastAsia="Arial"/>
          <w:sz w:val="22"/>
          <w:szCs w:val="22"/>
          <w:rtl w:val="0"/>
        </w:rPr>
        <w:tab/>
        <w:t xml:space="preserve">Previous transcriptomic studies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have mainly focused on transcription of virulence factors, </w:t>
      </w:r>
      <w:r>
        <w:rPr>
          <w:rStyle w:val="None A"/>
          <w:rFonts w:ascii="Arial" w:hAnsi="Arial"/>
          <w:i w:val="1"/>
          <w:iCs w:val="1"/>
          <w:sz w:val="22"/>
          <w:szCs w:val="22"/>
          <w:rtl w:val="0"/>
          <w:lang w:val="en-US"/>
        </w:rPr>
        <w:t xml:space="preserve">in vitro </w:t>
      </w:r>
      <w:r>
        <w:rPr>
          <w:rStyle w:val="None A"/>
          <w:rFonts w:ascii="Arial" w:hAnsi="Arial"/>
          <w:sz w:val="22"/>
          <w:szCs w:val="22"/>
          <w:rtl w:val="0"/>
          <w:lang w:val="en-US"/>
        </w:rPr>
        <w:t xml:space="preserve">(Matamouros, 2007; Antunes, 2011), with some work characterizing transcription during colonization of germ free mice (Janoir, 2013; Kansau, 2016). Relevant to our hypothesis,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up-regulated several phosphotransferase systems (PTS) and ABC transporters in germ free mice, alluding to metabolic adaptation to nutrient availability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(Kansau, 2016). Although these analyses are informative, they are either primarily directed toward the expression of virulence factors or lack the context of the gut microbiota which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must compete against for substrates. Metabolomic analyses have also been used to more directly assay changes in bacterial metabolism as they relate to CDI (Theriot, 2013; Jump, 2014); however, these methods cannot focus on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specifically and more closely exhibit echoes of metabolism, not currently active processes. In contrast to these methods,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transcriptomic analysis from conventionally-raised animals may provide unique insight into its active metabolic pathways in a more realistic model of infection. Integrating transcriptomic data with genome-scale metabolic modeling has previously aided in identifying the most active aspects of an organism</w:t>
      </w:r>
      <w:r>
        <w:rPr>
          <w:rStyle w:val="None A"/>
          <w:rFonts w:ascii="Arial" w:hAnsi="Arial" w:hint="default"/>
          <w:sz w:val="22"/>
          <w:szCs w:val="22"/>
          <w:rtl w:val="0"/>
          <w:lang w:val="en-US"/>
        </w:rPr>
        <w:t>’</w:t>
      </w:r>
      <w:r>
        <w:rPr>
          <w:rStyle w:val="None A"/>
          <w:rFonts w:ascii="Arial" w:hAnsi="Arial"/>
          <w:sz w:val="22"/>
          <w:szCs w:val="22"/>
          <w:rtl w:val="0"/>
          <w:lang w:val="en-US"/>
        </w:rPr>
        <w:t xml:space="preserve">s metabolism and which substrates are preferred by the organism (Patil, 2005; Borenstein, 2008; Suthers, 2009). Apply these methods to study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colonization would allow us to directly test our hypothesis.</w:t>
      </w:r>
    </w:p>
    <w:p>
      <w:pPr>
        <w:pStyle w:val="Default"/>
        <w:shd w:val="clear" w:color="auto" w:fill="ffffff"/>
        <w:spacing w:line="480" w:lineRule="auto"/>
        <w:ind w:firstLine="709"/>
        <w:jc w:val="both"/>
      </w:pPr>
      <w:r>
        <w:rPr>
          <w:rStyle w:val="None A"/>
          <w:rFonts w:ascii="Arial" w:hAnsi="Arial"/>
          <w:sz w:val="22"/>
          <w:szCs w:val="22"/>
          <w:rtl w:val="0"/>
          <w:lang w:val="en-US"/>
        </w:rPr>
        <w:t xml:space="preserve">Based on the ability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 the gut environment caused by different classes of antibiotics (Fig. 1A). The antibiotics used in this study included cefoperazone, clindamycin, and streptomycin (Table 1). These antibiotics differentially affect the structure of the gut microbiota (Schubert, 2015). Each has also been shown to alter the gut metabolome relative to untreated animals (Antunes, 2011; Theriot, 2014; Jump, 2014). As such, we predicted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would encounter a unique subset of nutrients and competitors in each environment, which would necessitate distinct adaptive responses. To determine whether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a generalist and differentially responds to each condition, we assayed for differences in the amount of sporulation and toxin activity phenotypes and used metabolic models built using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expression data. In each of the three antibiotic conditions we challenged with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as well as in germ free mice, we observed that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altered its metabolic gene expression to colonize to high levels and produce varied amounts of toxin.</w:t>
      </w:r>
      <w:r>
        <w:rPr>
          <w:rStyle w:val="None A"/>
          <w:rFonts w:ascii="Arial Unicode MS" w:cs="Arial Unicode MS" w:hAnsi="Arial Unicode MS" w:eastAsia="Arial Unicode MS"/>
          <w:b w:val="0"/>
          <w:bCs w:val="0"/>
          <w:i w:val="0"/>
          <w:iCs w:val="0"/>
          <w:sz w:val="22"/>
          <w:szCs w:val="22"/>
        </w:rPr>
        <w:br w:type="page"/>
      </w:r>
    </w:p>
    <w:p>
      <w:pPr>
        <w:pStyle w:val="Default"/>
        <w:shd w:val="clear" w:color="auto" w:fill="ffffff"/>
        <w:spacing w:line="480" w:lineRule="auto"/>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Results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Levels of </w:t>
      </w:r>
      <w:r>
        <w:rPr>
          <w:rStyle w:val="None A"/>
          <w:rFonts w:ascii="Arial" w:hAnsi="Arial"/>
          <w:b w:val="1"/>
          <w:bCs w:val="1"/>
          <w:i w:val="1"/>
          <w:iCs w:val="1"/>
          <w:sz w:val="22"/>
          <w:szCs w:val="22"/>
          <w:rtl w:val="0"/>
          <w:lang w:val="en-US"/>
        </w:rPr>
        <w:t xml:space="preserve">C. difficile </w:t>
      </w:r>
      <w:r>
        <w:rPr>
          <w:rStyle w:val="None A"/>
          <w:rFonts w:ascii="Arial" w:hAnsi="Arial"/>
          <w:b w:val="1"/>
          <w:bCs w:val="1"/>
          <w:sz w:val="22"/>
          <w:szCs w:val="22"/>
          <w:rtl w:val="0"/>
          <w:lang w:val="en-US"/>
        </w:rPr>
        <w:t>sporulation and toxin activity vary between germ free and conventionally-raised mice.</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Due to the connection between metabolism and sporulation and toxin production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we measured both phenotypes at 18 hours post infection. This time period was selected based on previous work indicating this was a time that would yield the highest number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vegetative cells in the cecum relative to the number of spores (Koenigsknecht, 2015). There was not a significant difference in the number of vegetative cells between any susceptible condition tested (all </w:t>
      </w:r>
      <w:r>
        <w:rPr>
          <w:rStyle w:val="None A"/>
          <w:rFonts w:ascii="Arial" w:hAnsi="Arial"/>
          <w:i w:val="1"/>
          <w:iCs w:val="1"/>
          <w:sz w:val="22"/>
          <w:szCs w:val="22"/>
          <w:rtl w:val="0"/>
          <w:lang w:val="en-US"/>
        </w:rPr>
        <w:t>p</w:t>
      </w:r>
      <w:r>
        <w:rPr>
          <w:rStyle w:val="None A"/>
          <w:rFonts w:ascii="Arial" w:hAnsi="Arial"/>
          <w:sz w:val="22"/>
          <w:szCs w:val="22"/>
          <w:rtl w:val="0"/>
          <w:lang w:val="en-US"/>
        </w:rPr>
        <w:t>-values &lt; 0.05; Fig. 2a). All antibiotic treated and gnotobiotic animals were colonized to ~1</w:t>
      </w:r>
      <w:r>
        <w:rPr>
          <w:rStyle w:val="None A"/>
          <w:rFonts w:ascii="Arial" w:hAnsi="Arial" w:hint="default"/>
          <w:sz w:val="22"/>
          <w:szCs w:val="22"/>
          <w:rtl w:val="0"/>
          <w:lang w:val="en-US"/>
        </w:rPr>
        <w:t>×</w:t>
      </w:r>
      <w:r>
        <w:rPr>
          <w:rStyle w:val="None A"/>
          <w:rFonts w:ascii="Arial" w:hAnsi="Arial"/>
          <w:sz w:val="22"/>
          <w:szCs w:val="22"/>
          <w:rtl w:val="0"/>
          <w:lang w:val="en-US"/>
        </w:rPr>
        <w:t>10</w:t>
      </w:r>
      <w:r>
        <w:rPr>
          <w:rStyle w:val="None A"/>
          <w:rFonts w:ascii="Arial" w:hAnsi="Arial"/>
          <w:sz w:val="22"/>
          <w:szCs w:val="22"/>
          <w:vertAlign w:val="superscript"/>
          <w:rtl w:val="0"/>
          <w:lang w:val="en-US"/>
        </w:rPr>
        <w:t>8</w:t>
      </w:r>
      <w:r>
        <w:rPr>
          <w:rStyle w:val="None A"/>
          <w:rFonts w:ascii="Arial" w:hAnsi="Arial"/>
          <w:sz w:val="22"/>
          <w:szCs w:val="22"/>
          <w:rtl w:val="0"/>
          <w:lang w:val="en-US"/>
        </w:rPr>
        <w:t xml:space="preserve"> CFU/g content, while untreated conventionally-raised mice maintained colonization resistance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Despite having the same number of vegetative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cells, large differences were detected in the density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spores. Significantly more spores (all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-values &lt; 0.01) were detected in gnotobiotic mice than in the antibiotic treated mice (Fig. 2b). The spore densities in both streptomycin and clindamycin-treated mice were significantly higher than that in cefoperazone-treated mice. There was significantly more toxin titer in gnotobiotic animals than any other colonized group (all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-values &lt; 0.01), but toxin titer also varied between antibiotic treatment groups (Fig. 2c). Although similar toxin titers were found in both the cefoperazone and clindamycin-treated groups, toxin titer was not detectable in the streptomycin-treated animals. These results indicate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was able to colonize different communities to a consistently high level, but that the density of spores and toxin titer varied by treatment.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adapts the expression of genes for virulence and key sigma factors that are under the control of environmental nutrient concentrations.</w:t>
      </w:r>
    </w:p>
    <w:p>
      <w:pPr>
        <w:pStyle w:val="Default"/>
        <w:shd w:val="clear" w:color="auto" w:fill="ffffff"/>
        <w:spacing w:line="480" w:lineRule="auto"/>
        <w:jc w:val="both"/>
      </w:pPr>
      <w:r>
        <w:rPr>
          <w:rStyle w:val="None A"/>
          <w:rFonts w:ascii="Arial" w:cs="Arial" w:hAnsi="Arial" w:eastAsia="Arial"/>
          <w:sz w:val="22"/>
          <w:szCs w:val="22"/>
          <w:rtl w:val="0"/>
        </w:rPr>
        <w:tab/>
        <w:t xml:space="preserve">To more closely investigate the responses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 colonizing distinct susceptible gut environments, we performed whole transcriptome analysis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during infection of the antibiotic treatment models. We then narrowed our analysis to focus on genes that control or code for functions that have been linked to nutrient concentrations in the intestines during CDI.  After observing differences in spore CFU loads, we first examined transcription of known genes in the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sporulation pathway (Alvarez, 2007; Fimlaid, 2013; Saujet, 2014), limiting it to those with the highest variation in expression between treatment groups (Fig. 3a). Clindamycin treatment was associated with largely late sporulation genes, including those for spore coat components (</w:t>
      </w:r>
      <w:r>
        <w:rPr>
          <w:rStyle w:val="None A"/>
          <w:rFonts w:ascii="Arial" w:hAnsi="Arial"/>
          <w:i w:val="1"/>
          <w:iCs w:val="1"/>
          <w:sz w:val="22"/>
          <w:szCs w:val="22"/>
          <w:rtl w:val="0"/>
          <w:lang w:val="en-US"/>
        </w:rPr>
        <w:t>cdeC</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cotD</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cotJB2</w:t>
      </w:r>
      <w:r>
        <w:rPr>
          <w:rStyle w:val="None A"/>
          <w:rFonts w:ascii="Arial" w:hAnsi="Arial"/>
          <w:sz w:val="22"/>
          <w:szCs w:val="22"/>
          <w:rtl w:val="0"/>
          <w:lang w:val="en-US"/>
        </w:rPr>
        <w:t>), spore formation (</w:t>
      </w:r>
      <w:r>
        <w:rPr>
          <w:rStyle w:val="None A"/>
          <w:rFonts w:ascii="Arial" w:hAnsi="Arial"/>
          <w:i w:val="1"/>
          <w:iCs w:val="1"/>
          <w:sz w:val="22"/>
          <w:szCs w:val="22"/>
          <w:rtl w:val="0"/>
          <w:lang w:val="en-US"/>
        </w:rPr>
        <w:t>spoIVA</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spoVB</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spoVFB</w:t>
      </w:r>
      <w:r>
        <w:rPr>
          <w:rStyle w:val="None A"/>
          <w:rFonts w:ascii="Arial" w:hAnsi="Arial"/>
          <w:sz w:val="22"/>
          <w:szCs w:val="22"/>
          <w:rtl w:val="0"/>
          <w:lang w:val="en-US"/>
        </w:rPr>
        <w:t>), and effectors that protect DNA from damage damage during dormancy (</w:t>
      </w:r>
      <w:r>
        <w:rPr>
          <w:rStyle w:val="None A"/>
          <w:rFonts w:ascii="Arial" w:hAnsi="Arial"/>
          <w:i w:val="1"/>
          <w:iCs w:val="1"/>
          <w:sz w:val="22"/>
          <w:szCs w:val="22"/>
          <w:rtl w:val="0"/>
          <w:lang w:val="en-US"/>
        </w:rPr>
        <w:t>sspA</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sspB)</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colonizing germ free mice was primarily expressing the dormancy genes linked with the latest stages sporulation, supporting the large amount of spores quantified in Fig. 2b. Conversely, in cefoperazone-treated mice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highly expresses the anti-sigma factors </w:t>
      </w:r>
      <w:r>
        <w:rPr>
          <w:rStyle w:val="None A"/>
          <w:rFonts w:ascii="Arial" w:hAnsi="Arial"/>
          <w:i w:val="1"/>
          <w:iCs w:val="1"/>
          <w:sz w:val="22"/>
          <w:szCs w:val="22"/>
          <w:rtl w:val="0"/>
          <w:lang w:val="en-US"/>
        </w:rPr>
        <w:t>spoVG</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spoVS</w:t>
      </w:r>
      <w:r>
        <w:rPr>
          <w:rStyle w:val="None A"/>
          <w:rFonts w:ascii="Arial" w:hAnsi="Arial"/>
          <w:sz w:val="22"/>
          <w:szCs w:val="22"/>
          <w:rtl w:val="0"/>
          <w:lang w:val="en-US"/>
        </w:rPr>
        <w:t xml:space="preserve"> that are involved in suppressing expression of genes found later in the sporulation pathway (Matsuno, 1999). Finally,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streptomycin-treated mice show increased expression of both </w:t>
      </w:r>
      <w:r>
        <w:rPr>
          <w:rStyle w:val="None A"/>
          <w:rFonts w:ascii="Arial" w:hAnsi="Arial"/>
          <w:i w:val="1"/>
          <w:iCs w:val="1"/>
          <w:sz w:val="22"/>
          <w:szCs w:val="22"/>
          <w:rtl w:val="0"/>
          <w:lang w:val="en-US"/>
        </w:rPr>
        <w:t>spoIIAB</w:t>
      </w:r>
      <w:r>
        <w:rPr>
          <w:rStyle w:val="None A"/>
          <w:rFonts w:ascii="Arial" w:hAnsi="Arial"/>
          <w:sz w:val="22"/>
          <w:szCs w:val="22"/>
          <w:rtl w:val="0"/>
          <w:lang w:val="en-US"/>
        </w:rPr>
        <w:t>/</w:t>
      </w:r>
      <w:r>
        <w:rPr>
          <w:rStyle w:val="None A"/>
          <w:rFonts w:ascii="Arial" w:hAnsi="Arial"/>
          <w:i w:val="1"/>
          <w:iCs w:val="1"/>
          <w:sz w:val="22"/>
          <w:szCs w:val="22"/>
          <w:rtl w:val="0"/>
          <w:lang w:val="en-US"/>
        </w:rPr>
        <w:t>spoIIE</w:t>
      </w:r>
      <w:r>
        <w:rPr>
          <w:rStyle w:val="None A"/>
          <w:rFonts w:ascii="Arial" w:hAnsi="Arial"/>
          <w:sz w:val="22"/>
          <w:szCs w:val="22"/>
          <w:rtl w:val="0"/>
          <w:lang w:val="en-US"/>
        </w:rPr>
        <w:t xml:space="preserve"> (sporulation activating factors)</w:t>
      </w:r>
      <w:r>
        <w:rPr>
          <w:rStyle w:val="None A"/>
          <w:rFonts w:ascii="Arial" w:hAnsi="Arial"/>
          <w:i w:val="1"/>
          <w:iCs w:val="1"/>
          <w:sz w:val="22"/>
          <w:szCs w:val="22"/>
          <w:rtl w:val="0"/>
          <w:lang w:val="en-US"/>
        </w:rPr>
        <w:t xml:space="preserve"> and sspA</w:t>
      </w:r>
      <w:r>
        <w:rPr>
          <w:rStyle w:val="None A"/>
          <w:rFonts w:ascii="Arial" w:hAnsi="Arial"/>
          <w:sz w:val="22"/>
          <w:szCs w:val="22"/>
          <w:rtl w:val="0"/>
          <w:lang w:val="en-US"/>
        </w:rPr>
        <w:t>/</w:t>
      </w:r>
      <w:r>
        <w:rPr>
          <w:rStyle w:val="None A"/>
          <w:rFonts w:ascii="Arial" w:hAnsi="Arial"/>
          <w:i w:val="1"/>
          <w:iCs w:val="1"/>
          <w:sz w:val="22"/>
          <w:szCs w:val="22"/>
          <w:rtl w:val="0"/>
          <w:lang w:val="en-US"/>
        </w:rPr>
        <w:t>sspB</w:t>
      </w:r>
      <w:r>
        <w:rPr>
          <w:rStyle w:val="None A"/>
          <w:rFonts w:ascii="Arial" w:hAnsi="Arial"/>
          <w:sz w:val="22"/>
          <w:szCs w:val="22"/>
          <w:rtl w:val="0"/>
          <w:lang w:val="en-US"/>
        </w:rPr>
        <w:t xml:space="preserve">, but also demonstrates a large amount of expression of </w:t>
      </w:r>
      <w:r>
        <w:rPr>
          <w:rStyle w:val="None A"/>
          <w:rFonts w:ascii="Arial" w:hAnsi="Arial"/>
          <w:i w:val="1"/>
          <w:iCs w:val="1"/>
          <w:sz w:val="22"/>
          <w:szCs w:val="22"/>
          <w:rtl w:val="0"/>
          <w:lang w:val="en-US"/>
        </w:rPr>
        <w:t>spoVG</w:t>
      </w:r>
      <w:r>
        <w:rPr>
          <w:rStyle w:val="None A"/>
          <w:rFonts w:ascii="Arial" w:hAnsi="Arial"/>
          <w:sz w:val="22"/>
          <w:szCs w:val="22"/>
          <w:rtl w:val="0"/>
          <w:lang w:val="en-US"/>
        </w:rPr>
        <w:t>/</w:t>
      </w:r>
      <w:r>
        <w:rPr>
          <w:rStyle w:val="None A"/>
          <w:rFonts w:ascii="Arial" w:hAnsi="Arial"/>
          <w:i w:val="1"/>
          <w:iCs w:val="1"/>
          <w:sz w:val="22"/>
          <w:szCs w:val="22"/>
          <w:rtl w:val="0"/>
          <w:lang w:val="en-US"/>
        </w:rPr>
        <w:t>spoVS</w:t>
      </w:r>
      <w:r>
        <w:rPr>
          <w:rStyle w:val="None A"/>
          <w:rFonts w:ascii="Arial" w:hAnsi="Arial"/>
          <w:sz w:val="22"/>
          <w:szCs w:val="22"/>
          <w:rtl w:val="0"/>
          <w:lang w:val="en-US"/>
        </w:rPr>
        <w:t xml:space="preserve">. This seems to indicate the existence of potential subpopulations at distinct phases of the life-cycle during this time point in the streptomycin model.  Together these data demonstrate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differentially expresses stages of sporulation between the gut environments it colonizes.</w:t>
      </w:r>
      <w:r>
        <w:rPr>
          <w:rStyle w:val="None A"/>
          <w:rFonts w:ascii="Arial" w:hAnsi="Arial"/>
          <w:sz w:val="22"/>
          <w:szCs w:val="22"/>
          <w:rtl w:val="0"/>
          <w:lang w:val="en-US"/>
        </w:rPr>
        <w:t xml:space="preserve"> </w:t>
      </w:r>
      <w:r>
        <w:rPr>
          <w:rStyle w:val="None A"/>
          <w:rFonts w:ascii="Arial" w:hAnsi="Arial"/>
          <w:sz w:val="22"/>
          <w:szCs w:val="22"/>
          <w:rtl w:val="0"/>
          <w:lang w:val="en-US"/>
        </w:rPr>
        <w:t xml:space="preserve">Along with sporulation, expression of genes for quorum sensing and pathogenicity have been linked to changes in the nutrients that can be found in the environment of </w:t>
      </w:r>
      <w:r>
        <w:rPr>
          <w:rStyle w:val="None A"/>
          <w:rFonts w:ascii="Arial" w:hAnsi="Arial"/>
          <w:i w:val="1"/>
          <w:iCs w:val="1"/>
          <w:sz w:val="22"/>
          <w:szCs w:val="22"/>
          <w:rtl w:val="0"/>
          <w:lang w:val="en-US"/>
        </w:rPr>
        <w:t>C. difficil</w:t>
      </w:r>
      <w:r>
        <w:rPr>
          <w:rStyle w:val="None A"/>
          <w:rFonts w:ascii="Arial" w:hAnsi="Arial"/>
          <w:sz w:val="22"/>
          <w:szCs w:val="22"/>
          <w:rtl w:val="0"/>
          <w:lang w:val="en-US"/>
        </w:rPr>
        <w:t xml:space="preserve">e. Cefoperazone treatment was associated with increased expression for each of the suspected quorum sensing genes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(Fig. 3b). Both the </w:t>
      </w:r>
      <w:r>
        <w:rPr>
          <w:rStyle w:val="None A"/>
          <w:rFonts w:ascii="Arial" w:hAnsi="Arial"/>
          <w:i w:val="1"/>
          <w:iCs w:val="1"/>
          <w:sz w:val="22"/>
          <w:szCs w:val="22"/>
          <w:rtl w:val="0"/>
          <w:lang w:val="en-US"/>
        </w:rPr>
        <w:t>agr</w:t>
      </w:r>
      <w:r>
        <w:rPr>
          <w:rStyle w:val="None A"/>
          <w:rFonts w:ascii="Arial" w:hAnsi="Arial"/>
          <w:sz w:val="22"/>
          <w:szCs w:val="22"/>
          <w:rtl w:val="0"/>
          <w:lang w:val="en-US"/>
        </w:rPr>
        <w:t xml:space="preserve"> locus and </w:t>
      </w:r>
      <w:r>
        <w:rPr>
          <w:rStyle w:val="None A"/>
          <w:rFonts w:ascii="Arial" w:hAnsi="Arial"/>
          <w:i w:val="1"/>
          <w:iCs w:val="1"/>
          <w:sz w:val="22"/>
          <w:szCs w:val="22"/>
          <w:rtl w:val="0"/>
          <w:lang w:val="en-US"/>
        </w:rPr>
        <w:t>luxS</w:t>
      </w:r>
      <w:r>
        <w:rPr>
          <w:rStyle w:val="None A"/>
          <w:rFonts w:ascii="Arial" w:hAnsi="Arial"/>
          <w:sz w:val="22"/>
          <w:szCs w:val="22"/>
          <w:rtl w:val="0"/>
          <w:lang w:val="en-US"/>
        </w:rPr>
        <w:t xml:space="preserve"> gene are thought to be associated with inducing the expression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virulence (Lee, 2005; Martin, 2013). With this in mind, we looked toward the expression of pathogenicity genes and found higher expression of the toxin A gene (</w:t>
      </w:r>
      <w:r>
        <w:rPr>
          <w:rStyle w:val="None A"/>
          <w:rFonts w:ascii="Arial" w:hAnsi="Arial"/>
          <w:i w:val="1"/>
          <w:iCs w:val="1"/>
          <w:sz w:val="22"/>
          <w:szCs w:val="22"/>
          <w:rtl w:val="0"/>
          <w:lang w:val="en-US"/>
        </w:rPr>
        <w:t>tcdA</w:t>
      </w:r>
      <w:r>
        <w:rPr>
          <w:rStyle w:val="None A"/>
          <w:rFonts w:ascii="Arial" w:hAnsi="Arial"/>
          <w:sz w:val="22"/>
          <w:szCs w:val="22"/>
          <w:rtl w:val="0"/>
          <w:lang w:val="en-US"/>
        </w:rPr>
        <w:t>) than the toxin B gene (</w:t>
      </w:r>
      <w:r>
        <w:rPr>
          <w:rStyle w:val="None A"/>
          <w:rFonts w:ascii="Arial" w:hAnsi="Arial"/>
          <w:i w:val="1"/>
          <w:iCs w:val="1"/>
          <w:sz w:val="22"/>
          <w:szCs w:val="22"/>
          <w:rtl w:val="0"/>
          <w:lang w:val="en-US"/>
        </w:rPr>
        <w:t>tcdB</w:t>
      </w:r>
      <w:r>
        <w:rPr>
          <w:rStyle w:val="None A"/>
          <w:rFonts w:ascii="Arial" w:hAnsi="Arial"/>
          <w:sz w:val="22"/>
          <w:szCs w:val="22"/>
          <w:rtl w:val="0"/>
          <w:lang w:val="en-US"/>
        </w:rPr>
        <w:t xml:space="preserve">) across all groups. Transcripts for </w:t>
      </w:r>
      <w:r>
        <w:rPr>
          <w:rStyle w:val="None A"/>
          <w:rFonts w:ascii="Arial" w:hAnsi="Arial"/>
          <w:i w:val="1"/>
          <w:iCs w:val="1"/>
          <w:sz w:val="22"/>
          <w:szCs w:val="22"/>
          <w:rtl w:val="0"/>
          <w:lang w:val="en-US"/>
        </w:rPr>
        <w:t>tcdE</w:t>
      </w:r>
      <w:r>
        <w:rPr>
          <w:rStyle w:val="None A"/>
          <w:rFonts w:ascii="Arial" w:hAnsi="Arial"/>
          <w:sz w:val="22"/>
          <w:szCs w:val="22"/>
          <w:rtl w:val="0"/>
          <w:lang w:val="en-US"/>
        </w:rPr>
        <w:t xml:space="preserve"> encoding a holin-like protein associated with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toxin secretion, was only detectable in cefoperazone-treated mice.</w:t>
      </w:r>
      <w:r>
        <w:rPr>
          <w:rStyle w:val="None A"/>
          <w:rFonts w:ascii="Arial" w:hAnsi="Arial"/>
          <w:sz w:val="22"/>
          <w:szCs w:val="22"/>
          <w:rtl w:val="0"/>
          <w:lang w:val="en-US"/>
        </w:rPr>
        <w:t xml:space="preserve"> </w:t>
      </w:r>
      <w:r>
        <w:rPr>
          <w:rStyle w:val="None A"/>
          <w:rFonts w:ascii="Arial" w:hAnsi="Arial"/>
          <w:sz w:val="22"/>
          <w:szCs w:val="22"/>
          <w:rtl w:val="0"/>
          <w:lang w:val="en-US"/>
        </w:rPr>
        <w:t xml:space="preserve">These results support previous studies showing that environmental determinants play a role in the regulation of </w:t>
      </w:r>
      <w:r>
        <w:rPr>
          <w:rStyle w:val="None A"/>
          <w:rFonts w:ascii="Arial" w:hAnsi="Arial"/>
          <w:sz w:val="22"/>
          <w:szCs w:val="22"/>
          <w:rtl w:val="0"/>
          <w:lang w:val="en-US"/>
        </w:rPr>
        <w:t>virulence factors</w:t>
      </w:r>
      <w:r>
        <w:rPr>
          <w:rStyle w:val="None A"/>
          <w:rFonts w:ascii="Arial" w:hAnsi="Arial"/>
          <w:sz w:val="22"/>
          <w:szCs w:val="22"/>
          <w:rtl w:val="0"/>
          <w:lang w:val="en-US"/>
        </w:rPr>
        <w:t xml:space="preserve"> in </w:t>
      </w:r>
      <w:r>
        <w:rPr>
          <w:rStyle w:val="None A"/>
          <w:rFonts w:ascii="Arial" w:hAnsi="Arial"/>
          <w:i w:val="1"/>
          <w:iCs w:val="1"/>
          <w:sz w:val="22"/>
          <w:szCs w:val="22"/>
          <w:rtl w:val="0"/>
          <w:lang w:val="en-US"/>
        </w:rPr>
        <w:t>C. difficile</w:t>
      </w:r>
      <w:r>
        <w:rPr>
          <w:rStyle w:val="None A"/>
          <w:rFonts w:ascii="Arial" w:hAnsi="Arial"/>
          <w:sz w:val="22"/>
          <w:szCs w:val="22"/>
          <w:rtl w:val="0"/>
          <w:lang w:val="en-US"/>
        </w:rPr>
        <w:t>.</w:t>
      </w:r>
    </w:p>
    <w:p>
      <w:pPr>
        <w:pStyle w:val="Default"/>
        <w:shd w:val="clear" w:color="auto" w:fill="ffffff"/>
        <w:spacing w:line="480" w:lineRule="auto"/>
        <w:jc w:val="both"/>
      </w:pPr>
      <w:r>
        <w:rPr>
          <w:rStyle w:val="None A"/>
          <w:rFonts w:ascii="Arial" w:cs="Arial" w:hAnsi="Arial" w:eastAsia="Arial"/>
          <w:sz w:val="22"/>
          <w:szCs w:val="22"/>
          <w:rtl w:val="0"/>
        </w:rPr>
        <w:tab/>
        <w:t xml:space="preserve">As expression of all of genes discussed thus far are connected to metabolism we chose to then focus on high-level regulation of these processes. Sigma factors are master regulators of transcription and a subset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have been shown to integrate signals from, among several sources, environmental nutrient concentrations (Antunes, 2012; Fimlaid, 2013; Bouillaut, 2015; Donnelly, 2016). The transcription of the global repressor </w:t>
      </w:r>
      <w:r>
        <w:rPr>
          <w:rStyle w:val="None A"/>
          <w:rFonts w:ascii="Arial" w:hAnsi="Arial"/>
          <w:i w:val="1"/>
          <w:iCs w:val="1"/>
          <w:sz w:val="22"/>
          <w:szCs w:val="22"/>
          <w:rtl w:val="0"/>
          <w:lang w:val="en-US"/>
        </w:rPr>
        <w:t>codY</w:t>
      </w:r>
      <w:r>
        <w:rPr>
          <w:rStyle w:val="None A"/>
          <w:rFonts w:ascii="Arial" w:hAnsi="Arial"/>
          <w:sz w:val="22"/>
          <w:szCs w:val="22"/>
          <w:rtl w:val="0"/>
          <w:lang w:val="en-US"/>
        </w:rPr>
        <w:t xml:space="preserve"> is responsive to intracellular concentrations of GTP and certain amino acids, </w:t>
      </w:r>
      <w:r>
        <w:rPr>
          <w:rStyle w:val="None A"/>
          <w:rFonts w:ascii="Arial" w:hAnsi="Arial"/>
          <w:i w:val="1"/>
          <w:iCs w:val="1"/>
          <w:sz w:val="22"/>
          <w:szCs w:val="22"/>
          <w:rtl w:val="0"/>
          <w:lang w:val="en-US"/>
        </w:rPr>
        <w:t>C. difficile</w:t>
      </w:r>
      <w:r>
        <w:rPr>
          <w:rtl w:val="0"/>
          <w:lang w:val="en-US"/>
        </w:rPr>
        <w:t xml:space="preserve"> </w:t>
      </w:r>
      <w:r>
        <w:rPr>
          <w:rStyle w:val="None A"/>
          <w:rFonts w:ascii="Arial" w:hAnsi="Arial"/>
          <w:sz w:val="22"/>
          <w:szCs w:val="22"/>
          <w:rtl w:val="0"/>
          <w:lang w:val="en-US"/>
        </w:rPr>
        <w:t xml:space="preserve">energy sources (Fig 3d). Highest transcription for this gene was found in cefoperazone-treated and germ free mice, the conditions with the lowest and highest median spore CFU loads respectively (Fig. 2b). Expression of </w:t>
      </w:r>
      <w:r>
        <w:rPr>
          <w:rStyle w:val="None A"/>
          <w:rFonts w:ascii="Arial" w:hAnsi="Arial"/>
          <w:i w:val="1"/>
          <w:iCs w:val="1"/>
          <w:sz w:val="22"/>
          <w:szCs w:val="22"/>
          <w:rtl w:val="0"/>
          <w:lang w:val="en-US"/>
        </w:rPr>
        <w:t>ccpA</w:t>
      </w:r>
      <w:r>
        <w:rPr>
          <w:rStyle w:val="None A"/>
          <w:rFonts w:ascii="Arial" w:hAnsi="Arial"/>
          <w:sz w:val="22"/>
          <w:szCs w:val="22"/>
          <w:rtl w:val="0"/>
          <w:lang w:val="en-US"/>
        </w:rPr>
        <w:t xml:space="preserve"> is dependent on relief of </w:t>
      </w:r>
      <w:r>
        <w:rPr>
          <w:rStyle w:val="None A"/>
          <w:rFonts w:ascii="Arial" w:hAnsi="Arial"/>
          <w:i w:val="1"/>
          <w:iCs w:val="1"/>
          <w:sz w:val="22"/>
          <w:szCs w:val="22"/>
          <w:rtl w:val="0"/>
          <w:lang w:val="en-US"/>
        </w:rPr>
        <w:t>codY</w:t>
      </w:r>
      <w:r>
        <w:rPr>
          <w:rStyle w:val="None A"/>
          <w:rFonts w:ascii="Arial" w:hAnsi="Arial"/>
          <w:sz w:val="22"/>
          <w:szCs w:val="22"/>
          <w:rtl w:val="0"/>
          <w:lang w:val="en-US"/>
        </w:rPr>
        <w:t xml:space="preserve"> inhibition and its activity is linked to local concentration of rapidly metabolizable carbon sources. Cefoperazone-treated mice also exhibited increased transcription of </w:t>
      </w:r>
      <w:r>
        <w:rPr>
          <w:rStyle w:val="None A"/>
          <w:rFonts w:ascii="Arial" w:hAnsi="Arial"/>
          <w:i w:val="1"/>
          <w:iCs w:val="1"/>
          <w:sz w:val="22"/>
          <w:szCs w:val="22"/>
          <w:rtl w:val="0"/>
          <w:lang w:val="en-US"/>
        </w:rPr>
        <w:t>ccpA</w:t>
      </w:r>
      <w:r>
        <w:rPr>
          <w:rStyle w:val="None A"/>
          <w:rFonts w:ascii="Arial" w:hAnsi="Arial"/>
          <w:sz w:val="22"/>
          <w:szCs w:val="22"/>
          <w:rtl w:val="0"/>
          <w:lang w:val="en-US"/>
        </w:rPr>
        <w:t xml:space="preserve">, but the germ free condition did not follow the same pattern. CcpA acts directly on </w:t>
      </w:r>
      <w:r>
        <w:rPr>
          <w:rStyle w:val="None A"/>
          <w:rFonts w:ascii="Arial" w:hAnsi="Arial"/>
          <w:i w:val="1"/>
          <w:iCs w:val="1"/>
          <w:sz w:val="22"/>
          <w:szCs w:val="22"/>
          <w:rtl w:val="0"/>
          <w:lang w:val="en-US"/>
        </w:rPr>
        <w:t xml:space="preserve">spoA0 </w:t>
      </w:r>
      <w:r>
        <w:rPr>
          <w:rStyle w:val="None A"/>
          <w:rFonts w:ascii="Arial" w:hAnsi="Arial"/>
          <w:sz w:val="22"/>
          <w:szCs w:val="22"/>
          <w:rtl w:val="0"/>
          <w:lang w:val="en-US"/>
        </w:rPr>
        <w:t xml:space="preserve">(Fig. 3d) which positively regulates initiation of the sporulation pathway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Transcripts for </w:t>
      </w:r>
      <w:r>
        <w:rPr>
          <w:rStyle w:val="None A"/>
          <w:rFonts w:ascii="Arial" w:hAnsi="Arial"/>
          <w:i w:val="1"/>
          <w:iCs w:val="1"/>
          <w:sz w:val="22"/>
          <w:szCs w:val="22"/>
          <w:rtl w:val="0"/>
          <w:lang w:val="en-US"/>
        </w:rPr>
        <w:t>spoA0</w:t>
      </w:r>
      <w:r>
        <w:rPr>
          <w:rStyle w:val="None A"/>
          <w:rFonts w:ascii="Arial" w:hAnsi="Arial"/>
          <w:sz w:val="22"/>
          <w:szCs w:val="22"/>
          <w:rtl w:val="0"/>
          <w:lang w:val="en-US"/>
        </w:rPr>
        <w:t xml:space="preserve"> were highly abundant in all conditions tested except for clindamycin-treated mice, where it was still moderately detectable.  The </w:t>
      </w:r>
      <w:r>
        <w:rPr>
          <w:rStyle w:val="None A"/>
          <w:rFonts w:ascii="Arial" w:hAnsi="Arial"/>
          <w:i w:val="1"/>
          <w:iCs w:val="1"/>
          <w:sz w:val="22"/>
          <w:szCs w:val="22"/>
          <w:rtl w:val="0"/>
          <w:lang w:val="en-US"/>
        </w:rPr>
        <w:t>sig</w:t>
      </w:r>
      <w:r>
        <w:rPr>
          <w:rStyle w:val="None A"/>
          <w:rFonts w:ascii="Arial" w:hAnsi="Arial"/>
          <w:sz w:val="22"/>
          <w:szCs w:val="22"/>
          <w:rtl w:val="0"/>
          <w:lang w:val="en-US"/>
        </w:rPr>
        <w:t xml:space="preserve">-family of sigma factors are under the control of </w:t>
      </w:r>
      <w:r>
        <w:rPr>
          <w:rStyle w:val="None A"/>
          <w:rFonts w:ascii="Arial" w:hAnsi="Arial"/>
          <w:sz w:val="22"/>
          <w:szCs w:val="22"/>
          <w:rtl w:val="0"/>
          <w:lang w:val="en-US"/>
        </w:rPr>
        <w:t>S</w:t>
      </w:r>
      <w:r>
        <w:rPr>
          <w:rStyle w:val="None A"/>
          <w:rFonts w:ascii="Arial" w:hAnsi="Arial"/>
          <w:sz w:val="22"/>
          <w:szCs w:val="22"/>
          <w:rtl w:val="0"/>
          <w:lang w:val="en-US"/>
        </w:rPr>
        <w:t>poA0</w:t>
      </w:r>
      <w:r>
        <w:rPr>
          <w:rStyle w:val="None A"/>
          <w:rFonts w:ascii="Arial" w:hAnsi="Arial"/>
          <w:sz w:val="22"/>
          <w:szCs w:val="22"/>
          <w:rtl w:val="0"/>
          <w:lang w:val="en-US"/>
        </w:rPr>
        <w:t xml:space="preserve"> and regulate different stages of sporulation.  The genes from this family with the highest total transcription (</w:t>
      </w:r>
      <w:r>
        <w:rPr>
          <w:rStyle w:val="None A"/>
          <w:rFonts w:ascii="Arial" w:hAnsi="Arial"/>
          <w:i w:val="1"/>
          <w:iCs w:val="1"/>
          <w:sz w:val="22"/>
          <w:szCs w:val="22"/>
          <w:rtl w:val="0"/>
          <w:lang w:val="en-US"/>
        </w:rPr>
        <w:t>sigA1</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sigF</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sigG</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sigH</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sigK</w:t>
      </w:r>
      <w:r>
        <w:rPr>
          <w:rStyle w:val="None A"/>
          <w:rFonts w:ascii="Arial" w:hAnsi="Arial"/>
          <w:sz w:val="22"/>
          <w:szCs w:val="22"/>
          <w:rtl w:val="0"/>
          <w:lang w:val="en-US"/>
        </w:rPr>
        <w:t xml:space="preserve">) each demonstrate a unique pattern of expression between conditions. These results indicate that complete expression of sporulation likely integrates multiple levels of signaling and is more complex than a single metabolic switch. </w:t>
      </w:r>
      <w:r>
        <w:rPr>
          <w:rStyle w:val="None A"/>
          <w:rFonts w:ascii="Arial" w:hAnsi="Arial"/>
          <w:sz w:val="22"/>
          <w:szCs w:val="22"/>
          <w:rtl w:val="0"/>
          <w:lang w:val="en-US"/>
        </w:rPr>
        <w:t xml:space="preserve">Both CcpA and Spo0A also regulate pathogenicity by acting on </w:t>
      </w:r>
      <w:r>
        <w:rPr>
          <w:rStyle w:val="None A"/>
          <w:rFonts w:ascii="Arial" w:hAnsi="Arial"/>
          <w:i w:val="1"/>
          <w:iCs w:val="1"/>
          <w:sz w:val="22"/>
          <w:szCs w:val="22"/>
          <w:rtl w:val="0"/>
          <w:lang w:val="en-US"/>
        </w:rPr>
        <w:t>tcdC</w:t>
      </w:r>
      <w:r>
        <w:rPr>
          <w:rStyle w:val="None A"/>
          <w:rFonts w:ascii="Arial" w:hAnsi="Arial"/>
          <w:sz w:val="22"/>
          <w:szCs w:val="22"/>
          <w:rtl w:val="0"/>
          <w:lang w:val="en-US"/>
        </w:rPr>
        <w:t>/</w:t>
      </w:r>
      <w:r>
        <w:rPr>
          <w:rStyle w:val="None A"/>
          <w:rFonts w:ascii="Arial" w:hAnsi="Arial"/>
          <w:i w:val="1"/>
          <w:iCs w:val="1"/>
          <w:sz w:val="22"/>
          <w:szCs w:val="22"/>
          <w:rtl w:val="0"/>
          <w:lang w:val="en-US"/>
        </w:rPr>
        <w:t>tcdR</w:t>
      </w:r>
      <w:r>
        <w:rPr>
          <w:rStyle w:val="None A"/>
          <w:rFonts w:ascii="Arial" w:hAnsi="Arial"/>
          <w:sz w:val="22"/>
          <w:szCs w:val="22"/>
          <w:rtl w:val="0"/>
          <w:lang w:val="en-US"/>
        </w:rPr>
        <w:t xml:space="preserve"> (Fig. 3</w:t>
      </w:r>
      <w:r>
        <w:rPr>
          <w:rStyle w:val="None A"/>
          <w:rFonts w:ascii="Arial" w:hAnsi="Arial"/>
          <w:sz w:val="22"/>
          <w:szCs w:val="22"/>
          <w:rtl w:val="0"/>
          <w:lang w:val="en-US"/>
        </w:rPr>
        <w:t>d</w:t>
      </w:r>
      <w:r>
        <w:rPr>
          <w:rStyle w:val="None A"/>
          <w:rFonts w:ascii="Arial" w:hAnsi="Arial"/>
          <w:sz w:val="22"/>
          <w:szCs w:val="22"/>
          <w:rtl w:val="0"/>
          <w:lang w:val="en-US"/>
        </w:rPr>
        <w:t>)</w:t>
      </w:r>
      <w:r>
        <w:rPr>
          <w:rStyle w:val="None A"/>
          <w:rFonts w:ascii="Arial" w:hAnsi="Arial"/>
          <w:sz w:val="22"/>
          <w:szCs w:val="22"/>
          <w:rtl w:val="0"/>
          <w:lang w:val="en-US"/>
        </w:rPr>
        <w:t>. W</w:t>
      </w:r>
      <w:r>
        <w:rPr>
          <w:rStyle w:val="None A"/>
          <w:rFonts w:ascii="Arial" w:hAnsi="Arial"/>
          <w:sz w:val="22"/>
          <w:szCs w:val="22"/>
          <w:rtl w:val="0"/>
          <w:lang w:val="en-US"/>
        </w:rPr>
        <w:t xml:space="preserve">e found expression of the toxin negative regulator </w:t>
      </w:r>
      <w:r>
        <w:rPr>
          <w:rStyle w:val="None A"/>
          <w:rFonts w:ascii="Arial" w:hAnsi="Arial"/>
          <w:i w:val="1"/>
          <w:iCs w:val="1"/>
          <w:sz w:val="22"/>
          <w:szCs w:val="22"/>
          <w:rtl w:val="0"/>
          <w:lang w:val="en-US"/>
        </w:rPr>
        <w:t>tcdC</w:t>
      </w:r>
      <w:r>
        <w:rPr>
          <w:rStyle w:val="None A"/>
          <w:rFonts w:ascii="Arial" w:hAnsi="Arial"/>
          <w:sz w:val="22"/>
          <w:szCs w:val="22"/>
          <w:rtl w:val="0"/>
          <w:lang w:val="en-US"/>
        </w:rPr>
        <w:t xml:space="preserve"> </w:t>
      </w:r>
      <w:r>
        <w:rPr>
          <w:rStyle w:val="None A"/>
          <w:rFonts w:ascii="Arial" w:hAnsi="Arial"/>
          <w:sz w:val="22"/>
          <w:szCs w:val="22"/>
          <w:rtl w:val="0"/>
          <w:lang w:val="en-US"/>
        </w:rPr>
        <w:t xml:space="preserve">in all of the antibiotic-treated groups, but </w:t>
      </w:r>
      <w:r>
        <w:rPr>
          <w:rStyle w:val="None A"/>
          <w:rFonts w:ascii="Arial" w:hAnsi="Arial"/>
          <w:sz w:val="22"/>
          <w:szCs w:val="22"/>
          <w:rtl w:val="0"/>
          <w:lang w:val="en-US"/>
        </w:rPr>
        <w:t xml:space="preserve">no detectable transcripts for the positive toxin A/B regulator </w:t>
      </w:r>
      <w:r>
        <w:rPr>
          <w:rStyle w:val="None A"/>
          <w:rFonts w:ascii="Arial" w:hAnsi="Arial"/>
          <w:i w:val="1"/>
          <w:iCs w:val="1"/>
          <w:sz w:val="22"/>
          <w:szCs w:val="22"/>
          <w:rtl w:val="0"/>
          <w:lang w:val="en-US"/>
        </w:rPr>
        <w:t>tcdR</w:t>
      </w:r>
      <w:r>
        <w:rPr>
          <w:rStyle w:val="None A"/>
          <w:rFonts w:ascii="Arial" w:hAnsi="Arial"/>
          <w:sz w:val="22"/>
          <w:szCs w:val="22"/>
          <w:rtl w:val="0"/>
          <w:lang w:val="en-US"/>
        </w:rPr>
        <w:t xml:space="preserve"> </w:t>
      </w:r>
      <w:r>
        <w:rPr>
          <w:rStyle w:val="None A"/>
          <w:rFonts w:ascii="Arial" w:hAnsi="Arial"/>
          <w:sz w:val="22"/>
          <w:szCs w:val="22"/>
          <w:rtl w:val="0"/>
          <w:lang w:val="en-US"/>
        </w:rPr>
        <w:t xml:space="preserve">were seen in any treatment. </w:t>
      </w:r>
      <w:r>
        <w:rPr>
          <w:rStyle w:val="None A"/>
          <w:rFonts w:ascii="Arial" w:hAnsi="Arial"/>
          <w:sz w:val="22"/>
          <w:szCs w:val="22"/>
          <w:rtl w:val="0"/>
          <w:lang w:val="en-US"/>
        </w:rPr>
        <w:t xml:space="preserve">In addition to its effects on sporulation and virulence, CcpA also regulates the expression of other sigma factors that </w:t>
      </w:r>
      <w:r>
        <w:rPr>
          <w:rStyle w:val="None A"/>
          <w:rFonts w:ascii="Arial" w:hAnsi="Arial"/>
          <w:sz w:val="22"/>
          <w:szCs w:val="22"/>
          <w:rtl w:val="0"/>
          <w:lang w:val="en-US"/>
        </w:rPr>
        <w:t xml:space="preserve">generally </w:t>
      </w:r>
      <w:r>
        <w:rPr>
          <w:rStyle w:val="None A"/>
          <w:rFonts w:ascii="Arial" w:hAnsi="Arial"/>
          <w:sz w:val="22"/>
          <w:szCs w:val="22"/>
          <w:rtl w:val="0"/>
          <w:lang w:val="en-US"/>
        </w:rPr>
        <w:t xml:space="preserve">mediate distinct forms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 as needed.  These targets include </w:t>
      </w:r>
      <w:r>
        <w:rPr>
          <w:rStyle w:val="None A"/>
          <w:rFonts w:ascii="Arial" w:hAnsi="Arial"/>
          <w:i w:val="1"/>
          <w:iCs w:val="1"/>
          <w:sz w:val="22"/>
          <w:szCs w:val="22"/>
          <w:rtl w:val="0"/>
          <w:lang w:val="en-US"/>
        </w:rPr>
        <w:t>rex</w:t>
      </w:r>
      <w:r>
        <w:rPr>
          <w:rStyle w:val="None A"/>
          <w:rFonts w:ascii="Arial" w:hAnsi="Arial"/>
          <w:sz w:val="22"/>
          <w:szCs w:val="22"/>
          <w:rtl w:val="0"/>
          <w:lang w:val="en-US"/>
        </w:rPr>
        <w:t xml:space="preserve"> (fermentation) and </w:t>
      </w:r>
      <w:r>
        <w:rPr>
          <w:rStyle w:val="None A"/>
          <w:rFonts w:ascii="Arial" w:hAnsi="Arial"/>
          <w:i w:val="1"/>
          <w:iCs w:val="1"/>
          <w:sz w:val="22"/>
          <w:szCs w:val="22"/>
          <w:rtl w:val="0"/>
          <w:lang w:val="en-US"/>
        </w:rPr>
        <w:t>prdR</w:t>
      </w:r>
      <w:r>
        <w:rPr>
          <w:rStyle w:val="None A"/>
          <w:rFonts w:ascii="Arial" w:hAnsi="Arial"/>
          <w:sz w:val="22"/>
          <w:szCs w:val="22"/>
          <w:rtl w:val="0"/>
          <w:lang w:val="en-US"/>
        </w:rPr>
        <w:t xml:space="preserve"> (amino acid catabolism)</w:t>
      </w:r>
      <w:r>
        <w:rPr>
          <w:rStyle w:val="None A"/>
          <w:rFonts w:ascii="Arial" w:hAnsi="Arial"/>
          <w:i w:val="1"/>
          <w:iCs w:val="1"/>
          <w:sz w:val="22"/>
          <w:szCs w:val="22"/>
          <w:rtl w:val="0"/>
          <w:lang w:val="en-US"/>
        </w:rPr>
        <w:t xml:space="preserve"> </w:t>
      </w:r>
      <w:r>
        <w:rPr>
          <w:rStyle w:val="None A"/>
          <w:rFonts w:ascii="Arial" w:hAnsi="Arial"/>
          <w:sz w:val="22"/>
          <w:szCs w:val="22"/>
          <w:rtl w:val="0"/>
          <w:lang w:val="en-US"/>
        </w:rPr>
        <w:t xml:space="preserve">(Fig. 3d). Low-level transcription of </w:t>
      </w:r>
      <w:r>
        <w:rPr>
          <w:rStyle w:val="None A"/>
          <w:rFonts w:ascii="Arial" w:hAnsi="Arial"/>
          <w:i w:val="1"/>
          <w:iCs w:val="1"/>
          <w:sz w:val="22"/>
          <w:szCs w:val="22"/>
          <w:rtl w:val="0"/>
          <w:lang w:val="en-US"/>
        </w:rPr>
        <w:t>prdR</w:t>
      </w:r>
      <w:r>
        <w:rPr>
          <w:rStyle w:val="None A"/>
          <w:rFonts w:ascii="Arial" w:hAnsi="Arial"/>
          <w:sz w:val="22"/>
          <w:szCs w:val="22"/>
          <w:rtl w:val="0"/>
          <w:lang w:val="en-US"/>
        </w:rPr>
        <w:t xml:space="preserve"> was found across all conditions, however </w:t>
      </w:r>
      <w:r>
        <w:rPr>
          <w:rStyle w:val="None A"/>
          <w:rFonts w:ascii="Arial" w:hAnsi="Arial"/>
          <w:i w:val="1"/>
          <w:iCs w:val="1"/>
          <w:sz w:val="22"/>
          <w:szCs w:val="22"/>
          <w:rtl w:val="0"/>
          <w:lang w:val="en-US"/>
        </w:rPr>
        <w:t>rex</w:t>
      </w:r>
      <w:r>
        <w:rPr>
          <w:rStyle w:val="None A"/>
          <w:rFonts w:ascii="Arial" w:hAnsi="Arial"/>
          <w:sz w:val="22"/>
          <w:szCs w:val="22"/>
          <w:rtl w:val="0"/>
          <w:lang w:val="en-US"/>
        </w:rPr>
        <w:t xml:space="preserve"> expression is highly detectable in both cefoperazone-treated and germ free mice with modest expression in streptomycin-treated mice. Combined, the variable expression of these sigma factors support the hypothesis that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adapts expression of different aspects of its metabolism between colonized environments.</w:t>
      </w:r>
    </w:p>
    <w:p>
      <w:pPr>
        <w:pStyle w:val="Default"/>
        <w:shd w:val="clear" w:color="auto" w:fill="ffffff"/>
        <w:spacing w:line="480" w:lineRule="auto"/>
        <w:jc w:val="both"/>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Genes sets from multiple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metabolic pathways are differentially expressed between colonized environments.</w:t>
      </w:r>
    </w:p>
    <w:p>
      <w:pPr>
        <w:pStyle w:val="Default"/>
        <w:shd w:val="clear" w:color="auto" w:fill="ffffff"/>
        <w:spacing w:line="480" w:lineRule="auto"/>
        <w:jc w:val="both"/>
      </w:pPr>
      <w:r>
        <w:rPr>
          <w:rStyle w:val="None A"/>
          <w:rFonts w:ascii="Arial" w:cs="Arial" w:hAnsi="Arial" w:eastAsia="Arial"/>
          <w:sz w:val="22"/>
          <w:szCs w:val="22"/>
          <w:rtl w:val="0"/>
        </w:rPr>
        <w:tab/>
        <w:t>In the context of similar colonization</w:t>
      </w:r>
      <w:r>
        <w:rPr>
          <w:rStyle w:val="None A"/>
          <w:rFonts w:ascii="Arial" w:hAnsi="Arial"/>
          <w:sz w:val="22"/>
          <w:szCs w:val="22"/>
          <w:rtl w:val="0"/>
          <w:lang w:val="en-US"/>
        </w:rPr>
        <w:t xml:space="preserve"> between </w:t>
      </w:r>
      <w:r>
        <w:rPr>
          <w:rStyle w:val="None A"/>
          <w:rFonts w:ascii="Arial" w:hAnsi="Arial"/>
          <w:sz w:val="22"/>
          <w:szCs w:val="22"/>
          <w:rtl w:val="0"/>
          <w:lang w:val="en-US"/>
        </w:rPr>
        <w:t xml:space="preserve">antibiotic-treated animals, differential expression of global metabolic control mechanisms </w:t>
      </w:r>
      <w:r>
        <w:rPr>
          <w:rStyle w:val="None A"/>
          <w:rFonts w:ascii="Arial" w:hAnsi="Arial"/>
          <w:sz w:val="22"/>
          <w:szCs w:val="22"/>
          <w:rtl w:val="0"/>
          <w:lang w:val="en-US"/>
        </w:rPr>
        <w:t xml:space="preserve">that are </w:t>
      </w:r>
      <w:r>
        <w:rPr>
          <w:rStyle w:val="None A"/>
          <w:rFonts w:ascii="Arial" w:hAnsi="Arial"/>
          <w:sz w:val="22"/>
          <w:szCs w:val="22"/>
          <w:rtl w:val="0"/>
          <w:lang w:val="en-US"/>
        </w:rPr>
        <w:t>under the control of specific nutrient concentrations</w:t>
      </w:r>
      <w:r>
        <w:rPr>
          <w:rStyle w:val="None A"/>
          <w:rFonts w:ascii="Arial" w:hAnsi="Arial"/>
          <w:sz w:val="22"/>
          <w:szCs w:val="22"/>
          <w:rtl w:val="0"/>
          <w:lang w:val="en-US"/>
        </w:rPr>
        <w:t xml:space="preserve"> </w:t>
      </w:r>
      <w:r>
        <w:rPr>
          <w:rStyle w:val="None A"/>
          <w:rFonts w:ascii="Arial" w:hAnsi="Arial"/>
          <w:sz w:val="22"/>
          <w:szCs w:val="22"/>
          <w:rtl w:val="0"/>
          <w:lang w:val="en-US"/>
        </w:rPr>
        <w:t xml:space="preserve">suggests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adapt</w:t>
      </w:r>
      <w:r>
        <w:rPr>
          <w:rStyle w:val="None A"/>
          <w:rFonts w:ascii="Arial" w:hAnsi="Arial"/>
          <w:sz w:val="22"/>
          <w:szCs w:val="22"/>
          <w:rtl w:val="0"/>
          <w:lang w:val="en-US"/>
        </w:rPr>
        <w:t>s</w:t>
      </w:r>
      <w:r>
        <w:rPr>
          <w:rStyle w:val="None A"/>
          <w:rFonts w:ascii="Arial" w:hAnsi="Arial"/>
          <w:sz w:val="22"/>
          <w:szCs w:val="22"/>
          <w:rtl w:val="0"/>
          <w:lang w:val="en-US"/>
        </w:rPr>
        <w:t xml:space="preserve"> to each environment when in competition with the resident microbiota.</w:t>
      </w:r>
      <w:r>
        <w:rPr>
          <w:rStyle w:val="None A"/>
          <w:rFonts w:ascii="Arial" w:hAnsi="Arial"/>
          <w:sz w:val="22"/>
          <w:szCs w:val="22"/>
          <w:rtl w:val="0"/>
          <w:lang w:val="en-US"/>
        </w:rPr>
        <w:t xml:space="preserve"> </w:t>
      </w:r>
      <w:r>
        <w:rPr>
          <w:rStyle w:val="None A"/>
          <w:rFonts w:ascii="Arial" w:hAnsi="Arial"/>
          <w:sz w:val="22"/>
          <w:szCs w:val="22"/>
          <w:rtl w:val="0"/>
          <w:lang w:val="en-US"/>
        </w:rPr>
        <w:t xml:space="preserve">To test this further, we quantified the </w:t>
      </w:r>
      <w:r>
        <w:rPr>
          <w:rStyle w:val="None A"/>
          <w:rFonts w:ascii="Arial" w:hAnsi="Arial"/>
          <w:sz w:val="22"/>
          <w:szCs w:val="22"/>
          <w:rtl w:val="0"/>
          <w:lang w:val="en-US"/>
        </w:rPr>
        <w:t>percentage of</w:t>
      </w:r>
      <w:r>
        <w:rPr>
          <w:rStyle w:val="None A"/>
          <w:rFonts w:ascii="Arial" w:hAnsi="Arial"/>
          <w:sz w:val="22"/>
          <w:szCs w:val="22"/>
          <w:rtl w:val="0"/>
          <w:lang w:val="en-US"/>
        </w:rPr>
        <w:t xml:space="preserve"> </w:t>
      </w:r>
      <w:r>
        <w:rPr>
          <w:rStyle w:val="None A"/>
          <w:rFonts w:ascii="Arial" w:hAnsi="Arial"/>
          <w:sz w:val="22"/>
          <w:szCs w:val="22"/>
          <w:rtl w:val="0"/>
          <w:lang w:val="en-US"/>
        </w:rPr>
        <w:t xml:space="preserve">the total </w:t>
      </w:r>
      <w:r>
        <w:rPr>
          <w:rStyle w:val="None A"/>
          <w:rFonts w:ascii="Arial" w:hAnsi="Arial"/>
          <w:sz w:val="22"/>
          <w:szCs w:val="22"/>
          <w:rtl w:val="0"/>
          <w:lang w:val="en-US"/>
        </w:rPr>
        <w:t xml:space="preserve">expression </w:t>
      </w:r>
      <w:r>
        <w:rPr>
          <w:rStyle w:val="None A"/>
          <w:rFonts w:ascii="Arial" w:hAnsi="Arial"/>
          <w:sz w:val="22"/>
          <w:szCs w:val="22"/>
          <w:rtl w:val="0"/>
          <w:lang w:val="en-US"/>
        </w:rPr>
        <w:t>for</w:t>
      </w:r>
      <w:r>
        <w:rPr>
          <w:rStyle w:val="None A"/>
          <w:rFonts w:ascii="Arial" w:hAnsi="Arial"/>
          <w:sz w:val="22"/>
          <w:szCs w:val="22"/>
          <w:rtl w:val="0"/>
          <w:lang w:val="en-US"/>
        </w:rPr>
        <w:t xml:space="preserve"> </w:t>
      </w:r>
      <w:r>
        <w:rPr>
          <w:rStyle w:val="None A"/>
          <w:rFonts w:ascii="Arial" w:hAnsi="Arial"/>
          <w:sz w:val="22"/>
          <w:szCs w:val="22"/>
          <w:rtl w:val="0"/>
          <w:lang w:val="en-US"/>
        </w:rPr>
        <w:t xml:space="preserve">all annotated </w:t>
      </w:r>
      <w:r>
        <w:rPr>
          <w:rStyle w:val="None A"/>
          <w:rFonts w:ascii="Arial" w:hAnsi="Arial"/>
          <w:sz w:val="22"/>
          <w:szCs w:val="22"/>
          <w:rtl w:val="0"/>
          <w:lang w:val="en-US"/>
        </w:rPr>
        <w:t>gene</w:t>
      </w:r>
      <w:r>
        <w:rPr>
          <w:rStyle w:val="None A"/>
          <w:rFonts w:ascii="Arial" w:hAnsi="Arial"/>
          <w:sz w:val="22"/>
          <w:szCs w:val="22"/>
          <w:rtl w:val="0"/>
          <w:lang w:val="en-US"/>
        </w:rPr>
        <w:t>s</w:t>
      </w:r>
      <w:r>
        <w:rPr>
          <w:rStyle w:val="None A"/>
          <w:rFonts w:ascii="Arial" w:hAnsi="Arial"/>
          <w:sz w:val="22"/>
          <w:szCs w:val="22"/>
          <w:rtl w:val="0"/>
          <w:lang w:val="en-US"/>
        </w:rPr>
        <w:t xml:space="preserve"> </w:t>
      </w:r>
      <w:r>
        <w:rPr>
          <w:rStyle w:val="None A"/>
          <w:rFonts w:ascii="Arial" w:hAnsi="Arial"/>
          <w:sz w:val="22"/>
          <w:szCs w:val="22"/>
          <w:rtl w:val="0"/>
          <w:lang w:val="en-US"/>
        </w:rPr>
        <w:t xml:space="preserve">on a per gene basis </w:t>
      </w:r>
      <w:r>
        <w:rPr>
          <w:rStyle w:val="None A"/>
          <w:rFonts w:ascii="Arial" w:hAnsi="Arial"/>
          <w:sz w:val="22"/>
          <w:szCs w:val="22"/>
          <w:rtl w:val="0"/>
          <w:lang w:val="en-US"/>
        </w:rPr>
        <w:t xml:space="preserve">(Fig. 4). </w:t>
      </w:r>
      <w:r>
        <w:rPr>
          <w:rStyle w:val="None A"/>
          <w:rFonts w:ascii="Arial" w:hAnsi="Arial"/>
          <w:sz w:val="22"/>
          <w:szCs w:val="22"/>
          <w:rtl w:val="0"/>
          <w:lang w:val="en-US"/>
        </w:rPr>
        <w:t>The distribution of points indicated that there were large-scale differences in expression  between each group</w:t>
      </w:r>
      <w:r>
        <w:rPr>
          <w:rtl w:val="0"/>
          <w:lang w:val="en-US"/>
        </w:rPr>
        <w:t xml:space="preserve"> </w:t>
      </w:r>
      <w:r>
        <w:rPr>
          <w:rStyle w:val="None A"/>
          <w:rFonts w:ascii="Arial" w:hAnsi="Arial"/>
          <w:sz w:val="22"/>
          <w:szCs w:val="22"/>
          <w:rtl w:val="0"/>
          <w:lang w:val="en-US"/>
        </w:rPr>
        <w:t>(Fig. 4</w:t>
      </w:r>
      <w:r>
        <w:rPr>
          <w:rStyle w:val="None A"/>
          <w:rFonts w:ascii="Arial" w:hAnsi="Arial"/>
          <w:sz w:val="22"/>
          <w:szCs w:val="22"/>
          <w:rtl w:val="0"/>
          <w:lang w:val="en-US"/>
        </w:rPr>
        <w:t>a</w:t>
      </w:r>
      <w:r>
        <w:rPr>
          <w:rStyle w:val="None A"/>
          <w:rFonts w:ascii="Arial" w:hAnsi="Arial"/>
          <w:sz w:val="22"/>
          <w:szCs w:val="22"/>
          <w:rtl w:val="0"/>
          <w:lang w:val="en-US"/>
        </w:rPr>
        <w:t>)</w:t>
      </w:r>
      <w:r>
        <w:rPr>
          <w:rStyle w:val="None A"/>
          <w:rFonts w:ascii="Arial" w:hAnsi="Arial"/>
          <w:sz w:val="22"/>
          <w:szCs w:val="22"/>
          <w:rtl w:val="0"/>
          <w:lang w:val="en-US"/>
        </w:rPr>
        <w:t>, but lacking functional labels isn</w:t>
      </w:r>
      <w:r>
        <w:rPr>
          <w:rStyle w:val="None A"/>
          <w:rFonts w:ascii="Arial" w:hAnsi="Arial" w:hint="default"/>
          <w:sz w:val="22"/>
          <w:szCs w:val="22"/>
          <w:rtl w:val="0"/>
          <w:lang w:val="en-US"/>
        </w:rPr>
        <w:t>’</w:t>
      </w:r>
      <w:r>
        <w:rPr>
          <w:rStyle w:val="None A"/>
          <w:rFonts w:ascii="Arial" w:hAnsi="Arial"/>
          <w:sz w:val="22"/>
          <w:szCs w:val="22"/>
          <w:rtl w:val="0"/>
          <w:lang w:val="en-US"/>
        </w:rPr>
        <w:t xml:space="preserve">t informative for uncovering differences in metabolic strategy. We then </w:t>
      </w:r>
      <w:r>
        <w:rPr>
          <w:rStyle w:val="None A"/>
          <w:rFonts w:ascii="Arial" w:hAnsi="Arial"/>
          <w:sz w:val="22"/>
          <w:szCs w:val="22"/>
          <w:rtl w:val="0"/>
          <w:lang w:val="en-US"/>
        </w:rPr>
        <w:t xml:space="preserve">identified gene sets based on established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 and</w:t>
      </w:r>
      <w:r>
        <w:rPr>
          <w:rStyle w:val="None A"/>
          <w:rFonts w:ascii="Arial" w:hAnsi="Arial"/>
          <w:sz w:val="22"/>
          <w:szCs w:val="22"/>
          <w:rtl w:val="0"/>
          <w:lang w:val="en-US"/>
        </w:rPr>
        <w:t xml:space="preserve"> displayed highest expression of those genes among the three antibiotic treatment groups</w:t>
      </w:r>
      <w:r>
        <w:rPr>
          <w:rStyle w:val="None A"/>
          <w:rFonts w:ascii="Arial" w:hAnsi="Arial"/>
          <w:sz w:val="22"/>
          <w:szCs w:val="22"/>
          <w:rtl w:val="0"/>
          <w:lang w:val="en-US"/>
        </w:rPr>
        <w:t>.</w:t>
      </w:r>
      <w:r>
        <w:rPr>
          <w:rStyle w:val="None A"/>
          <w:rFonts w:ascii="Arial" w:hAnsi="Arial"/>
          <w:sz w:val="22"/>
          <w:szCs w:val="22"/>
          <w:rtl w:val="0"/>
          <w:lang w:val="en-US"/>
        </w:rPr>
        <w:t xml:space="preserve"> For all gene sets, the highest overall expression was for genes involved in amino acid catabolism, following select genes involved in fermentation </w:t>
      </w:r>
      <w:r>
        <w:rPr>
          <w:rStyle w:val="None A"/>
          <w:rFonts w:ascii="Arial" w:hAnsi="Arial"/>
          <w:sz w:val="22"/>
          <w:szCs w:val="22"/>
          <w:rtl w:val="0"/>
          <w:lang w:val="en-US"/>
        </w:rPr>
        <w:t xml:space="preserve">(Fig. </w:t>
      </w:r>
      <w:r>
        <w:rPr>
          <w:rStyle w:val="None A"/>
          <w:rFonts w:ascii="Arial" w:hAnsi="Arial"/>
          <w:sz w:val="22"/>
          <w:szCs w:val="22"/>
          <w:rtl w:val="0"/>
          <w:lang w:val="en-US"/>
        </w:rPr>
        <w:t>S?</w:t>
      </w:r>
      <w:r>
        <w:rPr>
          <w:rStyle w:val="None A"/>
          <w:rFonts w:ascii="Arial" w:hAnsi="Arial"/>
          <w:sz w:val="22"/>
          <w:szCs w:val="22"/>
          <w:rtl w:val="0"/>
          <w:lang w:val="en-US"/>
        </w:rPr>
        <w:t>)</w:t>
      </w:r>
      <w:r>
        <w:rPr>
          <w:rStyle w:val="None A"/>
          <w:rFonts w:ascii="Arial" w:hAnsi="Arial"/>
          <w:sz w:val="22"/>
          <w:szCs w:val="22"/>
          <w:rtl w:val="0"/>
          <w:lang w:val="en-US"/>
        </w:rPr>
        <w:t xml:space="preserve">. Together, these findings allude to Stickland fermentation as a central part of </w:t>
      </w:r>
      <w:r>
        <w:rPr>
          <w:rStyle w:val="None A"/>
          <w:rFonts w:ascii="Arial" w:hAnsi="Arial"/>
          <w:i w:val="1"/>
          <w:iCs w:val="1"/>
          <w:sz w:val="22"/>
          <w:szCs w:val="22"/>
          <w:rtl w:val="0"/>
          <w:lang w:val="en-US"/>
        </w:rPr>
        <w:t>C. difficile</w:t>
      </w:r>
      <w:r>
        <w:rPr>
          <w:rStyle w:val="None A"/>
          <w:rFonts w:ascii="Arial" w:hAnsi="Arial" w:hint="default"/>
          <w:sz w:val="22"/>
          <w:szCs w:val="22"/>
          <w:rtl w:val="0"/>
          <w:lang w:val="en-US"/>
        </w:rPr>
        <w:t>’</w:t>
      </w:r>
      <w:r>
        <w:rPr>
          <w:rStyle w:val="None A"/>
          <w:rFonts w:ascii="Arial" w:hAnsi="Arial"/>
          <w:sz w:val="22"/>
          <w:szCs w:val="22"/>
          <w:rtl w:val="0"/>
          <w:lang w:val="en-US"/>
        </w:rPr>
        <w:t>s metabolism</w:t>
      </w:r>
      <w:r>
        <w:rPr>
          <w:rStyle w:val="None A"/>
          <w:rFonts w:ascii="Arial" w:hAnsi="Arial"/>
          <w:i w:val="1"/>
          <w:iCs w:val="1"/>
          <w:sz w:val="22"/>
          <w:szCs w:val="22"/>
          <w:rtl w:val="0"/>
          <w:lang w:val="en-US"/>
        </w:rPr>
        <w:t xml:space="preserve"> in vivo</w:t>
      </w:r>
      <w:r>
        <w:rPr>
          <w:rStyle w:val="None A"/>
          <w:rFonts w:ascii="Arial" w:hAnsi="Arial"/>
          <w:sz w:val="22"/>
          <w:szCs w:val="22"/>
          <w:rtl w:val="0"/>
          <w:lang w:val="en-US"/>
        </w:rPr>
        <w:t>.</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To asses more clear associations of each gene set with a given antibiotic group, we analyzed each set separately and how they relate to the others. </w:t>
      </w:r>
      <w:r>
        <w:rPr>
          <w:rStyle w:val="None A"/>
          <w:rFonts w:ascii="Arial" w:hAnsi="Arial"/>
          <w:sz w:val="22"/>
          <w:szCs w:val="22"/>
          <w:rtl w:val="0"/>
          <w:lang w:val="en-US"/>
        </w:rPr>
        <w:t>We first chose to asses sugar transport systems</w:t>
      </w:r>
      <w:r>
        <w:rPr>
          <w:rStyle w:val="None A"/>
          <w:rFonts w:ascii="Arial" w:hAnsi="Arial"/>
          <w:sz w:val="22"/>
          <w:szCs w:val="22"/>
          <w:rtl w:val="0"/>
          <w:lang w:val="en-US"/>
        </w:rPr>
        <w:t xml:space="preserve"> since CodY has been associated with adaptive expression of </w:t>
      </w:r>
      <w:r>
        <w:rPr>
          <w:rFonts w:ascii="Arial" w:hAnsi="Arial"/>
          <w:sz w:val="22"/>
          <w:szCs w:val="22"/>
          <w:rtl w:val="0"/>
          <w:lang w:val="en-US"/>
        </w:rPr>
        <w:t xml:space="preserve">phosphotransferase systems (PTS) and ABC transporters </w:t>
      </w:r>
      <w:r>
        <w:rPr>
          <w:rStyle w:val="None A"/>
          <w:rFonts w:ascii="Arial" w:hAnsi="Arial"/>
          <w:sz w:val="22"/>
          <w:szCs w:val="22"/>
          <w:rtl w:val="0"/>
          <w:lang w:val="en-US"/>
        </w:rPr>
        <w:t xml:space="preserve">with known differences in substrate specificities. </w:t>
      </w:r>
      <w:r>
        <w:rPr>
          <w:rStyle w:val="None A"/>
          <w:rFonts w:ascii="Arial" w:hAnsi="Arial"/>
          <w:sz w:val="22"/>
          <w:szCs w:val="22"/>
          <w:rtl w:val="0"/>
          <w:lang w:val="en-US"/>
        </w:rPr>
        <w:t>Among the genes classified as</w:t>
      </w:r>
      <w:r>
        <w:rPr>
          <w:rStyle w:val="None A"/>
          <w:rFonts w:ascii="Arial" w:hAnsi="Arial"/>
          <w:sz w:val="22"/>
          <w:szCs w:val="22"/>
          <w:rtl w:val="0"/>
          <w:lang w:val="en-US"/>
        </w:rPr>
        <w:t xml:space="preserve"> </w:t>
      </w:r>
      <w:r>
        <w:rPr>
          <w:rStyle w:val="None A"/>
          <w:rFonts w:ascii="Arial" w:hAnsi="Arial"/>
          <w:sz w:val="22"/>
          <w:szCs w:val="22"/>
          <w:rtl w:val="0"/>
          <w:lang w:val="en-US"/>
        </w:rPr>
        <w:t xml:space="preserve">PTS transporters (Fig. 4b) were overrepresented in both clindamycin and streptomycin-treated mice, </w:t>
      </w:r>
      <w:r>
        <w:rPr>
          <w:rStyle w:val="None A"/>
          <w:rFonts w:ascii="Arial" w:hAnsi="Arial"/>
          <w:sz w:val="22"/>
          <w:szCs w:val="22"/>
          <w:rtl w:val="0"/>
          <w:lang w:val="en-US"/>
        </w:rPr>
        <w:t>while</w:t>
      </w:r>
      <w:r>
        <w:rPr>
          <w:rStyle w:val="None A"/>
          <w:rFonts w:ascii="Arial" w:hAnsi="Arial"/>
          <w:sz w:val="22"/>
          <w:szCs w:val="22"/>
          <w:rtl w:val="0"/>
          <w:lang w:val="en-US"/>
        </w:rPr>
        <w:t xml:space="preserve"> ABC sugar transporters (Fig. 4c) were overrepresented in the cefoparazone-treated mice. The most stark differences were seen in transcription for genes involved in sugar alcohol catabolism (Fig. 4d). Expression of these genes was entirely absent from clindamycin-treated mice and expression of genes for mannitol utilization (</w:t>
      </w:r>
      <w:r>
        <w:rPr>
          <w:rStyle w:val="None A"/>
          <w:rFonts w:ascii="Arial" w:hAnsi="Arial"/>
          <w:i w:val="1"/>
          <w:iCs w:val="1"/>
          <w:sz w:val="22"/>
          <w:szCs w:val="22"/>
          <w:rtl w:val="0"/>
          <w:lang w:val="en-US"/>
        </w:rPr>
        <w:t>mtl</w:t>
      </w:r>
      <w:r>
        <w:rPr>
          <w:rStyle w:val="None A"/>
          <w:rFonts w:ascii="Arial" w:hAnsi="Arial"/>
          <w:sz w:val="22"/>
          <w:szCs w:val="22"/>
          <w:rtl w:val="0"/>
          <w:lang w:val="en-US"/>
        </w:rPr>
        <w:t xml:space="preserve"> operon) were overrepresented in cefoparazone-treated mice and expression of genes for sorbitol utilization (</w:t>
      </w:r>
      <w:r>
        <w:rPr>
          <w:rStyle w:val="None A"/>
          <w:rFonts w:ascii="Arial" w:hAnsi="Arial"/>
          <w:i w:val="1"/>
          <w:iCs w:val="1"/>
          <w:sz w:val="22"/>
          <w:szCs w:val="22"/>
          <w:rtl w:val="0"/>
          <w:lang w:val="en-US"/>
        </w:rPr>
        <w:t>srl</w:t>
      </w:r>
      <w:r>
        <w:rPr>
          <w:rStyle w:val="None A"/>
          <w:rFonts w:ascii="Arial" w:hAnsi="Arial"/>
          <w:sz w:val="22"/>
          <w:szCs w:val="22"/>
          <w:rtl w:val="0"/>
          <w:lang w:val="en-US"/>
        </w:rPr>
        <w:t xml:space="preserve"> operon) were overrepresented in streptomycin-treated mice. </w:t>
      </w:r>
      <w:r>
        <w:rPr>
          <w:rStyle w:val="None A"/>
          <w:rFonts w:ascii="Arial" w:hAnsi="Arial"/>
          <w:sz w:val="22"/>
          <w:szCs w:val="22"/>
          <w:rtl w:val="0"/>
          <w:lang w:val="en-US"/>
        </w:rPr>
        <w:t>Concordant</w:t>
      </w:r>
      <w:r>
        <w:rPr>
          <w:rStyle w:val="None A"/>
          <w:rFonts w:ascii="Arial" w:hAnsi="Arial"/>
          <w:sz w:val="22"/>
          <w:szCs w:val="22"/>
          <w:rtl w:val="0"/>
          <w:lang w:val="en-US"/>
        </w:rPr>
        <w:t xml:space="preserve"> patterns </w:t>
      </w:r>
      <w:r>
        <w:rPr>
          <w:rStyle w:val="None A"/>
          <w:rFonts w:ascii="Arial" w:hAnsi="Arial"/>
          <w:sz w:val="22"/>
          <w:szCs w:val="22"/>
          <w:rtl w:val="0"/>
          <w:lang w:val="en-US"/>
        </w:rPr>
        <w:t xml:space="preserve">also </w:t>
      </w:r>
      <w:r>
        <w:rPr>
          <w:rStyle w:val="None A"/>
          <w:rFonts w:ascii="Arial" w:hAnsi="Arial"/>
          <w:sz w:val="22"/>
          <w:szCs w:val="22"/>
          <w:rtl w:val="0"/>
          <w:lang w:val="en-US"/>
        </w:rPr>
        <w:t xml:space="preserve">emerged in genes associated with fermentation </w:t>
      </w:r>
      <w:r>
        <w:rPr>
          <w:rStyle w:val="None A"/>
          <w:rFonts w:ascii="Arial" w:hAnsi="Arial"/>
          <w:sz w:val="22"/>
          <w:szCs w:val="22"/>
          <w:rtl w:val="0"/>
          <w:lang w:val="en-US"/>
        </w:rPr>
        <w:t xml:space="preserve">end steps </w:t>
      </w:r>
      <w:r>
        <w:rPr>
          <w:rStyle w:val="None A"/>
          <w:rFonts w:ascii="Arial" w:hAnsi="Arial"/>
          <w:sz w:val="22"/>
          <w:szCs w:val="22"/>
          <w:rtl w:val="0"/>
          <w:lang w:val="en-US"/>
        </w:rPr>
        <w:t>(Fig. 4f)</w:t>
      </w:r>
      <w:r>
        <w:rPr>
          <w:rStyle w:val="None A"/>
          <w:rFonts w:ascii="Arial" w:hAnsi="Arial"/>
          <w:sz w:val="22"/>
          <w:szCs w:val="22"/>
          <w:rtl w:val="0"/>
          <w:lang w:val="en-US"/>
        </w:rPr>
        <w:t xml:space="preserve"> and  polysaccharide degradation</w:t>
      </w:r>
      <w:r>
        <w:rPr>
          <w:rStyle w:val="None A"/>
          <w:rFonts w:ascii="Arial" w:hAnsi="Arial"/>
          <w:sz w:val="22"/>
          <w:szCs w:val="22"/>
          <w:rtl w:val="0"/>
          <w:lang w:val="en-US"/>
        </w:rPr>
        <w:t xml:space="preserve"> (Fig. 4g). Short chain fatty acids (SCFAs) and alcohols are the end products of both carbohydrate and amino acid fermentation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through separate pathways with shared terminal steps. Transcripts for genes involved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butyrate/butanol metabolism (</w:t>
      </w:r>
      <w:r>
        <w:rPr>
          <w:rStyle w:val="None A"/>
          <w:rFonts w:ascii="Arial" w:hAnsi="Arial"/>
          <w:i w:val="1"/>
          <w:iCs w:val="1"/>
          <w:sz w:val="22"/>
          <w:szCs w:val="22"/>
          <w:rtl w:val="0"/>
          <w:lang w:val="en-US"/>
        </w:rPr>
        <w:t>ptb</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buk1</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cat2</w:t>
      </w:r>
      <w:r>
        <w:rPr>
          <w:rStyle w:val="None A"/>
          <w:rFonts w:ascii="Arial" w:hAnsi="Arial"/>
          <w:sz w:val="22"/>
          <w:szCs w:val="22"/>
          <w:rtl w:val="0"/>
          <w:lang w:val="en-US"/>
        </w:rPr>
        <w:t xml:space="preserve">, and </w:t>
      </w:r>
      <w:bookmarkStart w:name="_DdeLink__1230_954670323" w:id="1"/>
      <w:r>
        <w:rPr>
          <w:rStyle w:val="None A"/>
          <w:rFonts w:ascii="Arial" w:hAnsi="Arial"/>
          <w:i w:val="1"/>
          <w:iCs w:val="1"/>
          <w:sz w:val="22"/>
          <w:szCs w:val="22"/>
          <w:rtl w:val="0"/>
          <w:lang w:val="en-US"/>
        </w:rPr>
        <w:t>adhE</w:t>
      </w:r>
      <w:bookmarkEnd w:id="1"/>
      <w:r>
        <w:rPr>
          <w:rStyle w:val="None A"/>
          <w:rFonts w:ascii="Arial" w:hAnsi="Arial"/>
          <w:sz w:val="22"/>
          <w:szCs w:val="22"/>
          <w:rtl w:val="0"/>
          <w:lang w:val="en-US"/>
        </w:rPr>
        <w:t>) were more abundant in  clindamycin-treated mice. Additionally, alpha/beta-galactosidase genes (</w:t>
      </w:r>
      <w:r>
        <w:rPr>
          <w:rStyle w:val="None A"/>
          <w:rFonts w:ascii="Arial" w:hAnsi="Arial"/>
          <w:i w:val="1"/>
          <w:iCs w:val="1"/>
          <w:sz w:val="22"/>
          <w:szCs w:val="22"/>
          <w:rtl w:val="0"/>
          <w:lang w:val="en-US"/>
        </w:rPr>
        <w:t>aglB</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bglA</w:t>
      </w:r>
      <w:r>
        <w:rPr>
          <w:rStyle w:val="None A"/>
          <w:rFonts w:ascii="Arial" w:hAnsi="Arial"/>
          <w:sz w:val="22"/>
          <w:szCs w:val="22"/>
          <w:rtl w:val="0"/>
          <w:lang w:val="en-US"/>
        </w:rPr>
        <w:t>) were also overrepresented in clindamycin-treated mice (Fig. 4g). Together these patterns support polysaccharide fermentation in this condition.</w:t>
      </w:r>
      <w:r>
        <w:rPr>
          <w:rStyle w:val="None A"/>
          <w:rFonts w:ascii="Arial" w:hAnsi="Arial"/>
          <w:sz w:val="22"/>
          <w:szCs w:val="22"/>
          <w:rtl w:val="0"/>
          <w:lang w:val="en-US"/>
        </w:rPr>
        <w:t xml:space="preserve"> </w:t>
      </w:r>
      <w:r>
        <w:rPr>
          <w:rStyle w:val="None A"/>
          <w:rFonts w:ascii="Arial" w:hAnsi="Arial"/>
          <w:sz w:val="22"/>
          <w:szCs w:val="22"/>
          <w:rtl w:val="0"/>
          <w:lang w:val="en-US"/>
        </w:rPr>
        <w:t>More subtle differences were seen in those gene associated with glycolysis (Fig. 4e). This category included genes for the steps involved in glycolysis as well as several genes that mediate entry points of a number of monosaccharides to this pathway. Transcripts for several genes in glycolysis (</w:t>
      </w:r>
      <w:r>
        <w:rPr>
          <w:rStyle w:val="None A"/>
          <w:rFonts w:ascii="Arial" w:hAnsi="Arial"/>
          <w:i w:val="1"/>
          <w:iCs w:val="1"/>
          <w:sz w:val="22"/>
          <w:szCs w:val="22"/>
          <w:rtl w:val="0"/>
          <w:lang w:val="en-US"/>
        </w:rPr>
        <w:t>eno</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gapA</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gpmI</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tpi</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pyk</w:t>
      </w:r>
      <w:r>
        <w:rPr>
          <w:rStyle w:val="None A"/>
          <w:rFonts w:ascii="Arial" w:hAnsi="Arial"/>
          <w:sz w:val="22"/>
          <w:szCs w:val="22"/>
          <w:rtl w:val="0"/>
          <w:lang w:val="en-US"/>
        </w:rPr>
        <w:t xml:space="preserve">) were overrepresented in cefoparazone-treated mice, however </w:t>
      </w:r>
      <w:r>
        <w:rPr>
          <w:rStyle w:val="None A"/>
          <w:rFonts w:ascii="Arial" w:hAnsi="Arial"/>
          <w:i w:val="1"/>
          <w:iCs w:val="1"/>
          <w:sz w:val="22"/>
          <w:szCs w:val="22"/>
          <w:rtl w:val="0"/>
          <w:lang w:val="en-US"/>
        </w:rPr>
        <w:t>fruK</w:t>
      </w:r>
      <w:r>
        <w:rPr>
          <w:rStyle w:val="None A"/>
          <w:rFonts w:ascii="Arial" w:hAnsi="Arial"/>
          <w:sz w:val="22"/>
          <w:szCs w:val="22"/>
          <w:rtl w:val="0"/>
          <w:lang w:val="en-US"/>
        </w:rPr>
        <w:t xml:space="preserve"> is overrepresented in streptomycin-treated mice which catalyzes the committed step of glycolysis. Overall, these results support the hypothesis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able to adapt its metabolism to fit the nutrient availability across different susceptible environments.</w:t>
      </w:r>
    </w:p>
    <w:p>
      <w:pPr>
        <w:pStyle w:val="Default"/>
        <w:shd w:val="clear" w:color="auto" w:fill="ffffff"/>
        <w:spacing w:line="480" w:lineRule="auto"/>
        <w:jc w:val="both"/>
      </w:pPr>
      <w:r>
        <w:tab/>
      </w:r>
      <w:r>
        <w:rPr>
          <w:rStyle w:val="None A"/>
          <w:rFonts w:ascii="Arial" w:hAnsi="Arial"/>
          <w:sz w:val="22"/>
          <w:szCs w:val="22"/>
          <w:rtl w:val="0"/>
          <w:lang w:val="en-US"/>
        </w:rPr>
        <w:t>Conversely, the expression of genes associated with amino acid catabolism were consistently expressed at relatively equal levels across the conditions (Fig. 4h). This gene category includes those enzymes involved in Stickland fermentation (</w:t>
      </w:r>
      <w:r>
        <w:rPr>
          <w:rStyle w:val="None A"/>
          <w:rFonts w:ascii="Arial" w:hAnsi="Arial"/>
          <w:i w:val="1"/>
          <w:iCs w:val="1"/>
          <w:sz w:val="22"/>
          <w:szCs w:val="22"/>
          <w:rtl w:val="0"/>
          <w:lang w:val="en-US"/>
        </w:rPr>
        <w:t>arg</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fdh</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grd</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 xml:space="preserve">prd </w:t>
      </w:r>
      <w:r>
        <w:rPr>
          <w:rStyle w:val="None A"/>
          <w:rFonts w:ascii="Arial" w:hAnsi="Arial"/>
          <w:sz w:val="22"/>
          <w:szCs w:val="22"/>
          <w:rtl w:val="0"/>
          <w:lang w:val="en-US"/>
        </w:rPr>
        <w:t>loci) as well as several general peptidases (</w:t>
      </w:r>
      <w:r>
        <w:rPr>
          <w:rStyle w:val="None A"/>
          <w:rFonts w:ascii="Arial" w:hAnsi="Arial"/>
          <w:i w:val="1"/>
          <w:iCs w:val="1"/>
          <w:sz w:val="22"/>
          <w:szCs w:val="22"/>
          <w:rtl w:val="0"/>
          <w:lang w:val="en-US"/>
        </w:rPr>
        <w:t>pep</w:t>
      </w:r>
      <w:r>
        <w:rPr>
          <w:rStyle w:val="None A"/>
          <w:rFonts w:ascii="Arial" w:hAnsi="Arial"/>
          <w:sz w:val="22"/>
          <w:szCs w:val="22"/>
          <w:rtl w:val="0"/>
          <w:lang w:val="en-US"/>
        </w:rPr>
        <w:t xml:space="preserve"> family). Additionally, genes for the metabolism of the host-derived amino sugars N-acetylglucosamine and N-acetylmannosamine were also expressed at consistent levels across each treatment group (</w:t>
      </w:r>
      <w:r>
        <w:rPr>
          <w:rStyle w:val="None A"/>
          <w:rFonts w:ascii="Arial" w:hAnsi="Arial"/>
          <w:i w:val="1"/>
          <w:iCs w:val="1"/>
          <w:sz w:val="22"/>
          <w:szCs w:val="22"/>
          <w:rtl w:val="0"/>
          <w:lang w:val="en-US"/>
        </w:rPr>
        <w:t>glm</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nan</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mur</w:t>
      </w:r>
      <w:r>
        <w:rPr>
          <w:rStyle w:val="None A"/>
          <w:rFonts w:ascii="Arial" w:hAnsi="Arial"/>
          <w:sz w:val="22"/>
          <w:szCs w:val="22"/>
          <w:rtl w:val="0"/>
          <w:lang w:val="en-US"/>
        </w:rPr>
        <w:t>, and</w:t>
      </w:r>
      <w:r>
        <w:rPr>
          <w:rStyle w:val="None A"/>
          <w:rFonts w:ascii="Arial" w:hAnsi="Arial"/>
          <w:i w:val="1"/>
          <w:iCs w:val="1"/>
          <w:sz w:val="22"/>
          <w:szCs w:val="22"/>
          <w:rtl w:val="0"/>
          <w:lang w:val="en-US"/>
        </w:rPr>
        <w:t xml:space="preserve"> acd</w:t>
      </w:r>
      <w:r>
        <w:rPr>
          <w:rStyle w:val="None A"/>
          <w:rFonts w:ascii="Arial" w:hAnsi="Arial"/>
          <w:sz w:val="22"/>
          <w:szCs w:val="22"/>
          <w:rtl w:val="0"/>
          <w:lang w:val="en-US"/>
        </w:rPr>
        <w:t xml:space="preserve"> loci) (Fig. 4i). Along similar lines with closely related molecules, a number of genes for other monosaccharide catabolism were expressed relatively evenly between each condition. This includes glycolysis-associated genes (</w:t>
      </w:r>
      <w:r>
        <w:rPr>
          <w:rStyle w:val="None A"/>
          <w:rFonts w:ascii="Arial" w:hAnsi="Arial"/>
          <w:i w:val="1"/>
          <w:iCs w:val="1"/>
          <w:sz w:val="22"/>
          <w:szCs w:val="22"/>
          <w:rtl w:val="0"/>
          <w:lang w:val="en-US"/>
        </w:rPr>
        <w:t>fba</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fbp</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gap</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pfk)</w:t>
      </w:r>
      <w:r>
        <w:rPr>
          <w:rStyle w:val="None A"/>
          <w:rFonts w:ascii="Arial" w:hAnsi="Arial"/>
          <w:sz w:val="22"/>
          <w:szCs w:val="22"/>
          <w:rtl w:val="0"/>
          <w:lang w:val="en-US"/>
        </w:rPr>
        <w:t xml:space="preserve"> as well as several genes (</w:t>
      </w:r>
      <w:r>
        <w:rPr>
          <w:rStyle w:val="None A"/>
          <w:rFonts w:ascii="Arial" w:hAnsi="Arial"/>
          <w:i w:val="1"/>
          <w:iCs w:val="1"/>
          <w:sz w:val="22"/>
          <w:szCs w:val="22"/>
          <w:rtl w:val="0"/>
          <w:lang w:val="en-US"/>
        </w:rPr>
        <w:t>gal</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man</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pmi</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tag</w:t>
      </w:r>
      <w:r>
        <w:rPr>
          <w:rStyle w:val="None A"/>
          <w:rFonts w:ascii="Arial" w:hAnsi="Arial"/>
          <w:sz w:val="22"/>
          <w:szCs w:val="22"/>
          <w:rtl w:val="0"/>
          <w:lang w:val="en-US"/>
        </w:rPr>
        <w:t xml:space="preserve"> loci) for bringing different monosaccharides into glycolysis (including galactose, mannose, and tagatose). Combined, these findings suggest that catabolism of amino acids and specific monosaccharides are core components of the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nutritional strategy during infection.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Bipartite metabolic models underscore known bacterial metabolism and reveal adaptive nutritional strategies of </w:t>
      </w:r>
      <w:r>
        <w:rPr>
          <w:rStyle w:val="None A"/>
          <w:rFonts w:ascii="Arial" w:hAnsi="Arial"/>
          <w:b w:val="1"/>
          <w:bCs w:val="1"/>
          <w:i w:val="1"/>
          <w:iCs w:val="1"/>
          <w:sz w:val="22"/>
          <w:szCs w:val="22"/>
          <w:rtl w:val="0"/>
          <w:lang w:val="en-US"/>
        </w:rPr>
        <w:t xml:space="preserve">C. difficile </w:t>
      </w:r>
      <w:r>
        <w:rPr>
          <w:rStyle w:val="None A"/>
          <w:rFonts w:ascii="Arial" w:hAnsi="Arial"/>
          <w:b w:val="1"/>
          <w:bCs w:val="1"/>
          <w:sz w:val="22"/>
          <w:szCs w:val="22"/>
          <w:rtl w:val="0"/>
          <w:lang w:val="en-US"/>
        </w:rPr>
        <w:t>during infection.</w:t>
      </w:r>
    </w:p>
    <w:p>
      <w:pPr>
        <w:pStyle w:val="Default"/>
        <w:shd w:val="clear" w:color="auto" w:fill="ffffff"/>
        <w:spacing w:line="480" w:lineRule="auto"/>
        <w:ind w:firstLine="709"/>
        <w:jc w:val="both"/>
        <w:rPr>
          <w:rStyle w:val="None A"/>
          <w:rFonts w:ascii="Arial" w:cs="Arial" w:hAnsi="Arial" w:eastAsia="Arial"/>
          <w:sz w:val="22"/>
          <w:szCs w:val="22"/>
        </w:rPr>
      </w:pPr>
      <w:r>
        <w:rPr>
          <w:rStyle w:val="None A"/>
          <w:rFonts w:ascii="Arial" w:hAnsi="Arial"/>
          <w:sz w:val="22"/>
          <w:szCs w:val="22"/>
          <w:rtl w:val="0"/>
          <w:lang w:val="en-US"/>
        </w:rPr>
        <w:t xml:space="preserve">We represented the metabolic network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as a directed bipartite graph using the genome annotation. Enzymes and metabolites were represented by nodes and their interaction by the edge between the nodes (Fig. 5A). To validate our metabolic network, we calculated Betweenness centrality for all enzyme and metabolite nodes in the bipartite metabolic network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generated for this study (Table S3). In biological terms, this metric reflects the metabolites and functionalities that are most critical to the overall metabolism of the organism. Enzymes </w:t>
      </w:r>
      <w:r>
        <w:rPr>
          <w:rStyle w:val="None A"/>
          <w:rFonts w:ascii="Arial" w:hAnsi="Arial"/>
          <w:sz w:val="22"/>
          <w:szCs w:val="22"/>
          <w:rtl w:val="0"/>
          <w:lang w:val="en-US"/>
        </w:rPr>
        <w:t>with the largest degree of Betweenness included</w:t>
      </w:r>
      <w:r>
        <w:rPr>
          <w:rStyle w:val="None A"/>
          <w:rFonts w:ascii="Arial" w:hAnsi="Arial"/>
          <w:sz w:val="22"/>
          <w:szCs w:val="22"/>
          <w:rtl w:val="0"/>
          <w:lang w:val="en-US"/>
        </w:rPr>
        <w:t xml:space="preserve"> pyruvate kinase, 1-deoxy-D-xylulose-5-phosphate synthase, and transketolase. </w:t>
      </w:r>
      <w:r>
        <w:rPr>
          <w:rStyle w:val="None A"/>
          <w:rFonts w:ascii="Arial" w:hAnsi="Arial"/>
          <w:sz w:val="22"/>
          <w:szCs w:val="22"/>
          <w:rtl w:val="0"/>
          <w:lang w:val="en-US"/>
        </w:rPr>
        <w:t>M</w:t>
      </w:r>
      <w:r>
        <w:rPr>
          <w:rStyle w:val="None A"/>
          <w:rFonts w:ascii="Arial" w:hAnsi="Arial"/>
          <w:sz w:val="22"/>
          <w:szCs w:val="22"/>
          <w:rtl w:val="0"/>
          <w:lang w:val="en-US"/>
        </w:rPr>
        <w:t xml:space="preserve">etabolites </w:t>
      </w:r>
      <w:r>
        <w:rPr>
          <w:rStyle w:val="None A"/>
          <w:rFonts w:ascii="Arial" w:hAnsi="Arial"/>
          <w:sz w:val="22"/>
          <w:szCs w:val="22"/>
          <w:rtl w:val="0"/>
          <w:lang w:val="en-US"/>
        </w:rPr>
        <w:t>with the highest Betweenness</w:t>
      </w:r>
      <w:r>
        <w:rPr>
          <w:rStyle w:val="None A"/>
          <w:rFonts w:ascii="Arial" w:hAnsi="Arial"/>
          <w:sz w:val="22"/>
          <w:szCs w:val="22"/>
          <w:rtl w:val="0"/>
          <w:lang w:val="en-US"/>
        </w:rPr>
        <w:t xml:space="preserve"> pyruvate, acetyl-CoA, and D-glyceraldehyde 3-phosphate. The highly </w:t>
      </w:r>
      <w:r>
        <w:rPr>
          <w:rStyle w:val="None A"/>
          <w:rFonts w:ascii="Arial" w:hAnsi="Arial"/>
          <w:sz w:val="22"/>
          <w:szCs w:val="22"/>
          <w:rtl w:val="0"/>
          <w:lang w:val="en-US"/>
        </w:rPr>
        <w:t>connected nodes in both categories</w:t>
      </w:r>
      <w:r>
        <w:rPr>
          <w:rStyle w:val="None A"/>
          <w:rFonts w:ascii="Arial" w:hAnsi="Arial"/>
          <w:sz w:val="22"/>
          <w:szCs w:val="22"/>
          <w:rtl w:val="0"/>
          <w:lang w:val="en-US"/>
        </w:rPr>
        <w:t xml:space="preserve"> are known to be involved in numerous central pathways including glycolysis, the citric acid cycle, and amino acid biosynthesis, which are all critical to life for most free-living bacteria. This indicated to us that the topology of the network reflects established bacterial physiology.</w:t>
      </w:r>
    </w:p>
    <w:p>
      <w:pPr>
        <w:pStyle w:val="Default"/>
        <w:shd w:val="clear" w:color="auto" w:fill="ffffff"/>
        <w:spacing w:line="480" w:lineRule="auto"/>
        <w:ind w:firstLine="709"/>
        <w:jc w:val="both"/>
      </w:pPr>
      <w:r>
        <w:rPr>
          <w:rStyle w:val="None A"/>
          <w:rFonts w:ascii="Arial" w:hAnsi="Arial"/>
          <w:sz w:val="22"/>
          <w:szCs w:val="22"/>
          <w:shd w:val="clear" w:color="auto" w:fill="ffffff"/>
          <w:rtl w:val="0"/>
          <w:lang w:val="en-US"/>
        </w:rPr>
        <w:t xml:space="preserve">To move beyond a static representation of the </w:t>
      </w:r>
      <w:r>
        <w:rPr>
          <w:rStyle w:val="None A"/>
          <w:rFonts w:ascii="Arial" w:hAnsi="Arial"/>
          <w:i w:val="1"/>
          <w:iCs w:val="1"/>
          <w:sz w:val="22"/>
          <w:szCs w:val="22"/>
          <w:shd w:val="clear" w:color="auto" w:fill="ffffff"/>
          <w:rtl w:val="0"/>
          <w:lang w:val="en-US"/>
        </w:rPr>
        <w:t>C. difficile</w:t>
      </w:r>
      <w:r>
        <w:rPr>
          <w:rStyle w:val="None A"/>
          <w:rFonts w:ascii="Arial" w:hAnsi="Arial"/>
          <w:sz w:val="22"/>
          <w:szCs w:val="22"/>
          <w:shd w:val="clear" w:color="auto" w:fill="ffffff"/>
          <w:rtl w:val="0"/>
          <w:lang w:val="en-US"/>
        </w:rPr>
        <w:t xml:space="preserve"> metabolic network we mapped transcript data to the enzyme nodes. This mapping allowed us to quantify the importance of each metabolite. The importance of a metabolite was measured as the log-transformed difference between the average enzyme transcript levels that used the metabolite as a substrate or generate it as a product. A substrate with a high importance score is mostly likely obtained from the environment because the expression of genes for enzymes that produce the substrate are low. We ranked the importance scores to identify the most important metabolites for each treatment group (Table S5), however a more informative effort is to </w:t>
      </w:r>
      <w:r>
        <w:rPr>
          <w:rStyle w:val="None A"/>
          <w:rFonts w:ascii="Arial" w:hAnsi="Arial"/>
          <w:sz w:val="22"/>
          <w:szCs w:val="22"/>
          <w:rtl w:val="0"/>
          <w:lang w:val="en-US"/>
        </w:rPr>
        <w:t xml:space="preserve">identify the core metabolites that are essential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in any condition. To accomplish this goal, we compared the top 50 scoring metabolites from each treatment group to find those metabolites that were important across all conditions (Fig. 5b). The host derived amino sugar N-acetyl-D-glucosamine was found to be consistently important, indicating that it may be an integral component of the nutrient niche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under any condition. Other conserved metabolites included fructose derivatives, which are inputs and lactate, which is a product of the anaerobic glycolytic pathway. Additionally, acetate was found to be important in all conditions and it has been shown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produces acetate during fermentation and metabolizes it effectively to utilize in glycolysis (Karlsson, 2008). We directly tested the relative concentration of acetate in cefoperazone-treated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-infected mice versus mock-infected mice. We found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colonization led to a significant decrease in the levels of acetate (Fig. S7a) suggesting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utilizing acetate. These findings provided validation for our metabolite importance algorithm as well as supporting known elements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w:t>
      </w:r>
    </w:p>
    <w:p>
      <w:pPr>
        <w:pStyle w:val="Default"/>
        <w:shd w:val="clear" w:color="auto" w:fill="ffffff"/>
        <w:spacing w:line="480" w:lineRule="auto"/>
        <w:jc w:val="both"/>
      </w:pPr>
      <w:r>
        <w:rPr>
          <w:rStyle w:val="None A"/>
          <w:rFonts w:ascii="Arial" w:cs="Arial" w:hAnsi="Arial" w:eastAsia="Arial"/>
          <w:sz w:val="22"/>
          <w:szCs w:val="22"/>
          <w:rtl w:val="0"/>
        </w:rPr>
        <w:tab/>
        <w:t xml:space="preserve">Returning to our hypothesis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adapts its metabolism to fit the surrounding community, we identified those metabolites that were uniquely important to each condition in which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colonized. We cross-referenced the top 25 positively scoring substrates </w:t>
      </w:r>
      <w:r>
        <w:rPr>
          <w:rStyle w:val="None A"/>
          <w:rFonts w:ascii="Arial" w:hAnsi="Arial"/>
          <w:sz w:val="22"/>
          <w:szCs w:val="22"/>
          <w:rtl w:val="0"/>
          <w:lang w:val="en-US"/>
        </w:rPr>
        <w:t>between</w:t>
      </w:r>
      <w:r>
        <w:rPr>
          <w:rStyle w:val="None A"/>
          <w:rFonts w:ascii="Arial" w:hAnsi="Arial"/>
          <w:sz w:val="22"/>
          <w:szCs w:val="22"/>
          <w:rtl w:val="0"/>
          <w:lang w:val="en-US"/>
        </w:rPr>
        <w:t xml:space="preserve"> treatment group</w:t>
      </w:r>
      <w:r>
        <w:rPr>
          <w:rStyle w:val="None A"/>
          <w:rFonts w:ascii="Arial" w:hAnsi="Arial"/>
          <w:sz w:val="22"/>
          <w:szCs w:val="22"/>
          <w:rtl w:val="0"/>
          <w:lang w:val="en-US"/>
        </w:rPr>
        <w:t>s</w:t>
      </w:r>
      <w:r>
        <w:rPr>
          <w:rStyle w:val="None A"/>
          <w:rFonts w:ascii="Arial" w:hAnsi="Arial"/>
          <w:sz w:val="22"/>
          <w:szCs w:val="22"/>
          <w:rtl w:val="0"/>
          <w:lang w:val="en-US"/>
        </w:rPr>
        <w:t xml:space="preserve"> to uncover </w:t>
      </w:r>
      <w:r>
        <w:rPr>
          <w:rStyle w:val="None A"/>
          <w:rFonts w:ascii="Arial" w:hAnsi="Arial"/>
          <w:sz w:val="22"/>
          <w:szCs w:val="22"/>
          <w:rtl w:val="0"/>
          <w:lang w:val="en-US"/>
        </w:rPr>
        <w:t xml:space="preserve">the most important </w:t>
      </w:r>
      <w:r>
        <w:rPr>
          <w:rStyle w:val="None A"/>
          <w:rFonts w:ascii="Arial" w:hAnsi="Arial"/>
          <w:sz w:val="22"/>
          <w:szCs w:val="22"/>
          <w:rtl w:val="0"/>
          <w:lang w:val="en-US"/>
        </w:rPr>
        <w:t xml:space="preserve">patterns of nutrient utilization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t>
      </w:r>
      <w:r>
        <w:rPr>
          <w:rStyle w:val="None A"/>
          <w:rFonts w:ascii="Arial" w:hAnsi="Arial"/>
          <w:sz w:val="22"/>
          <w:szCs w:val="22"/>
          <w:rtl w:val="0"/>
          <w:lang w:val="en-US"/>
        </w:rPr>
        <w:t xml:space="preserve">in each </w:t>
      </w:r>
      <w:r>
        <w:rPr>
          <w:rStyle w:val="None A"/>
          <w:rFonts w:ascii="Arial" w:hAnsi="Arial"/>
          <w:sz w:val="22"/>
          <w:szCs w:val="22"/>
          <w:rtl w:val="0"/>
          <w:lang w:val="en-US"/>
        </w:rPr>
        <w:t xml:space="preserve">(Fig. 5c). All of these metabolites  were more important than scores for the metabolites where transcript abundances were randomly assigned (black vertical lines). Each group of metabolites contained at least one known carbohydrate growth substrate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This included D-fructose, mannitol, N-acetylneuraminic acid, salicin, and D-sorbitol (Ng, 2013; Theriot, 2014). These data support the hypothesis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may exploit alternative carbon sources between the susceptible environments it colonizes.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Important carbon sources according to metabolic networks support </w:t>
      </w:r>
      <w:r>
        <w:rPr>
          <w:rStyle w:val="None A"/>
          <w:rFonts w:ascii="Arial" w:hAnsi="Arial"/>
          <w:b w:val="1"/>
          <w:bCs w:val="1"/>
          <w:i w:val="1"/>
          <w:iCs w:val="1"/>
          <w:sz w:val="22"/>
          <w:szCs w:val="22"/>
          <w:rtl w:val="0"/>
          <w:lang w:val="en-US"/>
        </w:rPr>
        <w:t xml:space="preserve">C. difficile </w:t>
      </w:r>
      <w:r>
        <w:rPr>
          <w:rStyle w:val="None A"/>
          <w:rFonts w:ascii="Arial" w:hAnsi="Arial"/>
          <w:b w:val="1"/>
          <w:bCs w:val="1"/>
          <w:sz w:val="22"/>
          <w:szCs w:val="22"/>
          <w:rtl w:val="0"/>
          <w:lang w:val="en-US"/>
        </w:rPr>
        <w:t xml:space="preserve">growth </w:t>
      </w:r>
      <w:r>
        <w:rPr>
          <w:rStyle w:val="None A"/>
          <w:rFonts w:ascii="Arial" w:hAnsi="Arial"/>
          <w:b w:val="1"/>
          <w:bCs w:val="1"/>
          <w:i w:val="1"/>
          <w:iCs w:val="1"/>
          <w:sz w:val="22"/>
          <w:szCs w:val="22"/>
          <w:rtl w:val="0"/>
          <w:lang w:val="en-US"/>
        </w:rPr>
        <w:t>in vitro</w:t>
      </w:r>
      <w:r>
        <w:rPr>
          <w:rStyle w:val="None A"/>
          <w:rFonts w:ascii="Arial" w:hAnsi="Arial"/>
          <w:b w:val="1"/>
          <w:bCs w:val="1"/>
          <w:sz w:val="22"/>
          <w:szCs w:val="22"/>
          <w:rtl w:val="0"/>
          <w:lang w:val="en-US"/>
        </w:rPr>
        <w:t xml:space="preserve"> and reveal a hierarchy of nutrient preference</w:t>
      </w:r>
      <w:r>
        <w:rPr>
          <w:rStyle w:val="None A"/>
          <w:rFonts w:ascii="Arial" w:hAnsi="Arial"/>
          <w:b w:val="1"/>
          <w:bCs w:val="1"/>
          <w:sz w:val="22"/>
          <w:szCs w:val="22"/>
          <w:rtl w:val="0"/>
          <w:lang w:val="en-US"/>
        </w:rPr>
        <w:t>.</w:t>
      </w:r>
    </w:p>
    <w:p>
      <w:pPr>
        <w:pStyle w:val="Default"/>
        <w:shd w:val="clear" w:color="auto" w:fill="ffffff"/>
        <w:spacing w:line="480" w:lineRule="auto"/>
        <w:ind w:firstLine="709"/>
        <w:jc w:val="both"/>
        <w:rPr>
          <w:rStyle w:val="None A"/>
          <w:rFonts w:ascii="Arial" w:cs="Arial" w:hAnsi="Arial" w:eastAsia="Arial"/>
          <w:sz w:val="22"/>
          <w:szCs w:val="22"/>
        </w:rPr>
      </w:pPr>
      <w:r>
        <w:rPr>
          <w:rStyle w:val="None A"/>
          <w:rFonts w:ascii="Arial" w:hAnsi="Arial"/>
          <w:sz w:val="22"/>
          <w:szCs w:val="22"/>
          <w:rtl w:val="0"/>
          <w:lang w:val="en-US"/>
        </w:rPr>
        <w:t xml:space="preserve">To validate the biological relevance of substrates identified as uniquely important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 through our network-based analysis, we tested whether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was able to utilize each substrate for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growth. This was performed using the modified defined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minimal media, supplemented individually with the selected carbohydrates (Theriot, 2013) implicated by high importance scores. Because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can use amino acids for growth through Stickland fermentation, but is auxotrophic for several amino acids, the negative control is growth on media lacking glucose but containing amino acids. At least one carbohydrate highlighted as important in each of the antibiotic treatment groups provided high levels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relative to the negative control (corrected </w:t>
      </w:r>
      <w:r>
        <w:rPr>
          <w:rStyle w:val="None A"/>
          <w:rFonts w:ascii="Arial" w:hAnsi="Arial"/>
          <w:i w:val="1"/>
          <w:iCs w:val="1"/>
          <w:sz w:val="22"/>
          <w:szCs w:val="22"/>
          <w:rtl w:val="0"/>
          <w:lang w:val="en-US"/>
        </w:rPr>
        <w:t>p</w:t>
      </w:r>
      <w:r>
        <w:rPr>
          <w:rStyle w:val="None A"/>
          <w:rFonts w:ascii="Arial" w:hAnsi="Arial"/>
          <w:sz w:val="22"/>
          <w:szCs w:val="22"/>
          <w:rtl w:val="0"/>
          <w:lang w:val="en-US"/>
        </w:rPr>
        <w:t>-values &lt;&lt; 0.001) (Fig. 5d). This included D-fructose (streptomycin;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0.671), mannitol (cefoperazone;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0.464), salicin (clindamycin;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0.888), N-acetylneuraminate (germ free;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xml:space="preserve">= 0.556). Interestingly, the growth curve for D-sorbitol (Streptomycin) showed no difference over the negative controls. These results further support the importance scores and the hypothesis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able to adapt its physiology to carbohydrate availability.</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To further investigate if preference and not just availability plays a role in which carbon source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metabolizes at a given time, we also grew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in combinations of carbon sources from Fig. 5d. </w:t>
      </w:r>
      <w:r>
        <w:rPr>
          <w:rStyle w:val="None A"/>
          <w:rFonts w:ascii="Arial" w:hAnsi="Arial"/>
          <w:sz w:val="22"/>
          <w:szCs w:val="22"/>
          <w:rtl w:val="0"/>
          <w:lang w:val="en-US"/>
        </w:rPr>
        <w:t>(</w:t>
      </w:r>
      <w:r>
        <w:rPr>
          <w:rStyle w:val="None A"/>
          <w:rFonts w:ascii="Arial" w:hAnsi="Arial"/>
          <w:sz w:val="22"/>
          <w:szCs w:val="22"/>
          <w:rtl w:val="0"/>
          <w:lang w:val="en-US"/>
        </w:rPr>
        <w:t>Fig. 5</w:t>
      </w:r>
      <w:r>
        <w:rPr>
          <w:rStyle w:val="None A"/>
          <w:rFonts w:ascii="Arial" w:hAnsi="Arial"/>
          <w:sz w:val="22"/>
          <w:szCs w:val="22"/>
          <w:rtl w:val="0"/>
          <w:lang w:val="en-US"/>
        </w:rPr>
        <w:t>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hAnsi="Arial"/>
          <w:b w:val="1"/>
          <w:bCs w:val="1"/>
          <w:sz w:val="22"/>
          <w:szCs w:val="22"/>
          <w:rtl w:val="0"/>
          <w:lang w:val="en-US"/>
        </w:rPr>
        <w:t>Discussion</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Our results indicate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occupies separate nutrient niches across susceptible gut environments based on which substrates are available. Both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 xml:space="preserve">in vitro </w:t>
      </w:r>
      <w:r>
        <w:rPr>
          <w:rStyle w:val="None A"/>
          <w:rFonts w:ascii="Arial" w:hAnsi="Arial"/>
          <w:sz w:val="22"/>
          <w:szCs w:val="22"/>
          <w:rtl w:val="0"/>
          <w:lang w:val="en-US"/>
        </w:rPr>
        <w:t xml:space="preserve">data support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shifts its metabolic focus to alternative sources of carbon across susceptible gut environments. This phenotype could be due to a variety of elements including increased concentration of a given set of nutrients, or competition with other microorganisms for those substrates. Sporulation and toxin production have been linked to environmental concentrations of growth substrates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(Antunes, 2012). In these experiments, the level of both phenotypes varied between antibiotic pretreatment groups and initially suggested differences in metabolic cues received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each of condition. By directly examining the transcription of specific metabolic pathways, we were able to gain a greater understanding of the plasticity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possesses for nutrient utilization.</w:t>
      </w:r>
    </w:p>
    <w:p>
      <w:pPr>
        <w:pStyle w:val="Default"/>
        <w:shd w:val="clear" w:color="auto" w:fill="ffffff"/>
        <w:spacing w:line="480" w:lineRule="auto"/>
        <w:jc w:val="both"/>
      </w:pPr>
      <w:r>
        <w:rPr>
          <w:rStyle w:val="None A"/>
          <w:rFonts w:ascii="Arial" w:cs="Arial" w:hAnsi="Arial" w:eastAsia="Arial"/>
          <w:sz w:val="22"/>
          <w:szCs w:val="22"/>
          <w:rtl w:val="0"/>
        </w:rPr>
        <w:tab/>
        <w:t xml:space="preserve">Initial transcriptional analysis revealed that there was a large amount of variability in the expression of sporulation genes between pretreatments. Aside from the regulating sigma factor </w:t>
      </w:r>
      <w:r>
        <w:rPr>
          <w:rStyle w:val="None A"/>
          <w:rFonts w:ascii="Arial" w:hAnsi="Arial"/>
          <w:i w:val="1"/>
          <w:iCs w:val="1"/>
          <w:sz w:val="22"/>
          <w:szCs w:val="22"/>
          <w:rtl w:val="0"/>
          <w:lang w:val="en-US"/>
        </w:rPr>
        <w:t>spo0A</w:t>
      </w:r>
      <w:r>
        <w:rPr>
          <w:rStyle w:val="None A"/>
          <w:rFonts w:ascii="Arial" w:hAnsi="Arial"/>
          <w:sz w:val="22"/>
          <w:szCs w:val="22"/>
          <w:rtl w:val="0"/>
          <w:lang w:val="en-US"/>
        </w:rPr>
        <w:t xml:space="preserve">, which was consistently highly expressed, </w:t>
      </w:r>
      <w:r>
        <w:rPr>
          <w:rStyle w:val="None A"/>
          <w:rFonts w:ascii="Arial" w:hAnsi="Arial"/>
          <w:i w:val="1"/>
          <w:iCs w:val="1"/>
          <w:sz w:val="22"/>
          <w:szCs w:val="22"/>
          <w:rtl w:val="0"/>
          <w:lang w:val="en-US"/>
        </w:rPr>
        <w:t>spo</w:t>
      </w:r>
      <w:r>
        <w:rPr>
          <w:rStyle w:val="None A"/>
          <w:rFonts w:ascii="Arial" w:hAnsi="Arial"/>
          <w:sz w:val="22"/>
          <w:szCs w:val="22"/>
          <w:rtl w:val="0"/>
          <w:lang w:val="en-US"/>
        </w:rPr>
        <w:t xml:space="preserve"> family genes were only expressed highly in cefoperazone treated mice. These genes are integral to Stage V sporulation and contribute to the assembly of the spore coat (Pettit, 2014) whose expression illustrates that this population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has begun its final phase before transmission either other antibiotic group. In addition to lifestyle associated genes,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also demonstrated clear trends of expression for genes associated with separate aspects of its carbon metabolism between pretreatment groups. In both cefoperazone and streptomycin pretreatments,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displayed increased relative abundance in gene expression associated with catabolizing monosaccharides and simple sugar alcohols.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expression in the clindamycin treated animals seemed to favor fermentation of polysaccharides. These differences could signify a focus in nutrient catabolism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some treatments and virulence/transmission in others. It has also been previously shown that this bacterium is capable of cleaving host associated glycans and liberating short amino sugars, which is a functionality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lacks (Sebaihia, 2006).</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hAnsi="Arial"/>
          <w:sz w:val="22"/>
          <w:szCs w:val="22"/>
          <w:rtl w:val="0"/>
          <w:lang w:val="en-US"/>
        </w:rPr>
        <w:t xml:space="preserve">This relationship has long been known to exist at least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with another strain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(Hundsberger, 1997). This could have possible implications in the relative importance of toxin A for causing virulence, or temporal differences that toxin B may be more important later during infection.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i w:val="1"/>
          <w:iCs w:val="1"/>
          <w:sz w:val="22"/>
          <w:szCs w:val="22"/>
          <w:rtl w:val="0"/>
          <w:lang w:val="en-US"/>
        </w:rPr>
        <w:t>Makes sense with alyx</w:t>
      </w:r>
      <w:r>
        <w:rPr>
          <w:rStyle w:val="None A"/>
          <w:rFonts w:ascii="Arial" w:hAnsi="Arial" w:hint="default"/>
          <w:i w:val="1"/>
          <w:iCs w:val="1"/>
          <w:sz w:val="22"/>
          <w:szCs w:val="22"/>
          <w:rtl w:val="0"/>
          <w:lang w:val="en-US"/>
        </w:rPr>
        <w:t>’</w:t>
      </w:r>
      <w:r>
        <w:rPr>
          <w:rStyle w:val="None A"/>
          <w:rFonts w:ascii="Arial" w:hAnsi="Arial"/>
          <w:i w:val="1"/>
          <w:iCs w:val="1"/>
          <w:sz w:val="22"/>
          <w:szCs w:val="22"/>
          <w:rtl w:val="0"/>
          <w:lang w:val="en-US"/>
        </w:rPr>
        <w:t xml:space="preserve">s clearance data </w:t>
      </w:r>
      <w:r>
        <w:rPr>
          <w:rStyle w:val="None A"/>
          <w:rFonts w:ascii="Arial" w:hAnsi="Arial" w:hint="default"/>
          <w:i w:val="1"/>
          <w:iCs w:val="1"/>
          <w:sz w:val="22"/>
          <w:szCs w:val="22"/>
          <w:rtl w:val="0"/>
          <w:lang w:val="en-US"/>
        </w:rPr>
        <w:t xml:space="preserve">– </w:t>
      </w:r>
      <w:r>
        <w:rPr>
          <w:rStyle w:val="None A"/>
          <w:rFonts w:ascii="Arial" w:hAnsi="Arial"/>
          <w:i w:val="1"/>
          <w:iCs w:val="1"/>
          <w:sz w:val="22"/>
          <w:szCs w:val="22"/>
          <w:rtl w:val="0"/>
          <w:lang w:val="en-US"/>
        </w:rPr>
        <w:t>clinda sporulation gene expression</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Metabolic modeling results from both cefoperazone and streptomycin-treated mice indicated carbohydrates, known to be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nutrients,</w:t>
      </w:r>
      <w:r>
        <w:rPr>
          <w:rtl w:val="0"/>
          <w:lang w:val="en-US"/>
        </w:rPr>
        <w:t xml:space="preserve"> </w:t>
      </w:r>
      <w:r>
        <w:rPr>
          <w:rStyle w:val="None A"/>
          <w:rFonts w:ascii="Arial" w:hAnsi="Arial"/>
          <w:sz w:val="22"/>
          <w:szCs w:val="22"/>
          <w:rtl w:val="0"/>
          <w:lang w:val="en-US"/>
        </w:rPr>
        <w:t xml:space="preserve">are preferred in these conditions and are also enriched </w:t>
      </w:r>
      <w:r>
        <w:rPr>
          <w:rStyle w:val="None A"/>
          <w:rFonts w:ascii="Arial" w:hAnsi="Arial"/>
          <w:i w:val="1"/>
          <w:iCs w:val="1"/>
          <w:sz w:val="22"/>
          <w:szCs w:val="22"/>
          <w:rtl w:val="0"/>
          <w:lang w:val="en-US"/>
        </w:rPr>
        <w:t>in vivo</w:t>
      </w:r>
      <w:r>
        <w:rPr>
          <w:rStyle w:val="None A"/>
          <w:rFonts w:ascii="Arial" w:hAnsi="Arial"/>
          <w:sz w:val="22"/>
          <w:szCs w:val="22"/>
          <w:rtl w:val="0"/>
          <w:lang w:val="en-US"/>
        </w:rPr>
        <w:t>. These carbon sources are both commonly provided by the host</w:t>
      </w:r>
      <w:r>
        <w:rPr>
          <w:rStyle w:val="None A"/>
          <w:rFonts w:ascii="Arial" w:hAnsi="Arial" w:hint="default"/>
          <w:sz w:val="22"/>
          <w:szCs w:val="22"/>
          <w:rtl w:val="0"/>
          <w:lang w:val="en-US"/>
        </w:rPr>
        <w:t>’</w:t>
      </w:r>
      <w:r>
        <w:rPr>
          <w:rStyle w:val="None A"/>
          <w:rFonts w:ascii="Arial" w:hAnsi="Arial"/>
          <w:sz w:val="22"/>
          <w:szCs w:val="22"/>
          <w:rtl w:val="0"/>
          <w:lang w:val="en-US"/>
        </w:rPr>
        <w:t xml:space="preserve">s diet, but are easily metabolized by a number of resident bacterial species and are therefore highly competed for by the healthy gut microbiota.  In the antibiotic-treated state, the normal competitors for these nutrients may be missing and allows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 get the substrates it needs to grow. Interestingly, findings from clindamycin-treated animals using the same approach suggest that salicin, and breakdown analog 4-hydroxybutanoic acid, are also likely to be used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Prior research has shown that salicin is readily fermented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(Nakamura, 1982). Both are members of the nonsteroidal anti-inflammatory drug (or NSAID) class of molecules. Although the exact source is unknown salicin availability in the gut could be derived from the mice</w:t>
      </w:r>
      <w:r>
        <w:rPr>
          <w:rStyle w:val="None A"/>
          <w:rFonts w:ascii="Arial" w:hAnsi="Arial" w:hint="default"/>
          <w:sz w:val="22"/>
          <w:szCs w:val="22"/>
          <w:rtl w:val="0"/>
          <w:lang w:val="en-US"/>
        </w:rPr>
        <w:t>’</w:t>
      </w:r>
      <w:r>
        <w:rPr>
          <w:rStyle w:val="None A"/>
          <w:rFonts w:ascii="Arial" w:hAnsi="Arial"/>
          <w:sz w:val="22"/>
          <w:szCs w:val="22"/>
          <w:rtl w:val="0"/>
          <w:lang w:val="en-US"/>
        </w:rPr>
        <w:t xml:space="preserve">s plant-based diet, possibly following release during degradation of cell wall molecules by other gut bacterial species (Pierpoint, 1994). What makes this result the most interesting is that molecules in the same class have been shown to actually </w:t>
      </w:r>
      <w:r>
        <w:rPr>
          <w:rStyle w:val="None A"/>
          <w:rFonts w:ascii="Arial" w:hAnsi="Arial"/>
          <w:i w:val="1"/>
          <w:iCs w:val="1"/>
          <w:sz w:val="22"/>
          <w:szCs w:val="22"/>
          <w:rtl w:val="0"/>
          <w:lang w:val="en-US"/>
        </w:rPr>
        <w:t>increase</w:t>
      </w:r>
      <w:r>
        <w:rPr>
          <w:rStyle w:val="None A"/>
          <w:rFonts w:ascii="Arial" w:hAnsi="Arial"/>
          <w:sz w:val="22"/>
          <w:szCs w:val="22"/>
          <w:rtl w:val="0"/>
          <w:lang w:val="en-US"/>
        </w:rPr>
        <w:t xml:space="preserve"> severity of CDI symptoms in mice (Trindade, 2016). Network analysis also supports that</w:t>
      </w:r>
      <w:r>
        <w:rPr>
          <w:rtl w:val="0"/>
          <w:lang w:val="en-US"/>
        </w:rPr>
        <w:t xml:space="preserve"> </w:t>
      </w:r>
      <w:r>
        <w:rPr>
          <w:rStyle w:val="None A"/>
          <w:rFonts w:ascii="Arial" w:hAnsi="Arial"/>
          <w:sz w:val="22"/>
          <w:szCs w:val="22"/>
          <w:rtl w:val="0"/>
          <w:lang w:val="en-US"/>
        </w:rPr>
        <w:t xml:space="preserve">in germ free mice,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utilizes N-acetylneuraminic acid as an important carbon source. The capacity to catabolize this amino sugar, and others like it, is highly distributed among bacterial species that inhabit the mammalian gut (Vimr, 2004). This means that N-acetylneuraminic acid is strongly competed for by the healthy microbiota. Since the largest increase in availability of the molecule is seen when there are no other microbes present, this could demonstrate a preference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for N-acetylneuraminic acid as a growth substrate above most others. From these data it seems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alters it</w:t>
      </w:r>
      <w:r>
        <w:rPr>
          <w:rStyle w:val="None A"/>
          <w:rFonts w:ascii="Arial" w:hAnsi="Arial" w:hint="default"/>
          <w:sz w:val="22"/>
          <w:szCs w:val="22"/>
          <w:rtl w:val="0"/>
          <w:lang w:val="en-US"/>
        </w:rPr>
        <w:t>’</w:t>
      </w:r>
      <w:r>
        <w:rPr>
          <w:rStyle w:val="None A"/>
          <w:rFonts w:ascii="Arial" w:hAnsi="Arial"/>
          <w:sz w:val="22"/>
          <w:szCs w:val="22"/>
          <w:rtl w:val="0"/>
          <w:lang w:val="en-US"/>
        </w:rPr>
        <w:t>s nutrient preference to fit what is most easily obtained.</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 xml:space="preserve">Other conserved features include several central fructose derivatives as well as a likely byproduct, lactate, from the anaerobic glycolytic pathway. This is not surprising as this is known to be a key component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 and is likely active to some capacity across all conditions. The lactate produced in this manner is also possibly further fermented to short-chain fatty acids, primarily butyrate (Janoir, 2013).</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 xml:space="preserve">Many of the top scoring compounds appear to be associated with both fermentation and glycolysis, suggesting that these forms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 are always active to some degree across conditions and are central to the organism</w:t>
      </w:r>
      <w:r>
        <w:rPr>
          <w:rStyle w:val="None A"/>
          <w:rFonts w:ascii="Arial" w:hAnsi="Arial" w:hint="default"/>
          <w:sz w:val="22"/>
          <w:szCs w:val="22"/>
          <w:rtl w:val="0"/>
          <w:lang w:val="en-US"/>
        </w:rPr>
        <w:t>’</w:t>
      </w:r>
      <w:r>
        <w:rPr>
          <w:rStyle w:val="None A"/>
          <w:rFonts w:ascii="Arial" w:hAnsi="Arial"/>
          <w:sz w:val="22"/>
          <w:szCs w:val="22"/>
          <w:rtl w:val="0"/>
          <w:lang w:val="en-US"/>
        </w:rPr>
        <w:t>s nutritional strategy.</w:t>
      </w:r>
    </w:p>
    <w:p>
      <w:pPr>
        <w:pStyle w:val="Default"/>
        <w:shd w:val="clear" w:color="auto" w:fill="ffffff"/>
        <w:spacing w:line="480" w:lineRule="auto"/>
        <w:jc w:val="both"/>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Several previous gas &amp; liquid chromatography-mass spectrometry studies of intestinal content obtained from mice have been done using either conventionally-raised then pretreated separately with the antibiotics used in this study or raised in germ free conditions.  These studies reveal that many of the substrates predicted to be used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a given condition through metabolic modeling (Fig. 4C), are increased in each respective group.  For example, cefoperazone treatment resulted in a 553-fold increase in mannitol concentration in the cecum of mice prior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colonization (Theriot, 2013). It was also shown that fructose is significantly increased in streptomycin-treated mice and would be available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(Antunes, 2011). Although salicin was not directly assayed for in clindamycin-treated mice, there was a significant increase in 2-hydroxybutryate (a byproduct of salicin</w:t>
      </w:r>
      <w:r>
        <w:rPr>
          <w:rtl w:val="0"/>
          <w:lang w:val="en-US"/>
        </w:rPr>
        <w:t xml:space="preserve"> </w:t>
      </w:r>
      <w:r>
        <w:rPr>
          <w:rStyle w:val="None A"/>
          <w:rFonts w:ascii="Arial" w:hAnsi="Arial"/>
          <w:sz w:val="22"/>
          <w:szCs w:val="22"/>
          <w:rtl w:val="0"/>
          <w:lang w:val="en-US"/>
        </w:rPr>
        <w:t xml:space="preserve">metabolism) 24 hours following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infection and indicated that salicin is likely being utilized in this condition (Jump, 2014). Finally, it was demonstrated that N-acetylneuraminic acid is significantly increased in the colons of germ free versus those ex-germ free mice recolonized with microbiota from colon content of conventionally-raised mice (Matsumoto, 2012).  Together, these results provide evidence that our network approach accurately predicts which substrates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chooses to metabolize when colonizing different environments.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In light of the results presented here, our method strongly supports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metabolizes alternative carbon sources across susceptible gut environments for growth. Together, they demonstrate that the novel metabolic modeling approach presented here highlights which substrates an organism is likely using at the time of transcriptomic sequencing. Ultimately, these genome-scale metabolic models provide a framework to predict phenotype changes of an organism across environments. Our results may also indicate that further considerations are needed when attempting to design more targeted probiotics for the prevention or elimination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from the human gut. Different classes of antibiotics may each result in a unique gut environment which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can exploit. Therefore, the best approach may be to consider each of these as a separate problem which different collections of bacteria can restore to a resistant state. Supporting this hypothesis is that the current, most effective microbiome-focused treatment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infection is fecal microbiota transplant. By even transiently implanting the entire metabolic functionality of a resistant gut community, one could imagine a rapid out-competition for resources by a healthy community of specialists and leading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clearance. This could be supported by combining the metabolic modeling technique described here using metatranscriptomic analysis of susceptible versus resistance gut bacterial communities.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In conclusion, our findings indicate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able to cope with unique nutrient availabilities across vulnerable gut environments which it colonizes. These data support that separate classes of antibiotics cause susceptibility to CDI through slightly different means by opening unique nutrient niches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Context-dependent limitation of certain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nutrients by specific members of the gut microbiota may be the key to colonization resistance. In the future, further considerations may be needed to discover targeted probiotics that prevent colonization or eliminate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from the human gut. By understanding vacant nutrient niches in CDI susceptible individuals, preventative microbiome-focused therapies could be personalized to each patient. </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Both systems are known carbohydrate importers, however activation of some PTS transporters in response to environmental concentrations of certain carbohydrates has been shown to negatively regulate the expression and function of many ABC transporters in some bacterial species (Deutscher, 2006).</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 xml:space="preserve">The known Stickland fermentation pathway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couples the oxidation and reduction of proline an glycine to generate ATP (Neumann-Schaal, 2015). Transcription of specifically the </w:t>
      </w:r>
      <w:r>
        <w:rPr>
          <w:rStyle w:val="None A"/>
          <w:rFonts w:ascii="Arial" w:hAnsi="Arial"/>
          <w:i w:val="1"/>
          <w:iCs w:val="1"/>
          <w:sz w:val="22"/>
          <w:szCs w:val="22"/>
          <w:rtl w:val="0"/>
          <w:lang w:val="en-US"/>
        </w:rPr>
        <w:t>grd</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prd</w:t>
      </w:r>
      <w:r>
        <w:rPr>
          <w:rStyle w:val="None A"/>
          <w:rFonts w:ascii="Arial" w:hAnsi="Arial"/>
          <w:sz w:val="22"/>
          <w:szCs w:val="22"/>
          <w:rtl w:val="0"/>
          <w:lang w:val="en-US"/>
        </w:rPr>
        <w:t xml:space="preserve"> operons indicates that both proline and glycine are present and the associated metabolic pathways have most likely been activated (Bouillaut, 2013).</w:t>
      </w:r>
    </w:p>
    <w:p>
      <w:pPr>
        <w:pStyle w:val="Default"/>
        <w:shd w:val="clear" w:color="auto" w:fill="ffffff"/>
        <w:spacing w:line="480" w:lineRule="auto"/>
        <w:jc w:val="both"/>
        <w:rPr>
          <w:rFonts w:ascii="Arial Unicode MS" w:cs="Arial Unicode MS" w:hAnsi="Arial Unicode MS" w:eastAsia="Arial Unicode MS"/>
          <w:sz w:val="22"/>
          <w:szCs w:val="22"/>
        </w:rPr>
      </w:pPr>
    </w:p>
    <w:p>
      <w:pPr>
        <w:pStyle w:val="Default"/>
        <w:shd w:val="clear" w:color="auto" w:fill="ffffff"/>
        <w:spacing w:line="480" w:lineRule="auto"/>
        <w:jc w:val="both"/>
      </w:pPr>
      <w:r>
        <w:rPr>
          <w:rStyle w:val="None A"/>
          <w:rFonts w:ascii="Arial Unicode MS" w:hAnsi="Arial Unicode MS"/>
          <w:sz w:val="22"/>
          <w:szCs w:val="22"/>
          <w:rtl w:val="0"/>
          <w:lang w:val="en-US"/>
        </w:rPr>
        <w:t>Discrepancies with spore CFU and sporulation transcripts may relflect the fact that you only get transcripts from vegetative cells and that distinct subpopulations could be undergoing sporulation at different rates.  This doesnt discount the metabolic modeling methods because those substrates are being being used at a population level and arent subject to the effect of differences in lifecycle stages across the entire population.</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Unicode MS" w:cs="Arial Unicode MS" w:hAnsi="Arial Unicode MS" w:eastAsia="Arial Unicode MS"/>
          <w:sz w:val="22"/>
          <w:szCs w:val="22"/>
        </w:rPr>
        <w:br w:type="textWrapping"/>
      </w:r>
      <w:r>
        <w:rPr>
          <w:rStyle w:val="None A"/>
          <w:rFonts w:ascii="Arial" w:hAnsi="Arial"/>
          <w:sz w:val="22"/>
          <w:szCs w:val="22"/>
          <w:rtl w:val="0"/>
          <w:lang w:val="en-US"/>
        </w:rPr>
        <w:t>p-cresol being produced to negatively impact surrounding community</w:t>
      </w:r>
    </w:p>
    <w:p>
      <w:pPr>
        <w:pStyle w:val="Default"/>
        <w:shd w:val="clear" w:color="auto" w:fill="ffffff"/>
        <w:spacing w:line="480" w:lineRule="auto"/>
        <w:jc w:val="both"/>
      </w:pPr>
      <w:r>
        <w:rPr>
          <w:rtl w:val="0"/>
          <w:lang w:val="en-US"/>
        </w:rPr>
        <w:t>Selmer, T., &amp; Andrei, P. I. (2001). p-hydroxyphenylacetate decarboxylase from Clostridium difficile: A novel glycyl radical enzyme catalysing the formation of p-cresol. European Journal of Biochemistry, 268(5), 1363</w:t>
      </w:r>
      <w:r>
        <w:rPr>
          <w:rtl w:val="0"/>
          <w:lang w:val="en-US"/>
        </w:rPr>
        <w:t>–</w:t>
      </w:r>
      <w:r>
        <w:rPr>
          <w:rtl w:val="0"/>
          <w:lang w:val="en-US"/>
        </w:rPr>
        <w:t xml:space="preserve">1372. </w:t>
      </w:r>
      <w:r>
        <w:rPr>
          <w:rStyle w:val="Hyperlink.0"/>
        </w:rPr>
        <w:fldChar w:fldCharType="begin" w:fldLock="0"/>
      </w:r>
      <w:r>
        <w:rPr>
          <w:rStyle w:val="Hyperlink.0"/>
        </w:rPr>
        <w:instrText xml:space="preserve"> HYPERLINK "http://doi.org/10.1046/j.1432-1327.2001.02001.x"</w:instrText>
      </w:r>
      <w:r>
        <w:rPr>
          <w:rStyle w:val="Hyperlink.0"/>
        </w:rPr>
        <w:fldChar w:fldCharType="separate" w:fldLock="0"/>
      </w:r>
      <w:r>
        <w:rPr>
          <w:rStyle w:val="Hyperlink.0"/>
          <w:rtl w:val="0"/>
          <w:lang w:val="en-US"/>
        </w:rPr>
        <w:t>http://doi.org/10.1046/j.1432-1327.2001.02001.x</w:t>
      </w:r>
      <w:r>
        <w:rPr/>
        <w:fldChar w:fldCharType="end" w:fldLock="0"/>
      </w:r>
    </w:p>
    <w:p>
      <w:pPr>
        <w:pStyle w:val="Default"/>
        <w:shd w:val="clear" w:color="auto" w:fill="ffffff"/>
        <w:spacing w:line="480" w:lineRule="auto"/>
        <w:jc w:val="both"/>
      </w:pPr>
    </w:p>
    <w:p>
      <w:pPr>
        <w:pStyle w:val="Default"/>
        <w:shd w:val="clear" w:color="auto" w:fill="ffffff"/>
        <w:spacing w:line="480" w:lineRule="auto"/>
      </w:pPr>
      <w:r>
        <w:rPr>
          <w:rStyle w:val="None A"/>
          <w:rFonts w:ascii="Arial" w:hAnsi="Arial"/>
          <w:sz w:val="22"/>
          <w:szCs w:val="22"/>
          <w:rtl w:val="0"/>
          <w:lang w:val="en-US"/>
        </w:rPr>
        <w:t>cdf:CD630_01550</w:t>
        <w:tab/>
        <w:t>4-hydroxyphenylacetate decarboxylase, activating subunit HpdA</w:t>
      </w:r>
    </w:p>
    <w:p>
      <w:pPr>
        <w:pStyle w:val="Default"/>
        <w:shd w:val="clear" w:color="auto" w:fill="ffffff"/>
        <w:spacing w:line="480" w:lineRule="auto"/>
        <w:jc w:val="both"/>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Given that many of the differences in expression dynamics seen may also be due to variations in bacterial quorum sensing, we went on to measure transcription of known quorum sensing genes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(Fig. 3D). These systems have been linked to the lifestyle switch from growth/division to virulence/transmission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(Darkoh, 2015; Carter, 2005). Transcripts for </w:t>
      </w:r>
      <w:r>
        <w:rPr>
          <w:rStyle w:val="None A"/>
          <w:rFonts w:ascii="Arial" w:hAnsi="Arial"/>
          <w:i w:val="1"/>
          <w:iCs w:val="1"/>
          <w:sz w:val="22"/>
          <w:szCs w:val="22"/>
          <w:rtl w:val="0"/>
          <w:lang w:val="en-US"/>
        </w:rPr>
        <w:t>agrB</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agrD</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luxS</w:t>
      </w:r>
      <w:r>
        <w:rPr>
          <w:rStyle w:val="None A"/>
          <w:rFonts w:ascii="Arial" w:hAnsi="Arial"/>
          <w:sz w:val="22"/>
          <w:szCs w:val="22"/>
          <w:rtl w:val="0"/>
          <w:lang w:val="en-US"/>
        </w:rPr>
        <w:t xml:space="preserve"> were found at nearly equivalent levels across all antibiotic pretreatments. This illustrated that the observed changes in phenotype and expression may not be directly due to changes in the levels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quorum sensing occurring.</w:t>
      </w:r>
    </w:p>
    <w:p>
      <w:pPr>
        <w:pStyle w:val="Default"/>
        <w:shd w:val="clear" w:color="auto" w:fill="ffffff"/>
        <w:spacing w:line="480" w:lineRule="auto"/>
        <w:jc w:val="both"/>
      </w:pPr>
    </w:p>
    <w:p>
      <w:pPr>
        <w:pStyle w:val="Default"/>
        <w:shd w:val="clear" w:color="auto" w:fill="ffffff"/>
        <w:spacing w:line="480" w:lineRule="auto"/>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Materials and Methods</w:t>
      </w:r>
    </w:p>
    <w:p>
      <w:pPr>
        <w:pStyle w:val="Default"/>
        <w:shd w:val="clear" w:color="auto" w:fill="ffffff"/>
        <w:spacing w:line="480" w:lineRule="auto"/>
        <w:jc w:val="both"/>
      </w:pPr>
      <w:r>
        <w:rPr>
          <w:rStyle w:val="None A"/>
          <w:rFonts w:ascii="Arial" w:hAnsi="Arial"/>
          <w:b w:val="1"/>
          <w:bCs w:val="1"/>
          <w:sz w:val="22"/>
          <w:szCs w:val="22"/>
          <w:rtl w:val="0"/>
          <w:lang w:val="en-US"/>
        </w:rPr>
        <w:t xml:space="preserve">Animal care and antibiotic administration. </w:t>
      </w:r>
      <w:r>
        <w:rPr>
          <w:rStyle w:val="None A"/>
          <w:rFonts w:ascii="Arial" w:hAnsi="Arial"/>
          <w:sz w:val="22"/>
          <w:szCs w:val="22"/>
          <w:rtl w:val="0"/>
          <w:lang w:val="en-US"/>
        </w:rPr>
        <w:t>Six-to-eight week-old specific pathogen free (SPF) C57BL/6 mice were obtained from a single breeding colony maintained at the University of Michigan for all experiments. Six-to-eight week-old germfree C57BL/6 mice were obtained from a single breeding colony maintained at the University of Michigan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the drinking water for 5 days with 2 days recovery with untreated drinking water prior to infection. Clindamycin (10 mg/kg) was given via intraperitoneal injection 24 hours before time of infection.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i w:val="1"/>
          <w:iCs w:val="1"/>
          <w:sz w:val="22"/>
          <w:szCs w:val="22"/>
          <w:rtl w:val="0"/>
          <w:lang w:val="en-US"/>
        </w:rPr>
        <w:t xml:space="preserve">C. difficile </w:t>
      </w:r>
      <w:r>
        <w:rPr>
          <w:rStyle w:val="None A"/>
          <w:rFonts w:ascii="Arial" w:hAnsi="Arial"/>
          <w:b w:val="1"/>
          <w:bCs w:val="1"/>
          <w:sz w:val="22"/>
          <w:szCs w:val="22"/>
          <w:rtl w:val="0"/>
          <w:lang w:val="en-US"/>
        </w:rPr>
        <w:t xml:space="preserve">infection and necropsy.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strain 630 spores were prepared from a single large batch whose concentration was determined a week prior to challenge for all experiments. On the day of challenge, 1</w:t>
      </w:r>
      <w:r>
        <w:rPr>
          <w:rStyle w:val="None A"/>
          <w:rFonts w:ascii="Arial" w:hAnsi="Arial" w:hint="default"/>
          <w:sz w:val="22"/>
          <w:szCs w:val="22"/>
          <w:rtl w:val="0"/>
          <w:lang w:val="en-US"/>
        </w:rPr>
        <w:t>×</w:t>
      </w:r>
      <w:r>
        <w:rPr>
          <w:rStyle w:val="None A"/>
          <w:rFonts w:ascii="Arial" w:hAnsi="Arial"/>
          <w:sz w:val="22"/>
          <w:szCs w:val="22"/>
          <w:rtl w:val="0"/>
          <w:lang w:val="en-US"/>
        </w:rPr>
        <w:t>10</w:t>
      </w:r>
      <w:r>
        <w:rPr>
          <w:rStyle w:val="None A"/>
          <w:rFonts w:ascii="Arial" w:hAnsi="Arial"/>
          <w:sz w:val="22"/>
          <w:szCs w:val="22"/>
          <w:vertAlign w:val="superscript"/>
          <w:rtl w:val="0"/>
          <w:lang w:val="en-US"/>
        </w:rPr>
        <w:t>3</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spores were administered to mice via oral gavage in </w:t>
      </w:r>
      <w:r>
        <w:rPr>
          <w:rStyle w:val="None A"/>
          <w:rFonts w:ascii="Arial" w:hAnsi="Arial" w:hint="default"/>
          <w:sz w:val="22"/>
          <w:szCs w:val="22"/>
          <w:rtl w:val="0"/>
          <w:lang w:val="en-US"/>
        </w:rPr>
        <w:t>×</w:t>
      </w:r>
      <w:r>
        <w:rPr>
          <w:rStyle w:val="None A"/>
          <w:rFonts w:ascii="Arial" w:hAnsi="Arial"/>
          <w:sz w:val="22"/>
          <w:szCs w:val="22"/>
          <w:rtl w:val="0"/>
          <w:lang w:val="en-US"/>
        </w:rPr>
        <w:t xml:space="preserve">1 phosphate-buffered saline (PBS) vehicle. Subsequent quantitative plating for CFU was performed to ensure correct dosage. Infection negative control animals were given an oral garage of 100 </w:t>
      </w:r>
      <w:r>
        <w:rPr>
          <w:rStyle w:val="None A"/>
          <w:rFonts w:ascii="Arial" w:hAnsi="Arial" w:hint="default"/>
          <w:sz w:val="22"/>
          <w:szCs w:val="22"/>
          <w:rtl w:val="0"/>
          <w:lang w:val="en-US"/>
        </w:rPr>
        <w:t>μ</w:t>
      </w:r>
      <w:r>
        <w:rPr>
          <w:rStyle w:val="None A"/>
          <w:rFonts w:ascii="Arial" w:hAnsi="Arial"/>
          <w:sz w:val="22"/>
          <w:szCs w:val="22"/>
          <w:rtl w:val="0"/>
          <w:lang w:val="en-US"/>
        </w:rPr>
        <w:t xml:space="preserve">l </w:t>
      </w:r>
      <w:r>
        <w:rPr>
          <w:rStyle w:val="None A"/>
          <w:rFonts w:ascii="Arial" w:hAnsi="Arial" w:hint="default"/>
          <w:sz w:val="22"/>
          <w:szCs w:val="22"/>
          <w:rtl w:val="0"/>
          <w:lang w:val="en-US"/>
        </w:rPr>
        <w:t>×</w:t>
      </w:r>
      <w:r>
        <w:rPr>
          <w:rStyle w:val="None A"/>
          <w:rFonts w:ascii="Arial" w:hAnsi="Arial"/>
          <w:sz w:val="22"/>
          <w:szCs w:val="22"/>
          <w:rtl w:val="0"/>
          <w:lang w:val="en-US"/>
        </w:rPr>
        <w:t xml:space="preserve">1 PBS at the same time as those mice administered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spores. 18 hours following infection, mice were euthanized by carbon dioxide asphyxiation. Necropsy was then performed and cecal content was split into three small aliquots (~100 </w:t>
      </w:r>
      <w:r>
        <w:rPr>
          <w:rStyle w:val="None A"/>
          <w:rFonts w:ascii="Arial" w:hAnsi="Arial" w:hint="default"/>
          <w:sz w:val="22"/>
          <w:szCs w:val="22"/>
          <w:rtl w:val="0"/>
          <w:lang w:val="en-US"/>
        </w:rPr>
        <w:t>μ</w:t>
      </w:r>
      <w:r>
        <w:rPr>
          <w:rStyle w:val="None A"/>
          <w:rFonts w:ascii="Arial" w:hAnsi="Arial"/>
          <w:sz w:val="22"/>
          <w:szCs w:val="22"/>
          <w:rtl w:val="0"/>
          <w:lang w:val="en-US"/>
        </w:rPr>
        <w:t>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subsequent RNA extraction.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cultivation and quantification. </w:t>
      </w:r>
      <w:r>
        <w:rPr>
          <w:rStyle w:val="None A"/>
          <w:rFonts w:ascii="Arial" w:hAnsi="Arial"/>
          <w:sz w:val="22"/>
          <w:szCs w:val="22"/>
          <w:rtl w:val="0"/>
          <w:lang w:val="en-US"/>
        </w:rPr>
        <w:t>Differential plating was performed to quantify both C. difficile spores and vegetative cells respectively. Cecal samples were weighed and serially diluted under anaerobic conditions (6% H, 20% CO2, 74% N2) with anaerobic PBS. Samples were plated on CCFAE plates (fructose agar plus cycloserine, cefoxitin, and erythromycin) and counted for CFU after 24 hours of anaerobic growth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(Buggy, 1997). It is important to note that the germination agent taurocholate was omitted from these plates in order to only quantify vegetative cells. Undiluted samples with then heated at 60</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30 minutes in order to eliminate vegetative cells and leave only spores (Sorg, 2001). These samples were then serially diluted under anaerobic conditions in anaerobic PBS and plated on CCFAE + taurocholate. Plating was simultaneously done for heated samples on CCFAE to ensure all vegetative cells had been eliminated. After 24 hours of anaerobic incubation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CFUs from spores were quantified. Significant differences were determined by Wilcoxon test and Holm-Bonferroni correction.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Measurement of residual antibiotics in cecal content.</w:t>
      </w:r>
      <w:r>
        <w:rPr>
          <w:rStyle w:val="None A"/>
          <w:rFonts w:ascii="Arial" w:hAnsi="Arial"/>
          <w:sz w:val="22"/>
          <w:szCs w:val="22"/>
          <w:rtl w:val="0"/>
          <w:lang w:val="en-US"/>
        </w:rPr>
        <w:t xml:space="preserve">  Disk diffusion assays were performed using separate, newly plated lawns of </w:t>
      </w:r>
      <w:r>
        <w:rPr>
          <w:rStyle w:val="None A"/>
          <w:rFonts w:ascii="Arial" w:hAnsi="Arial"/>
          <w:i w:val="1"/>
          <w:iCs w:val="1"/>
          <w:sz w:val="22"/>
          <w:szCs w:val="22"/>
          <w:rtl w:val="0"/>
          <w:lang w:val="en-US"/>
        </w:rPr>
        <w:t>Clostridium difficile</w:t>
      </w:r>
      <w:r>
        <w:rPr>
          <w:rStyle w:val="None A"/>
          <w:rFonts w:ascii="Arial" w:hAnsi="Arial"/>
          <w:sz w:val="22"/>
          <w:szCs w:val="22"/>
          <w:rtl w:val="0"/>
          <w:lang w:val="en-US"/>
        </w:rPr>
        <w:t xml:space="preserve"> str. 630 and </w:t>
      </w:r>
      <w:r>
        <w:rPr>
          <w:rStyle w:val="None A"/>
          <w:rFonts w:ascii="Arial" w:hAnsi="Arial"/>
          <w:i w:val="1"/>
          <w:iCs w:val="1"/>
          <w:sz w:val="22"/>
          <w:szCs w:val="22"/>
          <w:rtl w:val="0"/>
          <w:lang w:val="en-US"/>
        </w:rPr>
        <w:t>Bifidobacterium longum</w:t>
      </w:r>
      <w:r>
        <w:rPr>
          <w:rStyle w:val="None A"/>
          <w:rFonts w:ascii="Arial" w:hAnsi="Arial"/>
          <w:sz w:val="22"/>
          <w:szCs w:val="22"/>
          <w:rtl w:val="0"/>
          <w:lang w:val="en-US"/>
        </w:rPr>
        <w:t xml:space="preserve"> subspec. </w:t>
      </w:r>
      <w:r>
        <w:rPr>
          <w:rStyle w:val="None A"/>
          <w:rFonts w:ascii="Arial" w:hAnsi="Arial"/>
          <w:i w:val="1"/>
          <w:iCs w:val="1"/>
          <w:sz w:val="22"/>
          <w:szCs w:val="22"/>
          <w:rtl w:val="0"/>
          <w:lang w:val="en-US"/>
        </w:rPr>
        <w:t>longum</w:t>
      </w:r>
      <w:r>
        <w:rPr>
          <w:rStyle w:val="None A"/>
          <w:rFonts w:ascii="Arial" w:hAnsi="Arial"/>
          <w:sz w:val="22"/>
          <w:szCs w:val="22"/>
          <w:rtl w:val="0"/>
          <w:lang w:val="en-US"/>
        </w:rPr>
        <w:t xml:space="preserve"> on BHIS agar. 500 </w:t>
      </w:r>
      <w:r>
        <w:rPr>
          <w:rStyle w:val="None A"/>
          <w:rFonts w:ascii="Arial" w:hAnsi="Arial" w:hint="default"/>
          <w:sz w:val="22"/>
          <w:szCs w:val="22"/>
          <w:rtl w:val="0"/>
          <w:lang w:val="en-US"/>
        </w:rPr>
        <w:t>μ</w:t>
      </w:r>
      <w:r>
        <w:rPr>
          <w:rStyle w:val="None A"/>
          <w:rFonts w:ascii="Arial" w:hAnsi="Arial"/>
          <w:sz w:val="22"/>
          <w:szCs w:val="22"/>
          <w:rtl w:val="0"/>
          <w:lang w:val="en-US"/>
        </w:rPr>
        <w:t xml:space="preserve">l of pooled cecal content within each treatment group were anaerobically centrifuged at 1,000 rpm for 5 minutes.  Sterile filter papers disks were then soaked with 20 </w:t>
      </w:r>
      <w:r>
        <w:rPr>
          <w:rStyle w:val="None A"/>
          <w:rFonts w:ascii="Arial" w:hAnsi="Arial" w:hint="default"/>
          <w:sz w:val="22"/>
          <w:szCs w:val="22"/>
          <w:rtl w:val="0"/>
          <w:lang w:val="en-US"/>
        </w:rPr>
        <w:t>μ</w:t>
      </w:r>
      <w:r>
        <w:rPr>
          <w:rStyle w:val="None A"/>
          <w:rFonts w:ascii="Arial" w:hAnsi="Arial"/>
          <w:sz w:val="22"/>
          <w:szCs w:val="22"/>
          <w:rtl w:val="0"/>
          <w:lang w:val="en-US"/>
        </w:rPr>
        <w:t>l supernatant from spun cecal content and added to plated bacteria in triplicate. Plates were anaerobically incubated overnight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and zones of inhibition were measured the following day (Fig. S3).</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toxin titer assay.</w:t>
      </w:r>
      <w:r>
        <w:rPr>
          <w:rStyle w:val="None A"/>
          <w:rFonts w:ascii="Arial" w:hAnsi="Arial"/>
          <w:sz w:val="22"/>
          <w:szCs w:val="22"/>
          <w:rtl w:val="0"/>
          <w:lang w:val="en-US"/>
        </w:rPr>
        <w:t xml:space="preserve">  Vero cell rounding assay was performed on mouse cecal content as previously described (Leslie, 2014). Cells were grown to a confluent monolayer in DMEM, supplemented with 10% heat-inactivated fetal bovine serum and 1% penicillin-streptomycin . The cells then were transferred to a conical tube and centrifuged at 1,000 rpm for 5 minutes to pellet the cells. 1</w:t>
      </w:r>
      <w:r>
        <w:rPr>
          <w:rStyle w:val="None A"/>
          <w:rFonts w:ascii="Arial" w:hAnsi="Arial" w:hint="default"/>
          <w:sz w:val="22"/>
          <w:szCs w:val="22"/>
          <w:rtl w:val="0"/>
          <w:lang w:val="en-US"/>
        </w:rPr>
        <w:t>×</w:t>
      </w:r>
      <w:r>
        <w:rPr>
          <w:rStyle w:val="None A"/>
          <w:rFonts w:ascii="Arial" w:hAnsi="Arial"/>
          <w:sz w:val="22"/>
          <w:szCs w:val="22"/>
          <w:rtl w:val="0"/>
          <w:lang w:val="en-US"/>
        </w:rPr>
        <w:t>10</w:t>
      </w:r>
      <w:r>
        <w:rPr>
          <w:rStyle w:val="None A"/>
          <w:rFonts w:ascii="Arial" w:hAnsi="Arial"/>
          <w:sz w:val="22"/>
          <w:szCs w:val="22"/>
          <w:vertAlign w:val="superscript"/>
          <w:rtl w:val="0"/>
          <w:lang w:val="en-US"/>
        </w:rPr>
        <w:t>5</w:t>
      </w:r>
      <w:r>
        <w:rPr>
          <w:rStyle w:val="None A"/>
          <w:rFonts w:ascii="Arial" w:hAnsi="Arial"/>
          <w:sz w:val="22"/>
          <w:szCs w:val="22"/>
          <w:rtl w:val="0"/>
          <w:lang w:val="en-US"/>
        </w:rPr>
        <w:t xml:space="preserve"> cells were seeded in each well of a 96-well plate and incubated for 4 hours. Filtered cecal content was serially diluted 1:10 in </w:t>
      </w:r>
      <w:r>
        <w:rPr>
          <w:rStyle w:val="None A"/>
          <w:rFonts w:ascii="Arial" w:hAnsi="Arial" w:hint="default"/>
          <w:sz w:val="22"/>
          <w:szCs w:val="22"/>
          <w:rtl w:val="0"/>
          <w:lang w:val="en-US"/>
        </w:rPr>
        <w:t>×</w:t>
      </w:r>
      <w:r>
        <w:rPr>
          <w:rStyle w:val="None A"/>
          <w:rFonts w:ascii="Arial" w:hAnsi="Arial"/>
          <w:sz w:val="22"/>
          <w:szCs w:val="22"/>
          <w:rtl w:val="0"/>
          <w:lang w:val="en-US"/>
        </w:rPr>
        <w:t>1 PBS. Control wells were given a volume of either a 1:25 dilution of anti-toxin serum. Following the incubation, samples were added to the Vero cells and the plate was incubated overnight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C. Plates were viewed after 24 hours at </w:t>
      </w:r>
      <w:r>
        <w:rPr>
          <w:rStyle w:val="None A"/>
          <w:rFonts w:ascii="Arial" w:hAnsi="Arial" w:hint="default"/>
          <w:sz w:val="22"/>
          <w:szCs w:val="22"/>
          <w:rtl w:val="0"/>
          <w:lang w:val="en-US"/>
        </w:rPr>
        <w:t>×</w:t>
      </w:r>
      <w:r>
        <w:rPr>
          <w:rStyle w:val="None A"/>
          <w:rFonts w:ascii="Arial" w:hAnsi="Arial"/>
          <w:sz w:val="22"/>
          <w:szCs w:val="22"/>
          <w:rtl w:val="0"/>
          <w:lang w:val="en-US"/>
        </w:rPr>
        <w:t xml:space="preserve">10 magnification for cell rounding. The cytotoxic titer was defined as the reciprocal of the highest dilution that produced rounding in 80% of the cells. Significant differences were determined by Holm-Bonferroni corrected Wilcoxon tests. A detailed protocol with product information can be found at: </w:t>
      </w:r>
      <w:r>
        <w:rPr>
          <w:rStyle w:val="Hyperlink.1"/>
        </w:rPr>
        <w:fldChar w:fldCharType="begin" w:fldLock="0"/>
      </w:r>
      <w:r>
        <w:rPr>
          <w:rStyle w:val="Hyperlink.1"/>
        </w:rPr>
        <w:instrText xml:space="preserve"> HYPERLINK "https://github.com/jlleslie/Intraspecific_Competition/blob/master/methods/Verocell_ToxinActivity_Assay.Rmd"</w:instrText>
      </w:r>
      <w:r>
        <w:rPr>
          <w:rStyle w:val="Hyperlink.1"/>
        </w:rPr>
        <w:fldChar w:fldCharType="separate" w:fldLock="0"/>
      </w:r>
      <w:r>
        <w:rPr>
          <w:rStyle w:val="Hyperlink.1"/>
          <w:rtl w:val="0"/>
          <w:lang w:val="en-US"/>
        </w:rPr>
        <w:t>https://github.com/jlleslie/Intraspecific_Competition/blob/master/methods/Verocell_ToxinActivity_Assa</w:t>
      </w:r>
      <w:r>
        <w:rPr/>
        <w:fldChar w:fldCharType="end" w:fldLock="0"/>
      </w:r>
      <w:r>
        <w:rPr>
          <w:rStyle w:val="Hyperlink.1"/>
        </w:rPr>
        <w:fldChar w:fldCharType="begin" w:fldLock="0"/>
      </w:r>
      <w:r>
        <w:rPr>
          <w:rStyle w:val="Hyperlink.1"/>
        </w:rPr>
        <w:instrText xml:space="preserve"> HYPERLINK "https://github.com/jlleslie/Intraspecific_Competition/blob/master/methods/Verocell_ToxinActivity_Assay.Rmd"</w:instrText>
      </w:r>
      <w:r>
        <w:rPr>
          <w:rStyle w:val="Hyperlink.1"/>
        </w:rPr>
        <w:fldChar w:fldCharType="separate" w:fldLock="0"/>
      </w:r>
      <w:r>
        <w:rPr>
          <w:rStyle w:val="Hyperlink.1"/>
          <w:rtl w:val="0"/>
          <w:lang w:val="en-US"/>
        </w:rPr>
        <w:t>y.Rmd</w:t>
      </w:r>
      <w:r>
        <w:rPr/>
        <w:fldChar w:fldCharType="end" w:fldLock="0"/>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RNA extraction, library preparation, and sequencing. </w:t>
      </w:r>
      <w:r>
        <w:rPr>
          <w:rStyle w:val="None A"/>
          <w:rFonts w:ascii="Arial" w:hAnsi="Arial"/>
          <w:sz w:val="22"/>
          <w:szCs w:val="22"/>
          <w:rtl w:val="0"/>
          <w:lang w:val="en-US"/>
        </w:rPr>
        <w:t xml:space="preserve">This procedure was adapted from the RNA isolation protocol defined by Lopez-Medina et. al., 2011. In order to generate enough mRNA biomass contributed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we pooled cecal content from all mouse replicates into a single large isolation for each treatment group. This was beneficial because it not only normalized subtle variation in expression between samples, but also simplified the technical process of isolating high-quality RNA from multiple treatment groups at once. 3 ml of lysis buffer (2% SDS, 16 mM EDTA and 200 mM NaCl) contained in a 50 ml polypropylene conical tube was first heated for 5 minutes in a  boiling water bath. The hot lysis buffer was added to the frozen and ground cecal content. The mixture was boiled with periodic vortexing for another 5 minutes. After boiling, an equal volume of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acid phenol/chloroform was added to the cecal content lysate and incubated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10 minutes with periodic vortexing. The mixture was the centrifuged at 2,500 g at 4</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15 minutes. The aqueous phase was then transferred to a sterile tube and an equal volume of acid phenol/chloroform was added. This mixture was vortexed and centrifuged at 2,500 g at 4</w:t>
      </w:r>
      <w:r>
        <w:rPr>
          <w:rStyle w:val="None A"/>
          <w:rFonts w:ascii="Arial" w:hAnsi="Arial" w:hint="default"/>
          <w:sz w:val="22"/>
          <w:szCs w:val="22"/>
          <w:rtl w:val="0"/>
          <w:lang w:val="en-US"/>
        </w:rPr>
        <w:t xml:space="preserve">° </w:t>
      </w:r>
      <w:r>
        <w:rPr>
          <w:rStyle w:val="None A"/>
          <w:rFonts w:ascii="Arial" w:hAnsi="Arial"/>
          <w:sz w:val="22"/>
          <w:szCs w:val="22"/>
          <w:rtl w:val="0"/>
          <w:lang w:val="en-US"/>
        </w:rPr>
        <w:t>for 5 minutes. The process was repeated until aqueous phase was clear. The last extraction was performed with chloroform/isoamyl alcohol to remove acid phenol. An equal volume of isopropanol was added and the extracted nucleic acid was incubated overnight at -20</w:t>
      </w:r>
      <w:r>
        <w:rPr>
          <w:rStyle w:val="None A"/>
          <w:rFonts w:ascii="Arial" w:hAnsi="Arial" w:hint="default"/>
          <w:sz w:val="22"/>
          <w:szCs w:val="22"/>
          <w:rtl w:val="0"/>
          <w:lang w:val="en-US"/>
        </w:rPr>
        <w:t xml:space="preserve">° </w:t>
      </w:r>
      <w:r>
        <w:rPr>
          <w:rStyle w:val="None A"/>
          <w:rFonts w:ascii="Arial" w:hAnsi="Arial"/>
          <w:sz w:val="22"/>
          <w:szCs w:val="22"/>
          <w:rtl w:val="0"/>
          <w:lang w:val="en-US"/>
        </w:rPr>
        <w:t>C. The following day the sample was centrifuged at 12000 g at 4</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45 minutes. The pellet was washed with 0</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C 100% ethanol and resuspended in 200 </w:t>
      </w:r>
      <w:r>
        <w:rPr>
          <w:rStyle w:val="None A"/>
          <w:rFonts w:ascii="Arial" w:hAnsi="Arial" w:hint="default"/>
          <w:sz w:val="22"/>
          <w:szCs w:val="22"/>
          <w:rtl w:val="0"/>
          <w:lang w:val="en-US"/>
        </w:rPr>
        <w:t>μ</w:t>
      </w:r>
      <w:r>
        <w:rPr>
          <w:rStyle w:val="None A"/>
          <w:rFonts w:ascii="Arial" w:hAnsi="Arial"/>
          <w:sz w:val="22"/>
          <w:szCs w:val="22"/>
          <w:rtl w:val="0"/>
          <w:lang w:val="en-US"/>
        </w:rPr>
        <w:t xml:space="preserve">l of RNase-free water. Following the manufacterer's protocol, samples were then treated with 2 </w:t>
      </w:r>
      <w:r>
        <w:rPr>
          <w:rStyle w:val="None A"/>
          <w:rFonts w:ascii="Arial" w:hAnsi="Arial" w:hint="default"/>
          <w:sz w:val="22"/>
          <w:szCs w:val="22"/>
          <w:rtl w:val="0"/>
          <w:lang w:val="en-US"/>
        </w:rPr>
        <w:t>μ</w:t>
      </w:r>
      <w:r>
        <w:rPr>
          <w:rStyle w:val="None A"/>
          <w:rFonts w:ascii="Arial" w:hAnsi="Arial"/>
          <w:sz w:val="22"/>
          <w:szCs w:val="22"/>
          <w:rtl w:val="0"/>
          <w:lang w:val="en-US"/>
        </w:rPr>
        <w:t>l of Turbo DNase for 30 minutes</w:t>
      </w:r>
      <w:r>
        <w:rPr>
          <w:rtl w:val="0"/>
          <w:lang w:val="en-US"/>
        </w:rPr>
        <w:t xml:space="preserve"> </w:t>
      </w:r>
      <w:r>
        <w:rPr>
          <w:rStyle w:val="None A"/>
          <w:rFonts w:ascii="Arial" w:hAnsi="Arial"/>
          <w:sz w:val="22"/>
          <w:szCs w:val="22"/>
          <w:rtl w:val="0"/>
          <w:lang w:val="en-US"/>
        </w:rPr>
        <w:t>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C. RNA samples were retrieved using the Zymo Quick-RNA MiniPrep according the manufacterer's protocol. Completion of the reaction was assessed using PCR for the V6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manufacterer's protocol. Prior to library construction, quality and integrity as measured again using the Agilent RNA 6000 Pico Kit. </w:t>
      </w:r>
    </w:p>
    <w:p>
      <w:pPr>
        <w:pStyle w:val="Default"/>
        <w:shd w:val="clear" w:color="auto" w:fill="ffffff"/>
        <w:spacing w:line="480" w:lineRule="auto"/>
        <w:jc w:val="both"/>
      </w:pPr>
      <w:r>
        <w:rPr>
          <w:rStyle w:val="None A"/>
          <w:rFonts w:ascii="Arial" w:cs="Arial" w:hAnsi="Arial" w:eastAsia="Arial"/>
          <w:sz w:val="22"/>
          <w:szCs w:val="22"/>
          <w:rtl w:val="0"/>
        </w:rPr>
        <w:tab/>
        <w:t xml:space="preserve">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setting, to normalize for stochasticity in oligo binding to flow cell. A detailed protocol for this entire procedure containing product numbers and quality-control primer sequences can be found in the Github repository associated with this project:  </w:t>
      </w:r>
      <w:r>
        <w:rPr>
          <w:rStyle w:val="Hyperlink.2"/>
        </w:rPr>
        <w:fldChar w:fldCharType="begin" w:fldLock="0"/>
      </w:r>
      <w:r>
        <w:rPr>
          <w:rStyle w:val="Hyperlink.2"/>
        </w:rPr>
        <w:instrText xml:space="preserve"> HYPERLINK "https://github.com/SchlossLab/Jenior_Transcriptomics_2015/blob/master/doc/wetlab_protocol.txt"</w:instrText>
      </w:r>
      <w:r>
        <w:rPr>
          <w:rStyle w:val="Hyperlink.2"/>
        </w:rPr>
        <w:fldChar w:fldCharType="separate" w:fldLock="0"/>
      </w:r>
      <w:r>
        <w:rPr>
          <w:rStyle w:val="Hyperlink.2"/>
          <w:rtl w:val="0"/>
          <w:lang w:val="en-US"/>
        </w:rPr>
        <w:t>https://github.com/SchlossLab/Jenior_Transcriptomics_2015/blob/master/doc/wetlab_protocol.txt</w:t>
      </w:r>
      <w:r>
        <w:rPr/>
        <w:fldChar w:fldCharType="end" w:fldLock="0"/>
      </w:r>
    </w:p>
    <w:p>
      <w:pPr>
        <w:pStyle w:val="Default"/>
        <w:shd w:val="clear" w:color="auto" w:fill="ffffff"/>
        <w:spacing w:line="480" w:lineRule="auto"/>
        <w:jc w:val="both"/>
        <w:rPr>
          <w:rStyle w:val="None A"/>
          <w:rFonts w:ascii="Arial" w:cs="Arial" w:hAnsi="Arial" w:eastAsia="Arial"/>
          <w:sz w:val="22"/>
          <w:szCs w:val="22"/>
          <w:shd w:val="clear" w:color="auto" w:fill="ffff00"/>
        </w:rPr>
      </w:pPr>
    </w:p>
    <w:p>
      <w:pPr>
        <w:pStyle w:val="Default"/>
        <w:shd w:val="clear" w:color="auto" w:fill="ffffff"/>
        <w:spacing w:line="480" w:lineRule="auto"/>
        <w:jc w:val="both"/>
      </w:pPr>
      <w:r>
        <w:rPr>
          <w:rStyle w:val="None A"/>
          <w:rFonts w:ascii="Arial" w:hAnsi="Arial"/>
          <w:b w:val="1"/>
          <w:bCs w:val="1"/>
          <w:sz w:val="22"/>
          <w:szCs w:val="22"/>
          <w:rtl w:val="0"/>
          <w:lang w:val="en-US"/>
        </w:rPr>
        <w:t xml:space="preserve">Sequence curation, read mapping, and normalization. </w:t>
      </w:r>
      <w:r>
        <w:rPr>
          <w:rStyle w:val="None A"/>
          <w:rFonts w:ascii="Arial" w:hAnsi="Arial"/>
          <w:sz w:val="22"/>
          <w:szCs w:val="22"/>
          <w:rtl w:val="0"/>
          <w:lang w:val="en-US"/>
        </w:rPr>
        <w:t>Raw transcript sequencing read curation was performed in a two step process. Residual 5</w:t>
      </w:r>
      <w:r>
        <w:rPr>
          <w:rStyle w:val="None A"/>
          <w:rFonts w:ascii="Arial" w:hAnsi="Arial" w:hint="default"/>
          <w:sz w:val="22"/>
          <w:szCs w:val="22"/>
          <w:rtl w:val="0"/>
          <w:lang w:val="en-US"/>
        </w:rPr>
        <w:t xml:space="preserve">’ </w:t>
      </w:r>
      <w:r>
        <w:rPr>
          <w:rStyle w:val="None A"/>
          <w:rFonts w:ascii="Arial" w:hAnsi="Arial"/>
          <w:sz w:val="22"/>
          <w:szCs w:val="22"/>
          <w:rtl w:val="0"/>
          <w:lang w:val="en-US"/>
        </w:rPr>
        <w:t>and 3</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Illumina adapter sequences were trimmed using CutAdapt (Martin, 2011) on a per library basis. Reads were quality trimmed using Sickle (Joshi, 2011) on the default settings. An average of ~300,000,000 total reads (both paired and orphaned) remained after quality trimming. Mapping was accomplished using Bowtie2 (Langmead, 2009) and the default stringent settings. ~1,600,000 reads in sample each mapped to the annotated nucleotide gene sequences of </w:t>
      </w:r>
      <w:r>
        <w:rPr>
          <w:rStyle w:val="None A"/>
          <w:rFonts w:ascii="Arial" w:hAnsi="Arial"/>
          <w:i w:val="1"/>
          <w:iCs w:val="1"/>
          <w:sz w:val="22"/>
          <w:szCs w:val="22"/>
          <w:rtl w:val="0"/>
          <w:lang w:val="en-US"/>
        </w:rPr>
        <w:t>Peptoclostridium difficile</w:t>
      </w:r>
      <w:r>
        <w:rPr>
          <w:rStyle w:val="None A"/>
          <w:rFonts w:ascii="Arial" w:hAnsi="Arial"/>
          <w:sz w:val="22"/>
          <w:szCs w:val="22"/>
          <w:rtl w:val="0"/>
          <w:lang w:val="en-US"/>
        </w:rPr>
        <w:t xml:space="preserve"> str. 630 from the Kyoto Encyclopedia of Genes and Genomes (KEGG). Optical and PCR duplicates were then removed using Picard MarkDuplicates (</w:t>
      </w:r>
      <w:r>
        <w:rPr>
          <w:rStyle w:val="Hyperlink.2"/>
        </w:rPr>
        <w:fldChar w:fldCharType="begin" w:fldLock="0"/>
      </w:r>
      <w:r>
        <w:rPr>
          <w:rStyle w:val="Hyperlink.2"/>
        </w:rPr>
        <w:instrText xml:space="preserve"> HYPERLINK "http://broadinstitute.github.io/picard/"</w:instrText>
      </w:r>
      <w:r>
        <w:rPr>
          <w:rStyle w:val="Hyperlink.2"/>
        </w:rPr>
        <w:fldChar w:fldCharType="separate" w:fldLock="0"/>
      </w:r>
      <w:r>
        <w:rPr>
          <w:rStyle w:val="Hyperlink.2"/>
          <w:rtl w:val="0"/>
          <w:lang w:val="en-US"/>
        </w:rPr>
        <w:t>http://broadinstitute.github.io/picard/</w:t>
      </w:r>
      <w:r>
        <w:rPr/>
        <w:fldChar w:fldCharType="end" w:fldLock="0"/>
      </w:r>
      <w:r>
        <w:rPr>
          <w:rStyle w:val="None A"/>
          <w:rFonts w:ascii="Arial" w:hAnsi="Arial"/>
          <w:sz w:val="22"/>
          <w:szCs w:val="22"/>
          <w:rtl w:val="0"/>
          <w:lang w:val="en-US"/>
        </w:rPr>
        <w:t xml:space="preserve">), leaving ~150,000 reads per sample for final analysis. The remaining mappings were converted to idxstats format using Samtools (Li, 2009) and the read counts per gene were tabulated. Discordant pair mappings were discarded and counts were then normalized to read length and gene length. Unless indicated otherwise, each collection of reads was then 1000-fold iteratively subsampled to 97,930 reads to generate bootstrapped medians for each gene.  A detailed protocol for red curation can be found in the Github repository associated with this project:  </w:t>
      </w:r>
      <w:r>
        <w:rPr>
          <w:rStyle w:val="Hyperlink.2"/>
        </w:rPr>
        <w:fldChar w:fldCharType="begin" w:fldLock="0"/>
      </w:r>
      <w:r>
        <w:rPr>
          <w:rStyle w:val="Hyperlink.2"/>
        </w:rPr>
        <w:instrText xml:space="preserve"> HYPERLINK "https://github.com/SchlossLab/Jenior_Transcriptomics_2015/blob/master/doc/drylab_protocol.txt"</w:instrText>
      </w:r>
      <w:r>
        <w:rPr>
          <w:rStyle w:val="Hyperlink.2"/>
        </w:rPr>
        <w:fldChar w:fldCharType="separate" w:fldLock="0"/>
      </w:r>
      <w:r>
        <w:rPr>
          <w:rStyle w:val="Hyperlink.2"/>
          <w:rtl w:val="0"/>
          <w:lang w:val="en-US"/>
        </w:rPr>
        <w:t>https://github.com/SchlossLab/Jenior_Transcriptomics_2015/blob/master/doc/drylab_protocol.txt</w:t>
      </w:r>
      <w:r>
        <w:rPr/>
        <w:fldChar w:fldCharType="end" w:fldLock="0"/>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Bipartite Metabolic Modeling. </w:t>
      </w:r>
      <w:r>
        <w:rPr>
          <w:rStyle w:val="None A"/>
          <w:rFonts w:ascii="Arial" w:hAnsi="Arial"/>
          <w:sz w:val="22"/>
          <w:szCs w:val="22"/>
          <w:rtl w:val="0"/>
          <w:lang w:val="en-US"/>
        </w:rPr>
        <w:t xml:space="preserve">The metabolism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was represented as a directed bipartite graph with both enzymes and substrates as nodes. Briefly, models were constructed using KEGG ortholog gene annotations to which transcripts had been mapped. Using the reaction_mapformula.lst file located in /kegg/ligand/reaction/, KEGG orthologs were converted to lists of input and output compounds associated with each enzymatic reaction respectively. As compounds are associated with the enzyme, it is labeled as either an input or output of the reaction that enzyme mediates. This process is repeated for all enzymes in the given bacterial genome. The resulting data structure is an associative array of enzymes associated with lists of both categories of substrates (input and output), which serves as the architecture of the network. The final metabolic network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contains a total of 1205 individual nodes (447 enzymes and 758 substrates) with 2135 edges. Transcriptomic mapping data is then re-associated with the respective enzyme nodes prior to substrate importance calculations. Betweenness-centrality was calculated using the igraph R package.</w:t>
      </w:r>
    </w:p>
    <w:p>
      <w:pPr>
        <w:pStyle w:val="Default"/>
        <w:shd w:val="clear" w:color="auto" w:fill="ffffff"/>
        <w:spacing w:line="480" w:lineRule="auto"/>
        <w:jc w:val="both"/>
      </w:pPr>
      <w:r>
        <w:rPr>
          <w:rStyle w:val="None A"/>
          <w:rFonts w:ascii="Arial" w:cs="Arial" w:hAnsi="Arial" w:eastAsia="Arial"/>
          <w:sz w:val="22"/>
          <w:szCs w:val="22"/>
          <w:rtl w:val="0"/>
        </w:rPr>
        <w:tab/>
        <w:t xml:space="preserve">The substrate importance algorithm favors metabolites that are more likely acquired from the environment (not produced within the network), and will award them a higher score. This is accomplished by first calculating the relative importance of compounds as both inputs and outputs of reactions in the network and then subtracting the output score from the input score (Fig. 4A). If a compound is more likely to be produced, the more negative the resulting score will be. These methods have been written into a single python script, along with supporting reference files, and is presented as BiGSMAll (BacterIal Genome-Scale Metabolic models for AppLied reverse ecoLogy), available in a public Github repository at </w:t>
      </w:r>
      <w:r>
        <w:rPr>
          <w:rStyle w:val="Hyperlink.2"/>
        </w:rPr>
        <w:fldChar w:fldCharType="begin" w:fldLock="0"/>
      </w:r>
      <w:r>
        <w:rPr>
          <w:rStyle w:val="Hyperlink.2"/>
        </w:rPr>
        <w:instrText xml:space="preserve"> HYPERLINK "https://github.com/mjenior/bigsmall"</w:instrText>
      </w:r>
      <w:r>
        <w:rPr>
          <w:rStyle w:val="Hyperlink.2"/>
        </w:rPr>
        <w:fldChar w:fldCharType="separate" w:fldLock="0"/>
      </w:r>
      <w:r>
        <w:rPr>
          <w:rStyle w:val="Hyperlink.2"/>
          <w:rtl w:val="0"/>
          <w:lang w:val="en-US"/>
        </w:rPr>
        <w:t>https://github.com/mjenior/bigsmall</w:t>
      </w:r>
      <w:r>
        <w:rPr/>
        <w:fldChar w:fldCharType="end" w:fldLock="0"/>
      </w:r>
      <w:r>
        <w:rPr>
          <w:rStyle w:val="None A"/>
          <w:rFonts w:ascii="Arial" w:hAnsi="Arial"/>
          <w:sz w:val="22"/>
          <w:szCs w:val="22"/>
          <w:rtl w:val="0"/>
          <w:lang w:val="en-US"/>
        </w:rPr>
        <w: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 xml:space="preserve">To calculate substrate importance, we used rarefied transcriptomic abundances mapped to their respective enzymes (represented by </w:t>
      </w:r>
      <w:r>
        <w:rPr>
          <w:rStyle w:val="None A"/>
          <w:rFonts w:ascii="Arial" w:hAnsi="Arial"/>
          <w:b w:val="1"/>
          <w:bCs w:val="1"/>
          <w:sz w:val="22"/>
          <w:szCs w:val="22"/>
          <w:rtl w:val="0"/>
          <w:lang w:val="en-US"/>
        </w:rPr>
        <w:t>t</w:t>
      </w:r>
      <w:r>
        <w:rPr>
          <w:rStyle w:val="None A"/>
          <w:rFonts w:ascii="Arial" w:hAnsi="Arial"/>
          <w:b w:val="1"/>
          <w:bCs w:val="1"/>
          <w:sz w:val="22"/>
          <w:szCs w:val="22"/>
          <w:vertAlign w:val="subscript"/>
          <w:rtl w:val="0"/>
          <w:lang w:val="en-US"/>
        </w:rPr>
        <w:t>o</w:t>
      </w:r>
      <w:r>
        <w:rPr>
          <w:rStyle w:val="None A"/>
          <w:rFonts w:ascii="Arial" w:hAnsi="Arial"/>
          <w:sz w:val="22"/>
          <w:szCs w:val="22"/>
          <w:rtl w:val="0"/>
          <w:lang w:val="en-US"/>
        </w:rPr>
        <w:t xml:space="preserve"> and </w:t>
      </w:r>
      <w:r>
        <w:rPr>
          <w:rStyle w:val="None A"/>
          <w:rFonts w:ascii="Arial" w:hAnsi="Arial"/>
          <w:b w:val="1"/>
          <w:bCs w:val="1"/>
          <w:sz w:val="22"/>
          <w:szCs w:val="22"/>
          <w:rtl w:val="0"/>
          <w:lang w:val="en-US"/>
        </w:rPr>
        <w:t>t</w:t>
      </w:r>
      <w:r>
        <w:rPr>
          <w:rStyle w:val="None A"/>
          <w:rFonts w:ascii="Arial" w:hAnsi="Arial"/>
          <w:b w:val="1"/>
          <w:bCs w:val="1"/>
          <w:sz w:val="22"/>
          <w:szCs w:val="22"/>
          <w:vertAlign w:val="subscript"/>
          <w:rtl w:val="0"/>
          <w:lang w:val="en-US"/>
        </w:rPr>
        <w:t>i</w:t>
      </w:r>
      <w:r>
        <w:rPr>
          <w:rStyle w:val="None A"/>
          <w:rFonts w:ascii="Arial" w:hAnsi="Arial"/>
          <w:sz w:val="22"/>
          <w:szCs w:val="22"/>
          <w:rtl w:val="0"/>
          <w:lang w:val="en-US"/>
        </w:rPr>
        <w:t>), representing the reactions they mediate that either create or utilize the substrate (</w:t>
      </w:r>
      <w:r>
        <w:rPr>
          <w:rStyle w:val="None A"/>
          <w:rFonts w:ascii="Arial" w:hAnsi="Arial"/>
          <w:b w:val="1"/>
          <w:bCs w:val="1"/>
          <w:sz w:val="22"/>
          <w:szCs w:val="22"/>
          <w:rtl w:val="0"/>
          <w:lang w:val="en-US"/>
        </w:rPr>
        <w:t>s</w:t>
      </w:r>
      <w:r>
        <w:rPr>
          <w:rStyle w:val="None A"/>
          <w:rFonts w:ascii="Arial" w:hAnsi="Arial"/>
          <w:sz w:val="22"/>
          <w:szCs w:val="22"/>
          <w:rtl w:val="0"/>
          <w:lang w:val="en-US"/>
        </w:rPr>
        <w:t>). The sum is then taken of transcript abundances for enzyme nodes that connect with a given substrate node with the same direction edge (</w:t>
      </w:r>
      <w:r>
        <w:rPr>
          <w:rStyle w:val="None A"/>
          <w:rFonts w:ascii="Arial" w:hAnsi="Arial"/>
          <w:b w:val="1"/>
          <w:bCs w:val="1"/>
          <w:sz w:val="22"/>
          <w:szCs w:val="22"/>
          <w:rtl w:val="0"/>
          <w:lang w:val="en-US"/>
        </w:rPr>
        <w:t>e</w:t>
      </w:r>
      <w:r>
        <w:rPr>
          <w:rStyle w:val="None A"/>
          <w:rFonts w:ascii="Arial" w:hAnsi="Arial"/>
          <w:b w:val="1"/>
          <w:bCs w:val="1"/>
          <w:sz w:val="22"/>
          <w:szCs w:val="22"/>
          <w:vertAlign w:val="subscript"/>
          <w:rtl w:val="0"/>
          <w:lang w:val="en-US"/>
        </w:rPr>
        <w:t>o</w:t>
      </w:r>
      <w:r>
        <w:rPr>
          <w:rStyle w:val="None A"/>
          <w:rFonts w:ascii="Arial" w:hAnsi="Arial"/>
          <w:sz w:val="22"/>
          <w:szCs w:val="22"/>
          <w:rtl w:val="0"/>
          <w:lang w:val="en-US"/>
        </w:rPr>
        <w:t xml:space="preserve"> or </w:t>
      </w:r>
      <w:r>
        <w:rPr>
          <w:rStyle w:val="None A"/>
          <w:rFonts w:ascii="Arial" w:hAnsi="Arial"/>
          <w:b w:val="1"/>
          <w:bCs w:val="1"/>
          <w:sz w:val="22"/>
          <w:szCs w:val="22"/>
          <w:rtl w:val="0"/>
          <w:lang w:val="en-US"/>
        </w:rPr>
        <w:t>e</w:t>
      </w:r>
      <w:r>
        <w:rPr>
          <w:rStyle w:val="None A"/>
          <w:rFonts w:ascii="Arial" w:hAnsi="Arial"/>
          <w:b w:val="1"/>
          <w:bCs w:val="1"/>
          <w:sz w:val="22"/>
          <w:szCs w:val="22"/>
          <w:vertAlign w:val="subscript"/>
          <w:rtl w:val="0"/>
          <w:lang w:val="en-US"/>
        </w:rPr>
        <w:t>i</w:t>
      </w:r>
      <w:r>
        <w:rPr>
          <w:rStyle w:val="None A"/>
          <w:rFonts w:ascii="Arial" w:hAnsi="Arial"/>
          <w:sz w:val="22"/>
          <w:szCs w:val="22"/>
          <w:rtl w:val="0"/>
          <w:lang w:val="en-US"/>
        </w:rPr>
        <w:t>). These values are then divided by the total number of edges that contributed to the previous calculation, creating an average transcription value as either input or output of reactions for the substrate node. The intent is to normalize for highly central substrate nodes that have many connecting enzymes and would score highly regardless of differential expression. The normalized transcription of output reactions is then subtracted from that of input reactions to yield a value that reflects whether synthesis or utilization of the substrate might be favored at the time of measurement. This value is then base-2 log transformed for ease of comparability between high and low transcript abundance associated with a substrate. Zeroes were left unchanged and negative values are accounted for prior to transformation using absolute value with the sign reapplied afterward following transformation. The presumption of our approach is that enzymes that are more highly transcribed are more likely to utilize the substrates they act on due to coupled bacterial transcription and translation.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hAnsi="Arial"/>
          <w:sz w:val="22"/>
          <w:szCs w:val="22"/>
          <w:rtl w:val="0"/>
          <w:lang w:val="en-US"/>
        </w:rPr>
        <w:t>By comparing the calculated scores to their simulated mean and standard deviation from iterative randomization, we were able to detect which substrate scores were most likely not from consistent high scoring due to a large degree of centrality.</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Mathematical validation of metabolite importance scores. </w:t>
      </w:r>
      <w:r>
        <w:rPr>
          <w:rStyle w:val="None A"/>
          <w:rFonts w:ascii="Arial" w:hAnsi="Arial"/>
          <w:sz w:val="22"/>
          <w:szCs w:val="22"/>
          <w:rtl w:val="0"/>
          <w:lang w:val="en-US"/>
        </w:rPr>
        <w:t xml:space="preserve">As sequencing replicates of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transcriptomes were not feasible, we sought to apply a modified Monte-Carlo simulation to distinguish calculated metabolite importances due to transcriptional patterns, from consistently important compounds or those scores derived from random chance. With this in mind we took an iterative approach of randomizing assignment of transcript abundance to enzyme nodes and recalculating metabolite importances. Each substrate node accumulated a distribution of importance scores that were then used to calculate a confidence interval. Ultimately, scores from measured values were then compared against simulated medians and confidence intervals to assess for those outside the expectation by random chance for a network with the same topology. This is a superior approach to topology randomization as the landscape of the network itself was created through natural selection and any large-scale alterations to that would yield biologically uninformative comparators. These simulations and comparisons are available within the  BigSmall workflow presented above.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Anaerobic </w:t>
      </w:r>
      <w:r>
        <w:rPr>
          <w:rStyle w:val="None A"/>
          <w:rFonts w:ascii="Arial" w:hAnsi="Arial"/>
          <w:b w:val="1"/>
          <w:bCs w:val="1"/>
          <w:i w:val="1"/>
          <w:iCs w:val="1"/>
          <w:sz w:val="22"/>
          <w:szCs w:val="22"/>
          <w:rtl w:val="0"/>
          <w:lang w:val="en-US"/>
        </w:rPr>
        <w:t>in vitro C. difficile</w:t>
      </w:r>
      <w:r>
        <w:rPr>
          <w:rStyle w:val="None A"/>
          <w:rFonts w:ascii="Arial" w:hAnsi="Arial"/>
          <w:b w:val="1"/>
          <w:bCs w:val="1"/>
          <w:sz w:val="22"/>
          <w:szCs w:val="22"/>
          <w:rtl w:val="0"/>
          <w:lang w:val="en-US"/>
        </w:rPr>
        <w:t xml:space="preserve"> growth curves. </w:t>
      </w:r>
      <w:r>
        <w:rPr>
          <w:rStyle w:val="None A"/>
          <w:rFonts w:ascii="Arial" w:hAnsi="Arial"/>
          <w:sz w:val="22"/>
          <w:szCs w:val="22"/>
          <w:rtl w:val="0"/>
          <w:lang w:val="en-US"/>
        </w:rPr>
        <w:t xml:space="preserve">The carbon-free variation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Basal Defined Medium (NCMM) was prepared as previously described in Theriot et. al., 2014. Respective carbohydrate sources were added at a final concentration of 5000 mg/L, also as outlined in the aforementioned study. A solution of the required amino acids was made separately and added when noted at identical concentrations to the same study. 245 </w:t>
      </w:r>
      <w:r>
        <w:rPr>
          <w:rStyle w:val="None A"/>
          <w:rFonts w:ascii="Arial" w:hAnsi="Arial" w:hint="default"/>
          <w:sz w:val="22"/>
          <w:szCs w:val="22"/>
          <w:rtl w:val="0"/>
          <w:lang w:val="en-US"/>
        </w:rPr>
        <w:t>μ</w:t>
      </w:r>
      <w:r>
        <w:rPr>
          <w:rStyle w:val="None A"/>
          <w:rFonts w:ascii="Arial" w:hAnsi="Arial"/>
          <w:sz w:val="22"/>
          <w:szCs w:val="22"/>
          <w:rtl w:val="0"/>
          <w:lang w:val="en-US"/>
        </w:rPr>
        <w:t>l of final media mixes were added to a 96-well sterile plate arranged as shown in Table S4. A rich media growth control was also included, consisting of liquid Brain-Heart Infusion + 0.5% cysteine. Edge wells were skipped in order to avoid desiccation leading to false changes to optical density.</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All culturing and growth measurement were performed anaerobically in a Coy Type B Vinyl Anaerobic Chamber (3.0% H, 5.0% CO</w:t>
      </w:r>
      <w:r>
        <w:rPr>
          <w:rStyle w:val="None A"/>
          <w:rFonts w:ascii="Arial" w:hAnsi="Arial"/>
          <w:sz w:val="22"/>
          <w:szCs w:val="22"/>
          <w:vertAlign w:val="subscript"/>
          <w:rtl w:val="0"/>
          <w:lang w:val="en-US"/>
        </w:rPr>
        <w:t>2</w:t>
      </w:r>
      <w:r>
        <w:rPr>
          <w:rStyle w:val="None A"/>
          <w:rFonts w:ascii="Arial" w:hAnsi="Arial"/>
          <w:sz w:val="22"/>
          <w:szCs w:val="22"/>
          <w:rtl w:val="0"/>
          <w:lang w:val="en-US"/>
        </w:rPr>
        <w:t xml:space="preserve">, 92.0% N, 0.0% 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was grown for 14 hours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C in 3 ml BHI + 0.5% cysteine. Cultures were then centrifuged at 2000 rpm for 5 minutes and resulting pellets were then washed twice with sterile, anaerobic 1x phosphate-buffered saline (PBS). Washed pellets were resuspended in 3 ml more PBS and 5 </w:t>
      </w:r>
      <w:r>
        <w:rPr>
          <w:rStyle w:val="None A"/>
          <w:rFonts w:ascii="Arial" w:hAnsi="Arial" w:hint="default"/>
          <w:sz w:val="22"/>
          <w:szCs w:val="22"/>
          <w:rtl w:val="0"/>
          <w:lang w:val="en-US"/>
        </w:rPr>
        <w:t>μ</w:t>
      </w:r>
      <w:r>
        <w:rPr>
          <w:rStyle w:val="None A"/>
          <w:rFonts w:ascii="Arial" w:hAnsi="Arial"/>
          <w:sz w:val="22"/>
          <w:szCs w:val="22"/>
          <w:rtl w:val="0"/>
          <w:lang w:val="en-US"/>
        </w:rPr>
        <w:t>l of prepped culture was added the each growth well of the plate containing aliquoted media. The plate was then placed in a Tecan Sunrise plate reader, heated to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Plates were incubated for 24 hours with automatic optical density readings at 600 nm taken every 30 minutes. OD</w:t>
      </w:r>
      <w:r>
        <w:rPr>
          <w:rStyle w:val="None A"/>
          <w:rFonts w:ascii="Arial" w:hAnsi="Arial"/>
          <w:sz w:val="22"/>
          <w:szCs w:val="22"/>
          <w:vertAlign w:val="subscript"/>
          <w:rtl w:val="0"/>
          <w:lang w:val="en-US"/>
        </w:rPr>
        <w:t>600</w:t>
      </w:r>
      <w:r>
        <w:rPr>
          <w:rStyle w:val="None A"/>
          <w:rFonts w:ascii="Arial" w:hAnsi="Arial"/>
          <w:sz w:val="22"/>
          <w:szCs w:val="22"/>
          <w:rtl w:val="0"/>
          <w:lang w:val="en-US"/>
        </w:rPr>
        <w:t xml:space="preserve"> values were normalized to readings from wells containing sterile media of the same type at equal time of incubation. Growth rates and other curve metrics were determined by differentiation analysis of the measured OD</w:t>
      </w:r>
      <w:r>
        <w:rPr>
          <w:rStyle w:val="None A"/>
          <w:rFonts w:ascii="Arial" w:hAnsi="Arial"/>
          <w:sz w:val="22"/>
          <w:szCs w:val="22"/>
          <w:vertAlign w:val="subscript"/>
          <w:rtl w:val="0"/>
          <w:lang w:val="en-US"/>
        </w:rPr>
        <w:t>600</w:t>
      </w:r>
      <w:r>
        <w:rPr>
          <w:rStyle w:val="None A"/>
          <w:rFonts w:ascii="Arial" w:hAnsi="Arial"/>
          <w:sz w:val="22"/>
          <w:szCs w:val="22"/>
          <w:rtl w:val="0"/>
          <w:lang w:val="en-US"/>
        </w:rPr>
        <w:t xml:space="preserve"> over time in R to obtain the slope at each time point. Significant differences were determined by 2-way ANOVA with Holm-Bonferroni correction.</w:t>
      </w:r>
    </w:p>
    <w:p>
      <w:pPr>
        <w:pStyle w:val="Default"/>
        <w:shd w:val="clear" w:color="auto" w:fill="ffffff"/>
        <w:spacing w:line="480" w:lineRule="auto"/>
        <w:jc w:val="both"/>
        <w:rPr>
          <w:rFonts w:ascii="Arial" w:cs="Arial" w:hAnsi="Arial" w:eastAsia="Arial"/>
          <w:sz w:val="22"/>
          <w:szCs w:val="22"/>
        </w:rPr>
      </w:pPr>
    </w:p>
    <w:p>
      <w:pPr>
        <w:pStyle w:val="Text body"/>
        <w:shd w:val="clear" w:color="auto" w:fill="ffffff"/>
        <w:spacing w:line="480" w:lineRule="auto"/>
        <w:ind w:left="480" w:hanging="480"/>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Figure Legends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Table 1 | Antibiotics used during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infection models.</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pPr>
      <w:r>
        <w:rPr>
          <w:rStyle w:val="None A"/>
          <w:rFonts w:ascii="Arial" w:hAnsi="Arial"/>
          <w:b w:val="1"/>
          <w:bCs w:val="1"/>
          <w:sz w:val="22"/>
          <w:szCs w:val="22"/>
          <w:rtl w:val="0"/>
          <w:lang w:val="en-US"/>
        </w:rPr>
        <w:t xml:space="preserve">Figure 1 | Experimental time line for antibiotic treatment and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infection. </w:t>
      </w:r>
      <w:r>
        <w:rPr>
          <w:rStyle w:val="None A"/>
          <w:rFonts w:ascii="Arial" w:hAnsi="Arial"/>
          <w:sz w:val="22"/>
          <w:szCs w:val="22"/>
          <w:rtl w:val="0"/>
          <w:lang w:val="en-US"/>
        </w:rPr>
        <w:t xml:space="preserve"> </w:t>
      </w:r>
      <w:r>
        <w:rPr>
          <w:rStyle w:val="None A"/>
          <w:rFonts w:ascii="Arial" w:hAnsi="Arial"/>
          <w:b w:val="1"/>
          <w:bCs w:val="1"/>
          <w:sz w:val="22"/>
          <w:szCs w:val="22"/>
          <w:rtl w:val="0"/>
          <w:lang w:val="en-US"/>
        </w:rPr>
        <w:t>(a)</w:t>
      </w:r>
      <w:r>
        <w:rPr>
          <w:rStyle w:val="None A"/>
          <w:rFonts w:ascii="Arial" w:hAnsi="Arial"/>
          <w:sz w:val="22"/>
          <w:szCs w:val="22"/>
          <w:rtl w:val="0"/>
          <w:lang w:val="en-US"/>
        </w:rPr>
        <w:t xml:space="preserve"> ad libitum. </w:t>
      </w:r>
      <w:r>
        <w:rPr>
          <w:rStyle w:val="None A"/>
          <w:rFonts w:ascii="Arial" w:hAnsi="Arial"/>
          <w:b w:val="1"/>
          <w:bCs w:val="1"/>
          <w:sz w:val="22"/>
          <w:szCs w:val="22"/>
          <w:rtl w:val="0"/>
          <w:lang w:val="en-US"/>
        </w:rPr>
        <w:t>(b)</w:t>
      </w:r>
      <w:r>
        <w:rPr>
          <w:rStyle w:val="None A"/>
          <w:rFonts w:ascii="Arial" w:hAnsi="Arial"/>
          <w:sz w:val="22"/>
          <w:szCs w:val="22"/>
          <w:rtl w:val="0"/>
          <w:lang w:val="en-US"/>
        </w:rPr>
        <w:t xml:space="preserve"> ip injection. </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pPr>
      <w:r>
        <w:rPr>
          <w:rStyle w:val="None A"/>
          <w:rFonts w:ascii="Arial" w:hAnsi="Arial"/>
          <w:b w:val="1"/>
          <w:bCs w:val="1"/>
          <w:sz w:val="22"/>
          <w:szCs w:val="22"/>
          <w:rtl w:val="0"/>
          <w:lang w:val="en-US"/>
        </w:rPr>
        <w:t xml:space="preserve">Figure 2 |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phenotype quantification after 18 hours of infection. </w:t>
      </w:r>
      <w:r>
        <w:rPr>
          <w:rStyle w:val="None A"/>
          <w:rFonts w:ascii="Arial" w:hAnsi="Arial"/>
          <w:sz w:val="22"/>
          <w:szCs w:val="22"/>
          <w:rtl w:val="0"/>
          <w:lang w:val="en-US"/>
        </w:rPr>
        <w:t xml:space="preserve"> Nine mice per treatment group were infected with 10</w:t>
      </w:r>
      <w:r>
        <w:rPr>
          <w:rStyle w:val="None A"/>
          <w:rFonts w:ascii="Arial" w:hAnsi="Arial"/>
          <w:sz w:val="22"/>
          <w:szCs w:val="22"/>
          <w:vertAlign w:val="superscript"/>
          <w:rtl w:val="0"/>
          <w:lang w:val="en-US"/>
        </w:rPr>
        <w:t>3</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spores. Dotted lines indicate the limit of detection for each assay. </w:t>
      </w:r>
      <w:r>
        <w:rPr>
          <w:rStyle w:val="None A"/>
          <w:rFonts w:ascii="Arial" w:hAnsi="Arial"/>
          <w:b w:val="1"/>
          <w:bCs w:val="1"/>
          <w:sz w:val="22"/>
          <w:szCs w:val="22"/>
          <w:rtl w:val="0"/>
          <w:lang w:val="en-US"/>
        </w:rPr>
        <w:t>(a)</w:t>
      </w:r>
      <w:r>
        <w:rPr>
          <w:rStyle w:val="None A"/>
          <w:rFonts w:ascii="Arial" w:hAnsi="Arial"/>
          <w:sz w:val="22"/>
          <w:szCs w:val="22"/>
          <w:rtl w:val="0"/>
          <w:lang w:val="en-US"/>
        </w:rPr>
        <w:t xml:space="preserve"> Toxin titer from cecal content measured by activity in Vero cell rounding assay.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monoassociated with germfree mice displayed significantly more toxin activity than any antibiotic treatment (corrected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-values &lt; 0.05). </w:t>
      </w:r>
      <w:r>
        <w:rPr>
          <w:rStyle w:val="None A"/>
          <w:rFonts w:ascii="Arial" w:hAnsi="Arial"/>
          <w:b w:val="1"/>
          <w:bCs w:val="1"/>
          <w:sz w:val="22"/>
          <w:szCs w:val="22"/>
          <w:rtl w:val="0"/>
          <w:lang w:val="en-US"/>
        </w:rPr>
        <w:t>(b)</w:t>
      </w:r>
      <w:r>
        <w:rPr>
          <w:rStyle w:val="None A"/>
          <w:rFonts w:ascii="Arial" w:hAnsi="Arial"/>
          <w:sz w:val="22"/>
          <w:szCs w:val="22"/>
          <w:rtl w:val="0"/>
          <w:lang w:val="en-US"/>
        </w:rPr>
        <w:t xml:space="preserve"> Vegetative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CFU and </w:t>
      </w:r>
      <w:r>
        <w:rPr>
          <w:rStyle w:val="None A"/>
          <w:rFonts w:ascii="Arial" w:hAnsi="Arial"/>
          <w:b w:val="1"/>
          <w:bCs w:val="1"/>
          <w:sz w:val="22"/>
          <w:szCs w:val="22"/>
          <w:rtl w:val="0"/>
          <w:lang w:val="en-US"/>
        </w:rPr>
        <w:t xml:space="preserve">(c)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spore CFU. No statistical differences were observed in vegetative cell quantification, however germfree mice had significantly more spores than antibiotic treatment groups (corrected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-values &lt; 0.05). Grey asterisks indicate significant differences between all other groups (corrected </w:t>
      </w:r>
      <w:r>
        <w:rPr>
          <w:rStyle w:val="None A"/>
          <w:rFonts w:ascii="Arial" w:hAnsi="Arial"/>
          <w:i w:val="1"/>
          <w:iCs w:val="1"/>
          <w:sz w:val="22"/>
          <w:szCs w:val="22"/>
          <w:rtl w:val="0"/>
          <w:lang w:val="en-US"/>
        </w:rPr>
        <w:t>p</w:t>
      </w:r>
      <w:r>
        <w:rPr>
          <w:rStyle w:val="None A"/>
          <w:rFonts w:ascii="Arial" w:hAnsi="Arial"/>
          <w:sz w:val="22"/>
          <w:szCs w:val="22"/>
          <w:rtl w:val="0"/>
          <w:lang w:val="en-US"/>
        </w:rPr>
        <w:t>-values &lt;&lt; 0.01). Undetectable points are shown just below the dotted line, however differences were calculated for these points using the limit of detection.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hAnsi="Arial"/>
          <w:b w:val="1"/>
          <w:bCs w:val="1"/>
          <w:sz w:val="22"/>
          <w:szCs w:val="22"/>
          <w:rtl w:val="0"/>
          <w:lang w:val="en-US"/>
        </w:rPr>
        <w:t xml:space="preserve">Figure 3 | Select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gene set expression compared between treatment group. </w:t>
      </w:r>
      <w:r>
        <w:rPr>
          <w:rStyle w:val="None A"/>
          <w:rFonts w:ascii="Arial" w:hAnsi="Arial"/>
          <w:sz w:val="22"/>
          <w:szCs w:val="22"/>
          <w:rtl w:val="0"/>
          <w:lang w:val="en-US"/>
        </w:rPr>
        <w:t xml:space="preserve">The median of rarefied relative abundance of transcript for each gene of interest.  Subsampling was performed over 1000 iterations to 2000 sequences per abs treated group and 300 in gf (poorer mapping due to lower quality RNA). </w:t>
      </w:r>
      <w:r>
        <w:rPr>
          <w:rStyle w:val="None A"/>
          <w:rFonts w:ascii="Arial" w:hAnsi="Arial"/>
          <w:b w:val="1"/>
          <w:bCs w:val="1"/>
          <w:sz w:val="22"/>
          <w:szCs w:val="22"/>
          <w:rtl w:val="0"/>
          <w:lang w:val="en-US"/>
        </w:rPr>
        <w:t>(a)</w:t>
      </w:r>
      <w:r>
        <w:rPr>
          <w:rStyle w:val="None A"/>
          <w:rFonts w:ascii="Arial" w:hAnsi="Arial"/>
          <w:sz w:val="22"/>
          <w:szCs w:val="22"/>
          <w:rtl w:val="0"/>
          <w:lang w:val="en-US"/>
        </w:rPr>
        <w:t xml:space="preserve"> Select genes from the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sporulation pathway with the greatest variation in expression between the conditions tested. </w:t>
      </w:r>
      <w:r>
        <w:rPr>
          <w:rStyle w:val="None A"/>
          <w:rFonts w:ascii="Arial" w:hAnsi="Arial"/>
          <w:b w:val="1"/>
          <w:bCs w:val="1"/>
          <w:sz w:val="22"/>
          <w:szCs w:val="22"/>
          <w:rtl w:val="0"/>
          <w:lang w:val="en-US"/>
        </w:rPr>
        <w:t>(b)</w:t>
      </w:r>
      <w:r>
        <w:rPr>
          <w:rStyle w:val="None A"/>
          <w:rFonts w:ascii="Arial" w:hAnsi="Arial"/>
          <w:sz w:val="22"/>
          <w:szCs w:val="22"/>
          <w:rtl w:val="0"/>
          <w:lang w:val="en-US"/>
        </w:rPr>
        <w:t xml:space="preserve"> Genes that have been associated with quorum sensing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t>
      </w:r>
      <w:r>
        <w:rPr>
          <w:rStyle w:val="None A"/>
          <w:rFonts w:ascii="Arial" w:hAnsi="Arial"/>
          <w:b w:val="1"/>
          <w:bCs w:val="1"/>
          <w:sz w:val="22"/>
          <w:szCs w:val="22"/>
          <w:rtl w:val="0"/>
          <w:lang w:val="en-US"/>
        </w:rPr>
        <w:t>(c)</w:t>
      </w:r>
      <w:r>
        <w:rPr>
          <w:rStyle w:val="None A"/>
          <w:rFonts w:ascii="Arial" w:hAnsi="Arial"/>
          <w:sz w:val="22"/>
          <w:szCs w:val="22"/>
          <w:rtl w:val="0"/>
          <w:lang w:val="en-US"/>
        </w:rPr>
        <w:t xml:space="preserve"> Genes including those in C. difficile pathogenicity locus as well as the binary toxin regulator </w:t>
      </w:r>
      <w:r>
        <w:rPr>
          <w:rStyle w:val="None A"/>
          <w:rFonts w:ascii="Arial" w:hAnsi="Arial"/>
          <w:i w:val="1"/>
          <w:iCs w:val="1"/>
          <w:sz w:val="22"/>
          <w:szCs w:val="22"/>
          <w:rtl w:val="0"/>
          <w:lang w:val="en-US"/>
        </w:rPr>
        <w:t>cdtR</w:t>
      </w:r>
      <w:r>
        <w:rPr>
          <w:rStyle w:val="None A"/>
          <w:rFonts w:ascii="Arial" w:hAnsi="Arial"/>
          <w:sz w:val="22"/>
          <w:szCs w:val="22"/>
          <w:rtl w:val="0"/>
          <w:lang w:val="en-US"/>
        </w:rPr>
        <w:t xml:space="preserve">. </w:t>
      </w:r>
      <w:r>
        <w:rPr>
          <w:rStyle w:val="None A"/>
          <w:rFonts w:ascii="Arial" w:hAnsi="Arial"/>
          <w:b w:val="1"/>
          <w:bCs w:val="1"/>
          <w:sz w:val="22"/>
          <w:szCs w:val="22"/>
          <w:rtl w:val="0"/>
          <w:lang w:val="en-US"/>
        </w:rPr>
        <w:t>(d)</w:t>
      </w:r>
      <w:r>
        <w:rPr>
          <w:rStyle w:val="None A"/>
          <w:rFonts w:ascii="Arial" w:hAnsi="Arial"/>
          <w:sz w:val="22"/>
          <w:szCs w:val="22"/>
          <w:rtl w:val="0"/>
          <w:lang w:val="en-US"/>
        </w:rPr>
        <w:t xml:space="preserve"> Select sigma factors, several of which expression/activity has been linked to environment nutrient concentrations including </w:t>
      </w:r>
      <w:r>
        <w:rPr>
          <w:rStyle w:val="None A"/>
          <w:rFonts w:ascii="Arial" w:hAnsi="Arial"/>
          <w:i w:val="1"/>
          <w:iCs w:val="1"/>
          <w:sz w:val="22"/>
          <w:szCs w:val="22"/>
          <w:rtl w:val="0"/>
          <w:lang w:val="en-US"/>
        </w:rPr>
        <w:t>ccpA</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codY</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prdR</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rex</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sigH</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spo0A</w:t>
      </w:r>
      <w:r>
        <w:rPr>
          <w:rStyle w:val="None A"/>
          <w:rFonts w:ascii="Arial" w:hAnsi="Arial"/>
          <w:sz w:val="22"/>
          <w:szCs w:val="22"/>
          <w:rtl w:val="0"/>
          <w:lang w:val="en-US"/>
        </w:rPr>
        <w:t>. Expression of both sigF and sigK control later stages of the sporulation pathway.</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Figure 4 |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expression of gene sets for alternative carbon metabolism across antibiotic pretreatments. </w:t>
      </w:r>
      <w:r>
        <w:rPr>
          <w:rStyle w:val="None A"/>
          <w:rFonts w:ascii="Arial" w:hAnsi="Arial"/>
          <w:sz w:val="22"/>
          <w:szCs w:val="22"/>
          <w:rtl w:val="0"/>
          <w:lang w:val="en-US"/>
        </w:rPr>
        <w:t xml:space="preserve">Ternary plot of all genes with with any transcripts mapping to them are included. Coordinates for each gene are determined based on their relative abundance across each of the antibiotic treatment. </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(a)</w:t>
      </w:r>
    </w:p>
    <w:p>
      <w:pPr>
        <w:pStyle w:val="Default"/>
        <w:shd w:val="clear" w:color="auto" w:fill="ffffff"/>
        <w:spacing w:line="480" w:lineRule="auto"/>
        <w:jc w:val="both"/>
      </w:pPr>
      <w:r>
        <w:rPr>
          <w:rStyle w:val="None A"/>
          <w:rFonts w:ascii="Arial" w:hAnsi="Arial"/>
          <w:sz w:val="22"/>
          <w:szCs w:val="22"/>
          <w:rtl w:val="0"/>
          <w:lang w:val="en-US"/>
        </w:rPr>
        <w:t xml:space="preserve">The more over-represented transcription of a gene is in a single condition, the more it is placed near the corner corresponding to that treatment. Points placed near the center have equal expression in each of the conditions measured, conversely those genes toward the sides and corners are overrepresented in the groups associated with those edges. Colored points within each gene set are sized relative to the greatest transcript abundance among the three conditions. Point sizes were determined based on the expression from the condition with the highest expression of each gene. Groups from </w:t>
      </w:r>
      <w:r>
        <w:rPr>
          <w:rStyle w:val="None A"/>
          <w:rFonts w:ascii="Arial" w:hAnsi="Arial"/>
          <w:b w:val="1"/>
          <w:bCs w:val="1"/>
          <w:sz w:val="22"/>
          <w:szCs w:val="22"/>
          <w:rtl w:val="0"/>
          <w:lang w:val="en-US"/>
        </w:rPr>
        <w:t>(a)</w:t>
      </w:r>
      <w:r>
        <w:rPr>
          <w:rStyle w:val="None A"/>
          <w:rFonts w:ascii="Arial" w:hAnsi="Arial"/>
          <w:sz w:val="22"/>
          <w:szCs w:val="22"/>
          <w:rtl w:val="0"/>
          <w:lang w:val="en-US"/>
        </w:rPr>
        <w:t xml:space="preserve"> are also plotted separately in without size differences so all points are visible </w:t>
      </w:r>
      <w:r>
        <w:rPr>
          <w:rStyle w:val="None A"/>
          <w:rFonts w:ascii="Arial" w:hAnsi="Arial"/>
          <w:b w:val="1"/>
          <w:bCs w:val="1"/>
          <w:sz w:val="22"/>
          <w:szCs w:val="22"/>
          <w:rtl w:val="0"/>
          <w:lang w:val="en-US"/>
        </w:rPr>
        <w:t>(b - i)</w:t>
      </w:r>
      <w:r>
        <w:rPr>
          <w:rStyle w:val="None A"/>
          <w:rFonts w:ascii="Arial" w:hAnsi="Arial"/>
          <w:sz w:val="22"/>
          <w:szCs w:val="22"/>
          <w:rtl w:val="0"/>
          <w:lang w:val="en-US"/>
        </w:rPr>
        <w:t>.</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shd w:val="clear" w:color="auto" w:fill="00ffff"/>
          <w:rtl w:val="0"/>
          <w:lang w:val="en-US"/>
        </w:rPr>
        <w:t xml:space="preserve">Mapped transcript read counts again were rarefied iteratively and the means of each gene were plotted as relative abundances along the three axes for the antibiotic pretreatment groups (Fig. 3). Each point represents a unique gene from the annotated genome of </w:t>
      </w:r>
      <w:r>
        <w:rPr>
          <w:rStyle w:val="None A"/>
          <w:rFonts w:ascii="Arial" w:hAnsi="Arial"/>
          <w:i w:val="1"/>
          <w:iCs w:val="1"/>
          <w:sz w:val="22"/>
          <w:szCs w:val="22"/>
          <w:shd w:val="clear" w:color="auto" w:fill="00ffff"/>
          <w:rtl w:val="0"/>
          <w:lang w:val="en-US"/>
        </w:rPr>
        <w:t>C. difficile</w:t>
      </w:r>
      <w:r>
        <w:rPr>
          <w:rStyle w:val="None A"/>
          <w:rFonts w:ascii="Arial" w:hAnsi="Arial"/>
          <w:sz w:val="22"/>
          <w:szCs w:val="22"/>
          <w:shd w:val="clear" w:color="auto" w:fill="00ffff"/>
          <w:rtl w:val="0"/>
          <w:lang w:val="en-US"/>
        </w:rPr>
        <w:t xml:space="preserve"> str. 630 with position reflecting the ratio of transcription for that gene in all three antibiotic pretreatments. Points near a corner indicates approximately 100% of the total transcription for that gene across all pretreatments is contributed by </w:t>
      </w:r>
      <w:r>
        <w:rPr>
          <w:rStyle w:val="None A"/>
          <w:rFonts w:ascii="Arial" w:hAnsi="Arial"/>
          <w:i w:val="1"/>
          <w:iCs w:val="1"/>
          <w:sz w:val="22"/>
          <w:szCs w:val="22"/>
          <w:shd w:val="clear" w:color="auto" w:fill="00ffff"/>
          <w:rtl w:val="0"/>
          <w:lang w:val="en-US"/>
        </w:rPr>
        <w:t>C. difficile</w:t>
      </w:r>
      <w:r>
        <w:rPr>
          <w:rStyle w:val="None A"/>
          <w:rFonts w:ascii="Arial" w:hAnsi="Arial"/>
          <w:sz w:val="22"/>
          <w:szCs w:val="22"/>
          <w:shd w:val="clear" w:color="auto" w:fill="00ffff"/>
          <w:rtl w:val="0"/>
          <w:lang w:val="en-US"/>
        </w:rPr>
        <w:t xml:space="preserve"> that has colonized mice given the antibiotic associated with given corner. By extension, points that are closer to the center of the plot area demonstrate nearly equal expression across each condition and imply that these functions may be constitutively expressed. Furthermore, a point directly along an axis conveys that 0% of its measured expression was found in the  condition associated with the opposite corner. Genes included in each group and subsampled abundances can be found in Table S2.</w:t>
      </w:r>
    </w:p>
    <w:p>
      <w:pPr>
        <w:pStyle w:val="Default"/>
        <w:shd w:val="clear" w:color="auto" w:fill="ffffff"/>
        <w:spacing w:line="480" w:lineRule="auto"/>
        <w:jc w:val="both"/>
      </w:pPr>
      <w:r>
        <w:rPr>
          <w:rStyle w:val="None A"/>
          <w:rFonts w:ascii="Arial" w:hAnsi="Arial"/>
          <w:b w:val="1"/>
          <w:bCs w:val="1"/>
          <w:sz w:val="22"/>
          <w:szCs w:val="22"/>
          <w:rtl w:val="0"/>
          <w:lang w:val="en-US"/>
        </w:rPr>
        <w:t xml:space="preserve">Figure 5 | Genome-scale bipartite metabolic modeling results using the transcriptome of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str. 630 in each colonized environment. A) </w:t>
      </w:r>
      <w:r>
        <w:rPr>
          <w:rStyle w:val="None A"/>
          <w:rFonts w:ascii="Arial" w:hAnsi="Arial"/>
          <w:sz w:val="22"/>
          <w:szCs w:val="22"/>
          <w:rtl w:val="0"/>
          <w:lang w:val="en-US"/>
        </w:rPr>
        <w:t xml:space="preserve">Largest component from the bipartite genome-scale metabolic model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This portion of the graph includes 1070 nodes (404 enymes and 666 metabolites), with 2000 edges connecting them. The size of enzyme nodes is relative to the number of normalized reads mapping to nucleotide gene sequence.</w:t>
      </w:r>
      <w:r>
        <w:rPr>
          <w:rStyle w:val="None A"/>
          <w:rFonts w:ascii="Arial" w:hAnsi="Arial"/>
          <w:b w:val="1"/>
          <w:bCs w:val="1"/>
          <w:sz w:val="22"/>
          <w:szCs w:val="22"/>
          <w:rtl w:val="0"/>
          <w:lang w:val="en-US"/>
        </w:rPr>
        <w:t xml:space="preserve"> </w:t>
      </w:r>
      <w:r>
        <w:rPr>
          <w:rStyle w:val="None A"/>
          <w:rFonts w:ascii="Arial" w:hAnsi="Arial"/>
          <w:sz w:val="22"/>
          <w:szCs w:val="22"/>
          <w:rtl w:val="0"/>
          <w:lang w:val="en-US"/>
        </w:rPr>
        <w:t xml:space="preserve">Transcript abundances are from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during infection of cefoperazone treated mice. The expanded window displays metabolite importance algorithm and an example of a single importance calculation based on local gene transcription. </w:t>
      </w:r>
      <w:r>
        <w:rPr>
          <w:rStyle w:val="None A"/>
          <w:rFonts w:ascii="Arial" w:hAnsi="Arial"/>
          <w:b w:val="1"/>
          <w:bCs w:val="1"/>
          <w:sz w:val="22"/>
          <w:szCs w:val="22"/>
          <w:rtl w:val="0"/>
          <w:lang w:val="en-US"/>
        </w:rPr>
        <w:t>B)</w:t>
      </w:r>
      <w:r>
        <w:rPr>
          <w:rStyle w:val="None A"/>
          <w:rFonts w:ascii="Arial" w:hAnsi="Arial"/>
          <w:sz w:val="22"/>
          <w:szCs w:val="22"/>
          <w:rtl w:val="0"/>
          <w:lang w:val="en-US"/>
        </w:rPr>
        <w:t xml:space="preserve"> shared metabolites</w:t>
      </w:r>
    </w:p>
    <w:p>
      <w:pPr>
        <w:pStyle w:val="Default"/>
        <w:shd w:val="clear" w:color="auto" w:fill="ffffff"/>
        <w:spacing w:line="480" w:lineRule="auto"/>
        <w:jc w:val="both"/>
      </w:pPr>
      <w:r>
        <w:rPr>
          <w:rStyle w:val="None A"/>
          <w:rFonts w:ascii="Arial" w:hAnsi="Arial"/>
          <w:b w:val="1"/>
          <w:bCs w:val="1"/>
          <w:sz w:val="22"/>
          <w:szCs w:val="22"/>
          <w:rtl w:val="0"/>
          <w:lang w:val="en-US"/>
        </w:rPr>
        <w:t xml:space="preserve">C) </w:t>
      </w:r>
      <w:r>
        <w:rPr>
          <w:rStyle w:val="None A"/>
          <w:rFonts w:ascii="Arial" w:hAnsi="Arial"/>
          <w:sz w:val="22"/>
          <w:szCs w:val="22"/>
          <w:rtl w:val="0"/>
          <w:lang w:val="en-US"/>
        </w:rPr>
        <w:t>Top scoring unique important metabolites in each antibiotic treatment, top 25 from all were cross-referenced to each other. Monte Carlo simulated means are indicated by vertical lines, all metabolites are calculated as more important than if transcripts abundances were randomly assigned throughout the entire metabolic network. D</w:t>
      </w:r>
      <w:r>
        <w:rPr>
          <w:rStyle w:val="None A"/>
          <w:rFonts w:ascii="Arial" w:hAnsi="Arial"/>
          <w:b w:val="1"/>
          <w:bCs w:val="1"/>
          <w:sz w:val="22"/>
          <w:szCs w:val="22"/>
          <w:rtl w:val="0"/>
          <w:lang w:val="en-US"/>
        </w:rPr>
        <w:t xml:space="preserve">) </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growth curves validating identified growth nutrients from (B). In black are CDMM controls variations with the indicated constituents. At least one experimental metabolite indicated as uniquely important from each group supports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significantly more than </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Glucose + Amino Acids controls (corrected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-values &lt;&lt; 0.001, F-values &gt; ). </w:t>
      </w:r>
      <w:r>
        <w:rPr>
          <w:rStyle w:val="None A"/>
          <w:rFonts w:ascii="Arial" w:hAnsi="Arial"/>
          <w:b w:val="1"/>
          <w:bCs w:val="1"/>
          <w:sz w:val="22"/>
          <w:szCs w:val="22"/>
          <w:rtl w:val="0"/>
          <w:lang w:val="en-US"/>
        </w:rPr>
        <w:t>E)</w:t>
      </w:r>
      <w:r>
        <w:rPr>
          <w:rStyle w:val="None A"/>
          <w:rFonts w:ascii="Arial" w:hAnsi="Arial"/>
          <w:sz w:val="22"/>
          <w:szCs w:val="22"/>
          <w:rtl w:val="0"/>
          <w:lang w:val="en-US"/>
        </w:rPr>
        <w:t xml:space="preserve"> combinations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Supplementary Figure 1 |  Spore % of total CFU and toxin to spore correlations. </w:t>
      </w:r>
      <w:r>
        <w:rPr>
          <w:rStyle w:val="None A"/>
          <w:rFonts w:ascii="Arial" w:hAnsi="Arial"/>
          <w:sz w:val="22"/>
          <w:szCs w:val="22"/>
          <w:rtl w:val="0"/>
          <w:lang w:val="en-US"/>
        </w:rPr>
        <w:t xml:space="preserve">Continued analysis of wetlab phenotypic data. </w:t>
      </w:r>
      <w:r>
        <w:rPr>
          <w:rStyle w:val="None A"/>
          <w:rFonts w:ascii="Arial" w:hAnsi="Arial"/>
          <w:b w:val="1"/>
          <w:bCs w:val="1"/>
          <w:sz w:val="22"/>
          <w:szCs w:val="22"/>
          <w:rtl w:val="0"/>
          <w:lang w:val="en-US"/>
        </w:rPr>
        <w:t>A)</w:t>
      </w:r>
      <w:r>
        <w:rPr>
          <w:rStyle w:val="None A"/>
          <w:rFonts w:ascii="Arial" w:hAnsi="Arial"/>
          <w:sz w:val="22"/>
          <w:szCs w:val="22"/>
          <w:rtl w:val="0"/>
          <w:lang w:val="en-US"/>
        </w:rPr>
        <w:t xml:space="preserve"> Spore %. </w:t>
      </w:r>
      <w:r>
        <w:rPr>
          <w:rStyle w:val="None A"/>
          <w:rFonts w:ascii="Arial" w:hAnsi="Arial"/>
          <w:b w:val="1"/>
          <w:bCs w:val="1"/>
          <w:sz w:val="22"/>
          <w:szCs w:val="22"/>
          <w:rtl w:val="0"/>
          <w:lang w:val="en-US"/>
        </w:rPr>
        <w:t>B)</w:t>
      </w:r>
      <w:r>
        <w:rPr>
          <w:rStyle w:val="None A"/>
          <w:rFonts w:ascii="Arial" w:hAnsi="Arial"/>
          <w:sz w:val="22"/>
          <w:szCs w:val="22"/>
          <w:rtl w:val="0"/>
          <w:lang w:val="en-US"/>
        </w:rPr>
        <w:t xml:space="preserve"> Spore toxin correlation w/o germfree. </w:t>
      </w:r>
      <w:r>
        <w:rPr>
          <w:rStyle w:val="None A"/>
          <w:rFonts w:ascii="Arial" w:hAnsi="Arial"/>
          <w:b w:val="1"/>
          <w:bCs w:val="1"/>
          <w:sz w:val="22"/>
          <w:szCs w:val="22"/>
          <w:rtl w:val="0"/>
          <w:lang w:val="en-US"/>
        </w:rPr>
        <w:t>C)</w:t>
      </w:r>
      <w:r>
        <w:rPr>
          <w:rStyle w:val="None A"/>
          <w:rFonts w:ascii="Arial" w:hAnsi="Arial"/>
          <w:sz w:val="22"/>
          <w:szCs w:val="22"/>
          <w:rtl w:val="0"/>
          <w:lang w:val="en-US"/>
        </w:rPr>
        <w:t xml:space="preserve"> Spore toxin correlation w/ germfree.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Supplementary Figure 2 |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str. 630 gene coverage for each condition. </w:t>
      </w:r>
      <w:r>
        <w:rPr>
          <w:rStyle w:val="None A"/>
          <w:rFonts w:ascii="Arial" w:hAnsi="Arial"/>
          <w:sz w:val="22"/>
          <w:szCs w:val="22"/>
          <w:rtl w:val="0"/>
          <w:lang w:val="en-US"/>
        </w:rPr>
        <w:t xml:space="preserve">Normalized read abundances mapped to the full length genome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for each of the antibiotic pretreatments.</w:t>
      </w:r>
    </w:p>
    <w:p>
      <w:pPr>
        <w:pStyle w:val="Default"/>
        <w:shd w:val="clear" w:color="auto" w:fill="ffffff"/>
        <w:spacing w:line="480" w:lineRule="auto"/>
        <w:jc w:val="both"/>
        <w:rPr>
          <w:rStyle w:val="None A"/>
          <w:rFonts w:ascii="Arial" w:cs="Arial" w:hAnsi="Arial" w:eastAsia="Arial"/>
          <w:sz w:val="22"/>
          <w:szCs w:val="22"/>
        </w:rPr>
      </w:pPr>
    </w:p>
    <w:p>
      <w:pPr>
        <w:pStyle w:val="Default"/>
        <w:shd w:val="clear" w:color="auto" w:fill="ffffff"/>
        <w:spacing w:line="480" w:lineRule="auto"/>
        <w:jc w:val="both"/>
      </w:pPr>
      <w:r>
        <w:rPr>
          <w:rStyle w:val="None A"/>
          <w:rFonts w:ascii="Arial" w:hAnsi="Arial"/>
          <w:b w:val="1"/>
          <w:bCs w:val="1"/>
          <w:sz w:val="22"/>
          <w:szCs w:val="22"/>
          <w:rtl w:val="0"/>
          <w:lang w:val="en-US"/>
        </w:rPr>
        <w:t xml:space="preserve">Supplementary Figure  |  </w:t>
      </w:r>
      <w:r>
        <w:rPr>
          <w:rStyle w:val="None A"/>
          <w:rFonts w:ascii="Arial" w:hAnsi="Arial"/>
          <w:b w:val="1"/>
          <w:bCs w:val="1"/>
          <w:i w:val="1"/>
          <w:iCs w:val="1"/>
          <w:sz w:val="22"/>
          <w:szCs w:val="22"/>
          <w:rtl w:val="0"/>
          <w:lang w:val="en-US"/>
        </w:rPr>
        <w:t>cdtR expression</w:t>
      </w:r>
      <w:r>
        <w:rPr>
          <w:rStyle w:val="None A"/>
          <w:rFonts w:ascii="Arial" w:hAnsi="Arial"/>
          <w:b w:val="1"/>
          <w:bCs w:val="1"/>
          <w:sz w:val="22"/>
          <w:szCs w:val="22"/>
          <w:rtl w:val="0"/>
          <w:lang w:val="en-US"/>
        </w:rPr>
        <w:t xml:space="preserve"> </w:t>
      </w:r>
      <w:r>
        <w:rPr>
          <w:rStyle w:val="None A"/>
          <w:rFonts w:ascii="Arial" w:hAnsi="Arial"/>
          <w:sz w:val="22"/>
          <w:szCs w:val="22"/>
          <w:rtl w:val="0"/>
          <w:lang w:val="en-US"/>
        </w:rPr>
        <w:t xml:space="preserve">High expression of </w:t>
      </w:r>
      <w:r>
        <w:rPr>
          <w:rStyle w:val="None A"/>
          <w:rFonts w:ascii="Arial" w:hAnsi="Arial"/>
          <w:i w:val="1"/>
          <w:iCs w:val="1"/>
          <w:sz w:val="22"/>
          <w:szCs w:val="22"/>
          <w:rtl w:val="0"/>
          <w:lang w:val="en-US"/>
        </w:rPr>
        <w:t>cdtR</w:t>
      </w:r>
      <w:r>
        <w:rPr>
          <w:rStyle w:val="None A"/>
          <w:rFonts w:ascii="Arial" w:hAnsi="Arial"/>
          <w:sz w:val="22"/>
          <w:szCs w:val="22"/>
          <w:rtl w:val="0"/>
          <w:lang w:val="en-US"/>
        </w:rPr>
        <w:t xml:space="preserve">, the positive regulator of binary toxin production, was detected in cefoperazone and to a smaller degree in streptomycin-treated mice. This is in spite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possessing neither </w:t>
      </w:r>
      <w:r>
        <w:rPr>
          <w:rStyle w:val="None A"/>
          <w:rFonts w:ascii="Arial" w:hAnsi="Arial"/>
          <w:i w:val="1"/>
          <w:iCs w:val="1"/>
          <w:sz w:val="22"/>
          <w:szCs w:val="22"/>
          <w:rtl w:val="0"/>
          <w:lang w:val="en-US"/>
        </w:rPr>
        <w:t>cdtA</w:t>
      </w:r>
      <w:r>
        <w:rPr>
          <w:rStyle w:val="None A"/>
          <w:rFonts w:ascii="Arial" w:hAnsi="Arial"/>
          <w:sz w:val="22"/>
          <w:szCs w:val="22"/>
          <w:rtl w:val="0"/>
          <w:lang w:val="en-US"/>
        </w:rPr>
        <w:t xml:space="preserve"> nor </w:t>
      </w:r>
      <w:r>
        <w:rPr>
          <w:rStyle w:val="None A"/>
          <w:rFonts w:ascii="Arial" w:hAnsi="Arial"/>
          <w:i w:val="1"/>
          <w:iCs w:val="1"/>
          <w:sz w:val="22"/>
          <w:szCs w:val="22"/>
          <w:rtl w:val="0"/>
          <w:lang w:val="en-US"/>
        </w:rPr>
        <w:t>cdtB</w:t>
      </w:r>
      <w:r>
        <w:rPr>
          <w:rStyle w:val="None A"/>
          <w:rFonts w:ascii="Arial" w:hAnsi="Arial"/>
          <w:sz w:val="22"/>
          <w:szCs w:val="22"/>
          <w:rtl w:val="0"/>
          <w:lang w:val="en-US"/>
        </w:rPr>
        <w:t xml:space="preserve"> genes.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Supplementary Figure 3 |  Expression of specific KEGG gene families. </w:t>
      </w:r>
      <w:r>
        <w:rPr>
          <w:rStyle w:val="None A"/>
          <w:rFonts w:ascii="Arial" w:hAnsi="Arial"/>
          <w:sz w:val="22"/>
          <w:szCs w:val="22"/>
          <w:rtl w:val="0"/>
          <w:lang w:val="en-US"/>
        </w:rPr>
        <w:t>Description. A). B). C).</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Supplementary Figure 4 |  Substrate scores outside of at least two standard deviations from simulated means. </w:t>
      </w:r>
      <w:r>
        <w:rPr>
          <w:rStyle w:val="None A"/>
          <w:rFonts w:ascii="Arial" w:hAnsi="Arial"/>
          <w:sz w:val="22"/>
          <w:szCs w:val="22"/>
          <w:rtl w:val="0"/>
          <w:lang w:val="en-US"/>
        </w:rPr>
        <w:t>Description. A). B). C).</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ind w:left="480" w:hanging="480"/>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 xml:space="preserve">Supplementary Figure 5 |  Additional growth curves. </w:t>
      </w:r>
      <w:r>
        <w:rPr>
          <w:rStyle w:val="None A"/>
          <w:rFonts w:ascii="Arial" w:hAnsi="Arial"/>
          <w:sz w:val="22"/>
          <w:szCs w:val="22"/>
          <w:rtl w:val="0"/>
          <w:lang w:val="en-US"/>
        </w:rPr>
        <w:t>Description.</w:t>
      </w:r>
    </w:p>
    <w:p>
      <w:pPr>
        <w:pStyle w:val="Text body"/>
        <w:shd w:val="clear" w:color="auto" w:fill="ffffff"/>
        <w:spacing w:line="480" w:lineRule="auto"/>
        <w:ind w:left="480" w:hanging="480"/>
        <w:jc w:val="both"/>
        <w:rPr>
          <w:rFonts w:ascii="Arial" w:cs="Arial" w:hAnsi="Arial" w:eastAsia="Arial"/>
          <w:b w:val="1"/>
          <w:bCs w:val="1"/>
          <w:sz w:val="22"/>
          <w:szCs w:val="22"/>
        </w:rPr>
      </w:pPr>
    </w:p>
    <w:p>
      <w:pPr>
        <w:pStyle w:val="Default"/>
        <w:shd w:val="clear" w:color="auto" w:fill="ffffff"/>
        <w:spacing w:line="480" w:lineRule="auto"/>
        <w:ind w:left="480" w:hanging="480"/>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 xml:space="preserve">Supplementary Figure 7 |  Acetate data supporting network output. </w:t>
      </w:r>
      <w:r>
        <w:rPr>
          <w:rStyle w:val="None A"/>
          <w:rFonts w:ascii="Arial" w:hAnsi="Arial"/>
          <w:sz w:val="22"/>
          <w:szCs w:val="22"/>
          <w:rtl w:val="0"/>
          <w:lang w:val="en-US"/>
        </w:rPr>
        <w:t>Description.</w:t>
      </w:r>
    </w:p>
    <w:p>
      <w:pPr>
        <w:pStyle w:val="Default"/>
        <w:shd w:val="clear" w:color="auto" w:fill="ffffff"/>
        <w:spacing w:line="480" w:lineRule="auto"/>
        <w:ind w:left="480" w:hanging="480"/>
        <w:jc w:val="both"/>
        <w:rPr>
          <w:rFonts w:ascii="Arial" w:cs="Arial" w:hAnsi="Arial" w:eastAsia="Arial"/>
          <w:b w:val="1"/>
          <w:bCs w:val="1"/>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Acknowledgments</w:t>
      </w:r>
    </w:p>
    <w:p>
      <w:pPr>
        <w:pStyle w:val="Default"/>
        <w:shd w:val="clear" w:color="auto" w:fill="ffffff"/>
        <w:spacing w:line="480" w:lineRule="auto"/>
        <w:jc w:val="both"/>
      </w:pPr>
      <w:r>
        <w:rPr>
          <w:rStyle w:val="None A"/>
          <w:rFonts w:ascii="Arial" w:hAnsi="Arial"/>
          <w:sz w:val="22"/>
          <w:szCs w:val="22"/>
          <w:rtl w:val="0"/>
          <w:lang w:val="en-US"/>
        </w:rPr>
        <w:t>The authors would like to acknowledge members of the University of Michigan Germ free Mouse Center, Sequencing Core, and Metabolon for their assistance in experimental design, execution, data collection, and analysis.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Conflict of Interest</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The authors declare no conflict of interest.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18"/>
          <w:szCs w:val="18"/>
        </w:rPr>
      </w:pPr>
      <w:r>
        <w:rPr>
          <w:rStyle w:val="None A"/>
          <w:rFonts w:ascii="Arial" w:hAnsi="Arial"/>
          <w:b w:val="1"/>
          <w:bCs w:val="1"/>
          <w:sz w:val="22"/>
          <w:szCs w:val="22"/>
          <w:rtl w:val="0"/>
          <w:lang w:val="en-US"/>
        </w:rPr>
        <w:t>References</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Antunes, A., Camiade, E., Monot, M., Courtois, E., Barbut, F., Sernova, N. V., &amp; Dupuy, B. (2012). Global transcriptional control by glucose and carbon regulator CcpA in Clostridium difficile. </w:t>
      </w:r>
      <w:r>
        <w:rPr>
          <w:rStyle w:val="None A"/>
          <w:rFonts w:ascii="Arial" w:hAnsi="Arial"/>
          <w:i w:val="1"/>
          <w:iCs w:val="1"/>
          <w:sz w:val="18"/>
          <w:szCs w:val="18"/>
          <w:rtl w:val="0"/>
          <w:lang w:val="en-US"/>
        </w:rPr>
        <w:t>Nucleic Acids Research</w:t>
      </w:r>
      <w:r>
        <w:rPr>
          <w:rStyle w:val="None A"/>
          <w:rFonts w:ascii="Arial" w:hAnsi="Arial"/>
          <w:sz w:val="18"/>
          <w:szCs w:val="18"/>
          <w:rtl w:val="0"/>
          <w:lang w:val="en-US"/>
        </w:rPr>
        <w:t>. http://doi.org/10.1093/nar/gks864</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Antunes, A., Martin-Verstraete, I., &amp; Dupuy, B. (2011). CcpA-mediated repression of Clostridium difficile toxin gene expression. </w:t>
      </w:r>
      <w:r>
        <w:rPr>
          <w:rStyle w:val="None A"/>
          <w:rFonts w:ascii="Arial" w:hAnsi="Arial"/>
          <w:i w:val="1"/>
          <w:iCs w:val="1"/>
          <w:sz w:val="18"/>
          <w:szCs w:val="18"/>
          <w:rtl w:val="0"/>
          <w:lang w:val="en-US"/>
        </w:rPr>
        <w:t>Molecular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79</w:t>
      </w:r>
      <w:r>
        <w:rPr>
          <w:rStyle w:val="None A"/>
          <w:rFonts w:ascii="Arial" w:hAnsi="Arial"/>
          <w:sz w:val="18"/>
          <w:szCs w:val="18"/>
          <w:rtl w:val="0"/>
          <w:lang w:val="en-US"/>
        </w:rPr>
        <w:t>(4), 882</w:t>
      </w:r>
      <w:r>
        <w:rPr>
          <w:rStyle w:val="None A"/>
          <w:rFonts w:ascii="Arial" w:hAnsi="Arial" w:hint="default"/>
          <w:sz w:val="18"/>
          <w:szCs w:val="18"/>
          <w:rtl w:val="0"/>
          <w:lang w:val="en-US"/>
        </w:rPr>
        <w:t>–</w:t>
      </w:r>
      <w:r>
        <w:rPr>
          <w:rStyle w:val="None A"/>
          <w:rFonts w:ascii="Arial" w:hAnsi="Arial"/>
          <w:sz w:val="18"/>
          <w:szCs w:val="18"/>
          <w:rtl w:val="0"/>
          <w:lang w:val="en-US"/>
        </w:rPr>
        <w:t>899. http://doi.org/10.1111/j.1365-2958.2010.07495.x</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Antunes, L. C. M., Han, J., Ferreira, R. B. R., Loli, P., Borchers, C. H., &amp; Finlay, B. B. (2011). Effect of antibiotic treatment on the intestinal metabolome. </w:t>
      </w:r>
      <w:r>
        <w:rPr>
          <w:rStyle w:val="None A"/>
          <w:rFonts w:ascii="Arial" w:hAnsi="Arial"/>
          <w:i w:val="1"/>
          <w:iCs w:val="1"/>
          <w:sz w:val="18"/>
          <w:szCs w:val="18"/>
          <w:rtl w:val="0"/>
          <w:lang w:val="en-US"/>
        </w:rPr>
        <w:t>Antimicrobial Agents and Chemotherapy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55</w:t>
      </w:r>
      <w:r>
        <w:rPr>
          <w:rStyle w:val="None A"/>
          <w:rFonts w:ascii="Arial" w:hAnsi="Arial"/>
          <w:sz w:val="18"/>
          <w:szCs w:val="18"/>
          <w:rtl w:val="0"/>
          <w:lang w:val="en-US"/>
        </w:rPr>
        <w:t>(4), 1494</w:t>
      </w:r>
      <w:r>
        <w:rPr>
          <w:rStyle w:val="None A"/>
          <w:rFonts w:ascii="Arial" w:hAnsi="Arial" w:hint="default"/>
          <w:sz w:val="18"/>
          <w:szCs w:val="18"/>
          <w:rtl w:val="0"/>
          <w:lang w:val="en-US"/>
        </w:rPr>
        <w:t>–</w:t>
      </w:r>
      <w:r>
        <w:rPr>
          <w:rStyle w:val="None A"/>
          <w:rFonts w:ascii="Arial" w:hAnsi="Arial"/>
          <w:sz w:val="18"/>
          <w:szCs w:val="18"/>
          <w:rtl w:val="0"/>
          <w:lang w:val="en-US"/>
        </w:rPr>
        <w:t>1503. http://doi.org/10.1128/AAC.01664-10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Antunes, L. C. M., Han, J., Ferreira, R. B. R., Loli, P., Borchers, C. H., &amp; Finlay, B. B. (2011). Effect of antibiotic treatment on the intestinal metabolome. </w:t>
      </w:r>
      <w:r>
        <w:rPr>
          <w:rStyle w:val="None A"/>
          <w:rFonts w:ascii="Arial" w:hAnsi="Arial"/>
          <w:i w:val="1"/>
          <w:iCs w:val="1"/>
          <w:sz w:val="18"/>
          <w:szCs w:val="18"/>
          <w:rtl w:val="0"/>
          <w:lang w:val="en-US"/>
        </w:rPr>
        <w:t>Antimicrobial Agents and Chemotherapy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55</w:t>
      </w:r>
      <w:r>
        <w:rPr>
          <w:rStyle w:val="None A"/>
          <w:rFonts w:ascii="Arial" w:hAnsi="Arial"/>
          <w:sz w:val="18"/>
          <w:szCs w:val="18"/>
          <w:rtl w:val="0"/>
          <w:lang w:val="en-US"/>
        </w:rPr>
        <w:t>(4), 1494</w:t>
      </w:r>
      <w:r>
        <w:rPr>
          <w:rStyle w:val="None A"/>
          <w:rFonts w:ascii="Arial" w:hAnsi="Arial" w:hint="default"/>
          <w:sz w:val="18"/>
          <w:szCs w:val="18"/>
          <w:rtl w:val="0"/>
          <w:lang w:val="en-US"/>
        </w:rPr>
        <w:t>–</w:t>
      </w:r>
      <w:r>
        <w:rPr>
          <w:rStyle w:val="None A"/>
          <w:rFonts w:ascii="Arial" w:hAnsi="Arial"/>
          <w:sz w:val="18"/>
          <w:szCs w:val="18"/>
          <w:rtl w:val="0"/>
          <w:lang w:val="en-US"/>
        </w:rPr>
        <w:t>1503. http://doi.org/10.1128/AAC.01664-10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Boos, W., &amp; Shuman, H. (1998). Maltose/maltodextrin system of Escherichia coli: transport, metabolism, and regulation. </w:t>
      </w:r>
      <w:r>
        <w:rPr>
          <w:rStyle w:val="None A"/>
          <w:rFonts w:ascii="Arial" w:hAnsi="Arial"/>
          <w:i w:val="1"/>
          <w:iCs w:val="1"/>
          <w:sz w:val="18"/>
          <w:szCs w:val="18"/>
          <w:rtl w:val="0"/>
          <w:lang w:val="en-US"/>
        </w:rPr>
        <w:t>Microbiology and Molecular Biology Reviews</w:t>
      </w:r>
      <w:r>
        <w:rPr>
          <w:rStyle w:val="None A"/>
          <w:rFonts w:ascii="Arial Unicode MS" w:hAnsi="Arial Unicode MS" w:hint="default"/>
          <w:sz w:val="18"/>
          <w:szCs w:val="18"/>
          <w:rtl w:val="0"/>
          <w:lang w:val="en-US"/>
        </w:rPr>
        <w:t> </w:t>
      </w:r>
      <w:r>
        <w:rPr>
          <w:rStyle w:val="None A"/>
          <w:rFonts w:ascii="Arial" w:hAnsi="Arial"/>
          <w:i w:val="1"/>
          <w:iCs w:val="1"/>
          <w:sz w:val="18"/>
          <w:szCs w:val="18"/>
          <w:rtl w:val="0"/>
          <w:lang w:val="en-US"/>
        </w:rPr>
        <w:t>: MMBR</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62</w:t>
      </w:r>
      <w:r>
        <w:rPr>
          <w:rStyle w:val="None A"/>
          <w:rFonts w:ascii="Arial" w:hAnsi="Arial"/>
          <w:sz w:val="18"/>
          <w:szCs w:val="18"/>
          <w:rtl w:val="0"/>
          <w:lang w:val="en-US"/>
        </w:rPr>
        <w:t>(1), 204</w:t>
      </w:r>
      <w:r>
        <w:rPr>
          <w:rStyle w:val="None A"/>
          <w:rFonts w:ascii="Arial" w:hAnsi="Arial" w:hint="default"/>
          <w:sz w:val="18"/>
          <w:szCs w:val="18"/>
          <w:rtl w:val="0"/>
          <w:lang w:val="en-US"/>
        </w:rPr>
        <w:t>–</w:t>
      </w:r>
      <w:r>
        <w:rPr>
          <w:rStyle w:val="None A"/>
          <w:rFonts w:ascii="Arial" w:hAnsi="Arial"/>
          <w:sz w:val="18"/>
          <w:szCs w:val="18"/>
          <w:rtl w:val="0"/>
          <w:lang w:val="en-US"/>
        </w:rPr>
        <w:t>29. Retrieved from http://www.pubmedcentral.nih.gov/articlerender.fcgi?artid=98911&amp;tool=pmcentrez&amp;rendertype=abstract</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Borenstein, E., Kupiec, M., Feldman, M. W., &amp; Ruppin, E. (2008). Large-scale reconstruction and phylogenetic analysis of metabolic environments. Proceedings of the National Academy of Sciences, 105(38), 14482</w:t>
      </w:r>
      <w:r>
        <w:rPr>
          <w:rStyle w:val="None A"/>
          <w:rFonts w:ascii="Arial" w:hAnsi="Arial" w:hint="default"/>
          <w:sz w:val="18"/>
          <w:szCs w:val="18"/>
          <w:rtl w:val="0"/>
          <w:lang w:val="en-US"/>
        </w:rPr>
        <w:t>–</w:t>
      </w:r>
      <w:r>
        <w:rPr>
          <w:rStyle w:val="None A"/>
          <w:rFonts w:ascii="Arial" w:hAnsi="Arial"/>
          <w:sz w:val="18"/>
          <w:szCs w:val="18"/>
          <w:rtl w:val="0"/>
          <w:lang w:val="en-US"/>
        </w:rPr>
        <w:t>14487. http://doi.org/10.1073/pnas.0806162105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Bouillaut, L., Dubois, T., Sonenshein, A. L., &amp; Dupuy, B. (2015). Integration of metabolism and virulence in Clostridium difficile. </w:t>
      </w:r>
      <w:r>
        <w:rPr>
          <w:rStyle w:val="None A"/>
          <w:rFonts w:ascii="Arial" w:hAnsi="Arial"/>
          <w:i w:val="1"/>
          <w:iCs w:val="1"/>
          <w:sz w:val="18"/>
          <w:szCs w:val="18"/>
          <w:rtl w:val="0"/>
          <w:lang w:val="en-US"/>
        </w:rPr>
        <w:t>Research in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166</w:t>
      </w:r>
      <w:r>
        <w:rPr>
          <w:rStyle w:val="None A"/>
          <w:rFonts w:ascii="Arial" w:hAnsi="Arial"/>
          <w:sz w:val="18"/>
          <w:szCs w:val="18"/>
          <w:rtl w:val="0"/>
          <w:lang w:val="en-US"/>
        </w:rPr>
        <w:t>(4), 375</w:t>
      </w:r>
      <w:r>
        <w:rPr>
          <w:rStyle w:val="None A"/>
          <w:rFonts w:ascii="Arial" w:hAnsi="Arial" w:hint="default"/>
          <w:sz w:val="18"/>
          <w:szCs w:val="18"/>
          <w:rtl w:val="0"/>
          <w:lang w:val="en-US"/>
        </w:rPr>
        <w:t>–</w:t>
      </w:r>
      <w:r>
        <w:rPr>
          <w:rStyle w:val="None A"/>
          <w:rFonts w:ascii="Arial" w:hAnsi="Arial"/>
          <w:sz w:val="18"/>
          <w:szCs w:val="18"/>
          <w:rtl w:val="0"/>
          <w:lang w:val="en-US"/>
        </w:rPr>
        <w:t>383. http://doi.org/10.1016/j.resmic.2014.10.002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Bouillaut, L., Dubois, T., Sonenshein, A. L., &amp; Dupuy, B. (2015). Integration of metabolism and virulence in Clostridium difficile. </w:t>
      </w:r>
      <w:r>
        <w:rPr>
          <w:rStyle w:val="None A"/>
          <w:rFonts w:ascii="Arial" w:hAnsi="Arial"/>
          <w:i w:val="1"/>
          <w:iCs w:val="1"/>
          <w:sz w:val="18"/>
          <w:szCs w:val="18"/>
          <w:rtl w:val="0"/>
          <w:lang w:val="en-US"/>
        </w:rPr>
        <w:t>Research in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166</w:t>
      </w:r>
      <w:r>
        <w:rPr>
          <w:rStyle w:val="None A"/>
          <w:rFonts w:ascii="Arial" w:hAnsi="Arial"/>
          <w:sz w:val="18"/>
          <w:szCs w:val="18"/>
          <w:rtl w:val="0"/>
          <w:lang w:val="en-US"/>
        </w:rPr>
        <w:t>(4), 375</w:t>
      </w:r>
      <w:r>
        <w:rPr>
          <w:rStyle w:val="None A"/>
          <w:rFonts w:ascii="Arial" w:hAnsi="Arial" w:hint="default"/>
          <w:sz w:val="18"/>
          <w:szCs w:val="18"/>
          <w:rtl w:val="0"/>
          <w:lang w:val="en-US"/>
        </w:rPr>
        <w:t>–</w:t>
      </w:r>
      <w:r>
        <w:rPr>
          <w:rStyle w:val="None A"/>
          <w:rFonts w:ascii="Arial" w:hAnsi="Arial"/>
          <w:sz w:val="18"/>
          <w:szCs w:val="18"/>
          <w:rtl w:val="0"/>
          <w:lang w:val="en-US"/>
        </w:rPr>
        <w:t>383. http://doi.org/10.1016/j.resmic.2014.10.002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Bouillaut, L., Dubois, T., Sonenshein, A. L., &amp; Dupuy, B. (2015). Integration of metabolism and virulence in Clostridium difficile. </w:t>
      </w:r>
      <w:r>
        <w:rPr>
          <w:rStyle w:val="None A"/>
          <w:rFonts w:ascii="Arial" w:hAnsi="Arial"/>
          <w:i w:val="1"/>
          <w:iCs w:val="1"/>
          <w:sz w:val="18"/>
          <w:szCs w:val="18"/>
          <w:rtl w:val="0"/>
          <w:lang w:val="en-US"/>
        </w:rPr>
        <w:t>Research in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166</w:t>
      </w:r>
      <w:r>
        <w:rPr>
          <w:rStyle w:val="None A"/>
          <w:rFonts w:ascii="Arial" w:hAnsi="Arial"/>
          <w:sz w:val="18"/>
          <w:szCs w:val="18"/>
          <w:rtl w:val="0"/>
          <w:lang w:val="en-US"/>
        </w:rPr>
        <w:t>(4), 375</w:t>
      </w:r>
      <w:r>
        <w:rPr>
          <w:rStyle w:val="None A"/>
          <w:rFonts w:ascii="Arial" w:hAnsi="Arial" w:hint="default"/>
          <w:sz w:val="18"/>
          <w:szCs w:val="18"/>
          <w:rtl w:val="0"/>
          <w:lang w:val="en-US"/>
        </w:rPr>
        <w:t>–</w:t>
      </w:r>
      <w:r>
        <w:rPr>
          <w:rStyle w:val="None A"/>
          <w:rFonts w:ascii="Arial" w:hAnsi="Arial"/>
          <w:sz w:val="18"/>
          <w:szCs w:val="18"/>
          <w:rtl w:val="0"/>
          <w:lang w:val="en-US"/>
        </w:rPr>
        <w:t>383. http://doi.org/10.1016/j.resmic.2014.10.002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Bouillaut, L., Self, W. T., &amp; Sonenshein, A. L. (2013). Proline-dependent regulation of Clostridium difficile stickland metabolism.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195</w:t>
      </w:r>
      <w:r>
        <w:rPr>
          <w:rStyle w:val="None A"/>
          <w:rFonts w:ascii="Arial" w:hAnsi="Arial"/>
          <w:sz w:val="18"/>
          <w:szCs w:val="18"/>
          <w:rtl w:val="0"/>
          <w:lang w:val="en-US"/>
        </w:rPr>
        <w:t>(4), 844</w:t>
      </w:r>
      <w:r>
        <w:rPr>
          <w:rStyle w:val="None A"/>
          <w:rFonts w:ascii="Arial" w:hAnsi="Arial" w:hint="default"/>
          <w:sz w:val="18"/>
          <w:szCs w:val="18"/>
          <w:rtl w:val="0"/>
          <w:lang w:val="en-US"/>
        </w:rPr>
        <w:t>–</w:t>
      </w:r>
      <w:r>
        <w:rPr>
          <w:rStyle w:val="None A"/>
          <w:rFonts w:ascii="Arial" w:hAnsi="Arial"/>
          <w:sz w:val="18"/>
          <w:szCs w:val="18"/>
          <w:rtl w:val="0"/>
          <w:lang w:val="en-US"/>
        </w:rPr>
        <w:t>854. http://doi.org/10.1128/JB.01492-12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Carter, G. P., Rood, J. I., &amp; Lyras, D. (2012). The role of toxin A and toxin B in the virulence of Clostridium difficile. </w:t>
      </w:r>
      <w:r>
        <w:rPr>
          <w:rStyle w:val="None A"/>
          <w:rFonts w:ascii="Arial" w:hAnsi="Arial"/>
          <w:i w:val="1"/>
          <w:iCs w:val="1"/>
          <w:sz w:val="18"/>
          <w:szCs w:val="18"/>
          <w:rtl w:val="0"/>
          <w:lang w:val="en-US"/>
        </w:rPr>
        <w:t>Trends in Microbiology</w:t>
      </w:r>
      <w:r>
        <w:rPr>
          <w:rStyle w:val="None A"/>
          <w:rFonts w:ascii="Arial" w:hAnsi="Arial"/>
          <w:sz w:val="18"/>
          <w:szCs w:val="18"/>
          <w:rtl w:val="0"/>
          <w:lang w:val="en-US"/>
        </w:rPr>
        <w:t>. http://doi.org/10.1016/j.tim.2011.11.003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Chen, X., Katchar, K., Goldsmith, J. D., Nanthakumar, N., Cheknis, A., Gerding, D. N., &amp; Kelly, C. P. (2008). A Mouse Model of Clostridium difficile-Associated Disease. Gastroenterology, 135(6), 1984</w:t>
      </w:r>
      <w:r>
        <w:rPr>
          <w:rStyle w:val="None A"/>
          <w:rFonts w:ascii="Arial" w:hAnsi="Arial" w:hint="default"/>
          <w:sz w:val="18"/>
          <w:szCs w:val="18"/>
          <w:rtl w:val="0"/>
          <w:lang w:val="en-US"/>
        </w:rPr>
        <w:t>–</w:t>
      </w:r>
      <w:r>
        <w:rPr>
          <w:rStyle w:val="None A"/>
          <w:rFonts w:ascii="Arial" w:hAnsi="Arial"/>
          <w:sz w:val="18"/>
          <w:szCs w:val="18"/>
          <w:rtl w:val="0"/>
          <w:lang w:val="en-US"/>
        </w:rPr>
        <w:t>1992. http://doi.org/10.1053/j.gastro.2008.09.002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Darkoh, C., Dupont, H. L., Norris, S. J., &amp; Kaplan, H. B. (2015). Toxin synthesis by Clostridium difficile is regulated through quorum signaling. </w:t>
      </w:r>
      <w:r>
        <w:rPr>
          <w:rStyle w:val="None A"/>
          <w:rFonts w:ascii="Arial" w:hAnsi="Arial"/>
          <w:i w:val="1"/>
          <w:iCs w:val="1"/>
          <w:sz w:val="18"/>
          <w:szCs w:val="18"/>
          <w:rtl w:val="0"/>
          <w:lang w:val="en-US"/>
        </w:rPr>
        <w:t>mBio</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w:t>
      </w:r>
      <w:r>
        <w:rPr>
          <w:rStyle w:val="None A"/>
          <w:rFonts w:ascii="Arial" w:hAnsi="Arial"/>
          <w:sz w:val="18"/>
          <w:szCs w:val="18"/>
          <w:rtl w:val="0"/>
          <w:lang w:val="en-US"/>
        </w:rPr>
        <w:t>(2). http://doi.org/10.1128/mBio.02569-14</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Deakin, L. J., Clare, S., Fagan, R. P., Dawson, L. F., Pickard, D. J., West, M. R., &amp; Lawley, T. D. (2012). The Clostridium difficile spo0A gene is a persistence and transmission factor.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80</w:t>
      </w:r>
      <w:r>
        <w:rPr>
          <w:rStyle w:val="None A"/>
          <w:rFonts w:ascii="Arial" w:hAnsi="Arial"/>
          <w:sz w:val="18"/>
          <w:szCs w:val="18"/>
          <w:rtl w:val="0"/>
          <w:lang w:val="en-US"/>
        </w:rPr>
        <w:t>(8), 2704</w:t>
      </w:r>
      <w:r>
        <w:rPr>
          <w:rStyle w:val="None A"/>
          <w:rFonts w:ascii="Arial" w:hAnsi="Arial" w:hint="default"/>
          <w:sz w:val="18"/>
          <w:szCs w:val="18"/>
          <w:rtl w:val="0"/>
          <w:lang w:val="en-US"/>
        </w:rPr>
        <w:t>–</w:t>
      </w:r>
      <w:r>
        <w:rPr>
          <w:rStyle w:val="None A"/>
          <w:rFonts w:ascii="Arial" w:hAnsi="Arial"/>
          <w:sz w:val="18"/>
          <w:szCs w:val="18"/>
          <w:rtl w:val="0"/>
          <w:lang w:val="en-US"/>
        </w:rPr>
        <w:t>2711. http://doi.org/10.1128/IAI.00147-12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Deutscher, J., Francke, C., &amp; Postma, P. W. (2006). How phosphotransferase system-related protein phosphorylation regulates carbohydrate metabolism in bacteria. </w:t>
      </w:r>
      <w:r>
        <w:rPr>
          <w:rStyle w:val="None A"/>
          <w:rFonts w:ascii="Arial" w:hAnsi="Arial"/>
          <w:i w:val="1"/>
          <w:iCs w:val="1"/>
          <w:sz w:val="18"/>
          <w:szCs w:val="18"/>
          <w:rtl w:val="0"/>
          <w:lang w:val="en-US"/>
        </w:rPr>
        <w:t>Microbiology and Molecular Biology Reviews</w:t>
      </w:r>
      <w:r>
        <w:rPr>
          <w:rStyle w:val="None A"/>
          <w:rFonts w:ascii="Arial Unicode MS" w:hAnsi="Arial Unicode MS" w:hint="default"/>
          <w:sz w:val="18"/>
          <w:szCs w:val="18"/>
          <w:rtl w:val="0"/>
          <w:lang w:val="en-US"/>
        </w:rPr>
        <w:t> </w:t>
      </w:r>
      <w:r>
        <w:rPr>
          <w:rStyle w:val="None A"/>
          <w:rFonts w:ascii="Arial" w:hAnsi="Arial"/>
          <w:i w:val="1"/>
          <w:iCs w:val="1"/>
          <w:sz w:val="18"/>
          <w:szCs w:val="18"/>
          <w:rtl w:val="0"/>
          <w:lang w:val="en-US"/>
        </w:rPr>
        <w:t>: MMBR</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70</w:t>
      </w:r>
      <w:r>
        <w:rPr>
          <w:rStyle w:val="None A"/>
          <w:rFonts w:ascii="Arial" w:hAnsi="Arial"/>
          <w:sz w:val="18"/>
          <w:szCs w:val="18"/>
          <w:rtl w:val="0"/>
          <w:lang w:val="en-US"/>
        </w:rPr>
        <w:t>(4), 939</w:t>
      </w:r>
      <w:r>
        <w:rPr>
          <w:rStyle w:val="None A"/>
          <w:rFonts w:ascii="Arial" w:hAnsi="Arial" w:hint="default"/>
          <w:sz w:val="18"/>
          <w:szCs w:val="18"/>
          <w:rtl w:val="0"/>
          <w:lang w:val="en-US"/>
        </w:rPr>
        <w:t>–</w:t>
      </w:r>
      <w:r>
        <w:rPr>
          <w:rStyle w:val="None A"/>
          <w:rFonts w:ascii="Arial" w:hAnsi="Arial"/>
          <w:sz w:val="18"/>
          <w:szCs w:val="18"/>
          <w:rtl w:val="0"/>
          <w:lang w:val="en-US"/>
        </w:rPr>
        <w:t>1031. http://doi.org/10.1128/MMBR.00024-06</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Donnelly, M. L., Fimlaid, K. A., &amp; Shen, A. (2016). Characterization of </w:t>
      </w:r>
      <w:r>
        <w:rPr>
          <w:rStyle w:val="None A"/>
          <w:rFonts w:ascii="Arial" w:hAnsi="Arial"/>
          <w:i w:val="1"/>
          <w:iCs w:val="1"/>
          <w:sz w:val="18"/>
          <w:szCs w:val="18"/>
          <w:rtl w:val="0"/>
          <w:lang w:val="en-US"/>
        </w:rPr>
        <w:t>Clostridium difficile</w:t>
      </w:r>
      <w:r>
        <w:rPr>
          <w:rStyle w:val="None A"/>
          <w:rFonts w:ascii="Arial" w:hAnsi="Arial"/>
          <w:sz w:val="18"/>
          <w:szCs w:val="18"/>
          <w:rtl w:val="0"/>
          <w:lang w:val="en-US"/>
        </w:rPr>
        <w:t xml:space="preserve"> spores lacking either SpoVAC or DPA Synthetase.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(April), JB.00986</w:t>
      </w:r>
      <w:r>
        <w:rPr>
          <w:rStyle w:val="None A"/>
          <w:rFonts w:ascii="Arial" w:hAnsi="Arial" w:hint="default"/>
          <w:sz w:val="18"/>
          <w:szCs w:val="18"/>
          <w:rtl w:val="0"/>
          <w:lang w:val="en-US"/>
        </w:rPr>
        <w:t>–</w:t>
      </w:r>
      <w:r>
        <w:rPr>
          <w:rStyle w:val="None A"/>
          <w:rFonts w:ascii="Arial" w:hAnsi="Arial"/>
          <w:sz w:val="18"/>
          <w:szCs w:val="18"/>
          <w:rtl w:val="0"/>
          <w:lang w:val="en-US"/>
        </w:rPr>
        <w:t>15. http://doi.org/10.1128/JB.00986-15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Elsden, S. R., &amp; Hilton, M. G. (1978). Volatile acid production from threonine, valine, leucine and isoleucine by clostridia. </w:t>
      </w:r>
      <w:r>
        <w:rPr>
          <w:rStyle w:val="None A"/>
          <w:rFonts w:ascii="Arial" w:hAnsi="Arial"/>
          <w:i w:val="1"/>
          <w:iCs w:val="1"/>
          <w:sz w:val="18"/>
          <w:szCs w:val="18"/>
          <w:rtl w:val="0"/>
          <w:lang w:val="en-US"/>
        </w:rPr>
        <w:t>Archives of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117</w:t>
      </w:r>
      <w:r>
        <w:rPr>
          <w:rStyle w:val="None A"/>
          <w:rFonts w:ascii="Arial" w:hAnsi="Arial"/>
          <w:sz w:val="18"/>
          <w:szCs w:val="18"/>
          <w:rtl w:val="0"/>
          <w:lang w:val="en-US"/>
        </w:rPr>
        <w:t>(2), 165</w:t>
      </w:r>
      <w:r>
        <w:rPr>
          <w:rStyle w:val="None A"/>
          <w:rFonts w:ascii="Arial" w:hAnsi="Arial" w:hint="default"/>
          <w:sz w:val="18"/>
          <w:szCs w:val="18"/>
          <w:rtl w:val="0"/>
          <w:lang w:val="en-US"/>
        </w:rPr>
        <w:t>–</w:t>
      </w:r>
      <w:r>
        <w:rPr>
          <w:rStyle w:val="None A"/>
          <w:rFonts w:ascii="Arial" w:hAnsi="Arial"/>
          <w:sz w:val="18"/>
          <w:szCs w:val="18"/>
          <w:rtl w:val="0"/>
          <w:lang w:val="en-US"/>
        </w:rPr>
        <w:t>172. http://doi.org/10.1007/BF00402304</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Fabich, A. J., Jones, S. A., Chowdhury, F. Z., Cernosek, A., Anderson, A., Smalley, D., &amp; Conway, T. (2008). Comparison of carbon nutrition for pathogenic and commensal Escherichia coli strains in the mouse intestine.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76</w:t>
      </w:r>
      <w:r>
        <w:rPr>
          <w:rStyle w:val="None A"/>
          <w:rFonts w:ascii="Arial" w:hAnsi="Arial"/>
          <w:sz w:val="18"/>
          <w:szCs w:val="18"/>
          <w:rtl w:val="0"/>
          <w:lang w:val="en-US"/>
        </w:rPr>
        <w:t>(3), 1143</w:t>
      </w:r>
      <w:r>
        <w:rPr>
          <w:rStyle w:val="None A"/>
          <w:rFonts w:ascii="Arial" w:hAnsi="Arial" w:hint="default"/>
          <w:sz w:val="18"/>
          <w:szCs w:val="18"/>
          <w:rtl w:val="0"/>
          <w:lang w:val="en-US"/>
        </w:rPr>
        <w:t>–</w:t>
      </w:r>
      <w:r>
        <w:rPr>
          <w:rStyle w:val="None A"/>
          <w:rFonts w:ascii="Arial" w:hAnsi="Arial"/>
          <w:sz w:val="18"/>
          <w:szCs w:val="18"/>
          <w:rtl w:val="0"/>
          <w:lang w:val="en-US"/>
        </w:rPr>
        <w:t>1152. http://doi.org/10.1128/IAI.01386-07</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Ferreyra, J. A., Wu, K. J., Hryckowian, A. J., Bouley, D. M., Weimer, B. C., &amp; Sonnenburg, J. L. (2014). Gut microbiota-produced succinate promotes C. Difficile infection after antibiotic treatment or motility disturbance. </w:t>
      </w:r>
      <w:r>
        <w:rPr>
          <w:rStyle w:val="None A"/>
          <w:rFonts w:ascii="Arial" w:hAnsi="Arial"/>
          <w:i w:val="1"/>
          <w:iCs w:val="1"/>
          <w:sz w:val="18"/>
          <w:szCs w:val="18"/>
          <w:rtl w:val="0"/>
          <w:lang w:val="en-US"/>
        </w:rPr>
        <w:t>Cell Host and Microbe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w:t>
      </w:r>
      <w:r>
        <w:rPr>
          <w:rStyle w:val="None A"/>
          <w:rFonts w:ascii="Arial" w:hAnsi="Arial"/>
          <w:sz w:val="18"/>
          <w:szCs w:val="18"/>
          <w:rtl w:val="0"/>
          <w:lang w:val="en-US"/>
        </w:rPr>
        <w:t>(6), 770</w:t>
      </w:r>
      <w:r>
        <w:rPr>
          <w:rStyle w:val="None A"/>
          <w:rFonts w:ascii="Arial" w:hAnsi="Arial" w:hint="default"/>
          <w:sz w:val="18"/>
          <w:szCs w:val="18"/>
          <w:rtl w:val="0"/>
          <w:lang w:val="en-US"/>
        </w:rPr>
        <w:t>–</w:t>
      </w:r>
      <w:r>
        <w:rPr>
          <w:rStyle w:val="None A"/>
          <w:rFonts w:ascii="Arial" w:hAnsi="Arial"/>
          <w:sz w:val="18"/>
          <w:szCs w:val="18"/>
          <w:rtl w:val="0"/>
          <w:lang w:val="en-US"/>
        </w:rPr>
        <w:t>777. http://doi.org/10.1016/j.chom.2014.11.003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Fimlaid, K. A., Bond, J. P., Schutz, K. C., Putnam, E. E., Leung, J. M., Lawley, T. D., &amp; Shen, A. (2013). Global Analysis of the Sporulation Pathway of Clostridium difficile. </w:t>
      </w:r>
      <w:r>
        <w:rPr>
          <w:rStyle w:val="None A"/>
          <w:rFonts w:ascii="Arial" w:hAnsi="Arial"/>
          <w:i w:val="1"/>
          <w:iCs w:val="1"/>
          <w:sz w:val="18"/>
          <w:szCs w:val="18"/>
          <w:rtl w:val="0"/>
          <w:lang w:val="en-US"/>
        </w:rPr>
        <w:t>PLoS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(8). http://doi.org/10.1371/journal.pgen.1003660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Fimlaid, K. A., Bond, J. P., Schutz, K. C., Putnam, E. E., Leung, J. M., Lawley, T. D., &amp; Shen, A. (2013). Global Analysis of the Sporulation Pathway of Clostridium difficile. </w:t>
      </w:r>
      <w:r>
        <w:rPr>
          <w:rStyle w:val="None A"/>
          <w:rFonts w:ascii="Arial" w:hAnsi="Arial"/>
          <w:i w:val="1"/>
          <w:iCs w:val="1"/>
          <w:sz w:val="18"/>
          <w:szCs w:val="18"/>
          <w:rtl w:val="0"/>
          <w:lang w:val="en-US"/>
        </w:rPr>
        <w:t>PLoS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(8). http://doi.org/10.1371/journal.pgen.1003660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Fimlaid, K. A., &amp; Shen, A. (2015). Diverse mechanisms regulate sporulation sigma factor activity in the Firmicutes. </w:t>
      </w:r>
      <w:r>
        <w:rPr>
          <w:rStyle w:val="None A"/>
          <w:rFonts w:ascii="Arial" w:hAnsi="Arial"/>
          <w:i w:val="1"/>
          <w:iCs w:val="1"/>
          <w:sz w:val="18"/>
          <w:szCs w:val="18"/>
          <w:rtl w:val="0"/>
          <w:lang w:val="en-US"/>
        </w:rPr>
        <w:t>Current Opinion in Microbiology</w:t>
      </w:r>
      <w:r>
        <w:rPr>
          <w:rStyle w:val="None A"/>
          <w:rFonts w:ascii="Arial" w:hAnsi="Arial"/>
          <w:sz w:val="18"/>
          <w:szCs w:val="18"/>
          <w:rtl w:val="0"/>
          <w:lang w:val="en-US"/>
        </w:rPr>
        <w:t>. http://doi.org/10.1016/j.mib.2015.01.006</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i w:val="1"/>
          <w:iCs w:val="1"/>
          <w:sz w:val="18"/>
          <w:szCs w:val="18"/>
        </w:rPr>
      </w:pPr>
      <w:r>
        <w:rPr>
          <w:rStyle w:val="None A"/>
          <w:rFonts w:ascii="Arial" w:hAnsi="Arial"/>
          <w:sz w:val="18"/>
          <w:szCs w:val="18"/>
          <w:rtl w:val="0"/>
          <w:lang w:val="en-US"/>
        </w:rPr>
        <w:t xml:space="preserve">Freter, R. 1983. Mechanisms that control the microflora in the large intestine, p. 33-54. In D. J. Hentges (ed.), </w:t>
      </w:r>
      <w:r>
        <w:rPr>
          <w:rStyle w:val="None A"/>
          <w:rFonts w:ascii="Arial" w:hAnsi="Arial"/>
          <w:i w:val="1"/>
          <w:iCs w:val="1"/>
          <w:sz w:val="18"/>
          <w:szCs w:val="18"/>
          <w:rtl w:val="0"/>
          <w:lang w:val="fr-FR"/>
        </w:rPr>
        <w:t xml:space="preserve">Human </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sz w:val="18"/>
          <w:szCs w:val="18"/>
        </w:rPr>
      </w:pPr>
      <w:r>
        <w:rPr>
          <w:rStyle w:val="None A"/>
          <w:rFonts w:ascii="Arial" w:cs="Arial" w:hAnsi="Arial" w:eastAsia="Arial"/>
          <w:i w:val="1"/>
          <w:iCs w:val="1"/>
          <w:sz w:val="18"/>
          <w:szCs w:val="18"/>
          <w:rtl w:val="0"/>
        </w:rPr>
        <w:tab/>
        <w:t>intestinal microflora in health and disease</w:t>
      </w:r>
      <w:r>
        <w:rPr>
          <w:rStyle w:val="None A"/>
          <w:rFonts w:ascii="Arial" w:hAnsi="Arial"/>
          <w:sz w:val="18"/>
          <w:szCs w:val="18"/>
          <w:rtl w:val="0"/>
          <w:lang w:val="en-US"/>
        </w:rPr>
        <w:t>. Academic Press, Inc., New York, NY.</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A"/>
          <w:rFonts w:ascii="Arial" w:hAnsi="Arial"/>
          <w:sz w:val="18"/>
          <w:szCs w:val="18"/>
          <w:rtl w:val="0"/>
          <w:lang w:val="en-US"/>
        </w:rPr>
        <w:t xml:space="preserve">Ho, T. D., &amp; Ellermeier, C. D. (2015). Ferric uptake regulator fur control of putative iron acquisition systems in Clostridium </w:t>
        <w:tab/>
        <w:tab/>
      </w:r>
      <w:r>
        <w:rPr>
          <w:rStyle w:val="None A"/>
          <w:rFonts w:ascii="Arial" w:hAnsi="Arial"/>
          <w:sz w:val="18"/>
          <w:szCs w:val="18"/>
          <w:rtl w:val="0"/>
          <w:lang w:val="it-IT"/>
        </w:rPr>
        <w:t xml:space="preserve">difficile.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197</w:t>
      </w:r>
      <w:r>
        <w:rPr>
          <w:rStyle w:val="None A"/>
          <w:rFonts w:ascii="Arial" w:hAnsi="Arial"/>
          <w:sz w:val="18"/>
          <w:szCs w:val="18"/>
          <w:rtl w:val="0"/>
          <w:lang w:val="en-US"/>
        </w:rPr>
        <w:t>(18), 2930</w:t>
      </w:r>
      <w:r>
        <w:rPr>
          <w:rStyle w:val="None A"/>
          <w:rFonts w:ascii="Arial" w:hAnsi="Arial" w:hint="default"/>
          <w:sz w:val="18"/>
          <w:szCs w:val="18"/>
          <w:rtl w:val="0"/>
          <w:lang w:val="en-US"/>
        </w:rPr>
        <w:t>–</w:t>
      </w:r>
      <w:r>
        <w:rPr>
          <w:rStyle w:val="None A"/>
          <w:rFonts w:ascii="Arial" w:hAnsi="Arial"/>
          <w:sz w:val="18"/>
          <w:szCs w:val="18"/>
          <w:rtl w:val="0"/>
          <w:lang w:val="it-IT"/>
        </w:rPr>
        <w:t xml:space="preserve">2940. </w:t>
      </w:r>
      <w:r>
        <w:rPr>
          <w:rStyle w:val="Hyperlink.3"/>
          <w:rFonts w:ascii="Arial" w:cs="Arial" w:hAnsi="Arial" w:eastAsia="Arial"/>
          <w:color w:val="0000ff"/>
          <w:sz w:val="18"/>
          <w:szCs w:val="18"/>
          <w:u w:val="single" w:color="0000ff"/>
          <w:lang w:val="en-US"/>
        </w:rPr>
        <w:fldChar w:fldCharType="begin" w:fldLock="0"/>
      </w:r>
      <w:r>
        <w:rPr>
          <w:rStyle w:val="Hyperlink.3"/>
          <w:rFonts w:ascii="Arial" w:cs="Arial" w:hAnsi="Arial" w:eastAsia="Arial"/>
          <w:color w:val="0000ff"/>
          <w:sz w:val="18"/>
          <w:szCs w:val="18"/>
          <w:u w:val="single" w:color="0000ff"/>
          <w:lang w:val="en-US"/>
        </w:rPr>
        <w:instrText xml:space="preserve"> HYPERLINK "http://doi.org/10.1128/JB.00098-15"</w:instrText>
      </w:r>
      <w:r>
        <w:rPr>
          <w:rStyle w:val="Hyperlink.3"/>
          <w:rFonts w:ascii="Arial" w:cs="Arial" w:hAnsi="Arial" w:eastAsia="Arial"/>
          <w:color w:val="0000ff"/>
          <w:sz w:val="18"/>
          <w:szCs w:val="18"/>
          <w:u w:val="single" w:color="0000ff"/>
          <w:lang w:val="en-US"/>
        </w:rPr>
        <w:fldChar w:fldCharType="separate" w:fldLock="0"/>
      </w:r>
      <w:r>
        <w:rPr>
          <w:rStyle w:val="Hyperlink.3"/>
          <w:rFonts w:ascii="Arial" w:hAnsi="Arial"/>
          <w:color w:val="0000ff"/>
          <w:sz w:val="18"/>
          <w:szCs w:val="18"/>
          <w:u w:val="single" w:color="0000ff"/>
          <w:rtl w:val="0"/>
          <w:lang w:val="en-US"/>
        </w:rPr>
        <w:t>http://doi.org/10.1128/JB.00098-15</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A"/>
          <w:rFonts w:ascii="Arial" w:hAnsi="Arial"/>
          <w:sz w:val="18"/>
          <w:szCs w:val="18"/>
          <w:rtl w:val="0"/>
          <w:lang w:val="de-DE"/>
        </w:rPr>
        <w:t xml:space="preserve">Hundsberger, T., Braun, V., Weidmann, M., Leukel, P., Sauerborn, M., &amp; von Eichel-Streiber, C. (1997). Transcription analysis </w:t>
      </w:r>
      <w:r>
        <w:rPr>
          <w:rStyle w:val="None A"/>
          <w:rFonts w:ascii="Arial" w:cs="Arial" w:hAnsi="Arial" w:eastAsia="Arial"/>
          <w:sz w:val="18"/>
          <w:szCs w:val="18"/>
          <w:rtl w:val="0"/>
          <w:lang w:val="en-US"/>
        </w:rPr>
        <w:tab/>
        <w:t xml:space="preserve">of the genes tcdA-E of the pathogenicity locus of Clostridium difficile. </w:t>
      </w:r>
      <w:r>
        <w:rPr>
          <w:rStyle w:val="None A"/>
          <w:rFonts w:ascii="Arial" w:hAnsi="Arial"/>
          <w:i w:val="1"/>
          <w:iCs w:val="1"/>
          <w:sz w:val="18"/>
          <w:szCs w:val="18"/>
          <w:rtl w:val="0"/>
          <w:lang w:val="en-US"/>
        </w:rPr>
        <w:t>European Journal of Biochemistry / FEBS</w:t>
      </w:r>
      <w:r>
        <w:rPr>
          <w:rStyle w:val="None A"/>
          <w:rFonts w:ascii="Arial" w:hAnsi="Arial"/>
          <w:sz w:val="18"/>
          <w:szCs w:val="18"/>
          <w:rtl w:val="0"/>
          <w:lang w:val="en-US"/>
        </w:rPr>
        <w:t xml:space="preserve">, </w:t>
        <w:tab/>
        <w:tab/>
      </w:r>
      <w:r>
        <w:rPr>
          <w:rStyle w:val="None A"/>
          <w:rFonts w:ascii="Arial" w:hAnsi="Arial"/>
          <w:i w:val="1"/>
          <w:iCs w:val="1"/>
          <w:sz w:val="18"/>
          <w:szCs w:val="18"/>
          <w:rtl w:val="0"/>
          <w:lang w:val="en-US"/>
        </w:rPr>
        <w:t>244</w:t>
      </w:r>
      <w:r>
        <w:rPr>
          <w:rStyle w:val="None A"/>
          <w:rFonts w:ascii="Arial" w:hAnsi="Arial"/>
          <w:sz w:val="18"/>
          <w:szCs w:val="18"/>
          <w:rtl w:val="0"/>
          <w:lang w:val="en-US"/>
        </w:rPr>
        <w:t>(3), 735</w:t>
      </w:r>
      <w:r>
        <w:rPr>
          <w:rStyle w:val="None A"/>
          <w:rFonts w:ascii="Arial" w:hAnsi="Arial" w:hint="default"/>
          <w:sz w:val="18"/>
          <w:szCs w:val="18"/>
          <w:rtl w:val="0"/>
          <w:lang w:val="en-US"/>
        </w:rPr>
        <w:t>–</w:t>
      </w:r>
      <w:r>
        <w:rPr>
          <w:rStyle w:val="None A"/>
          <w:rFonts w:ascii="Arial" w:hAnsi="Arial"/>
          <w:sz w:val="18"/>
          <w:szCs w:val="18"/>
          <w:rtl w:val="0"/>
          <w:lang w:val="en-US"/>
        </w:rPr>
        <w:t xml:space="preserve">742. </w:t>
      </w:r>
      <w:r>
        <w:rPr>
          <w:rStyle w:val="Hyperlink.3"/>
          <w:rFonts w:ascii="Arial" w:cs="Arial" w:hAnsi="Arial" w:eastAsia="Arial"/>
          <w:color w:val="0000ff"/>
          <w:sz w:val="18"/>
          <w:szCs w:val="18"/>
          <w:u w:val="single" w:color="0000ff"/>
          <w:lang w:val="en-US"/>
        </w:rPr>
        <w:fldChar w:fldCharType="begin" w:fldLock="0"/>
      </w:r>
      <w:r>
        <w:rPr>
          <w:rStyle w:val="Hyperlink.3"/>
          <w:rFonts w:ascii="Arial" w:cs="Arial" w:hAnsi="Arial" w:eastAsia="Arial"/>
          <w:color w:val="0000ff"/>
          <w:sz w:val="18"/>
          <w:szCs w:val="18"/>
          <w:u w:val="single" w:color="0000ff"/>
          <w:lang w:val="en-US"/>
        </w:rPr>
        <w:instrText xml:space="preserve"> HYPERLINK "http://doi.org/10.1111/j.1432-1033.1997.t01-1-00735.x"</w:instrText>
      </w:r>
      <w:r>
        <w:rPr>
          <w:rStyle w:val="Hyperlink.3"/>
          <w:rFonts w:ascii="Arial" w:cs="Arial" w:hAnsi="Arial" w:eastAsia="Arial"/>
          <w:color w:val="0000ff"/>
          <w:sz w:val="18"/>
          <w:szCs w:val="18"/>
          <w:u w:val="single" w:color="0000ff"/>
          <w:lang w:val="en-US"/>
        </w:rPr>
        <w:fldChar w:fldCharType="separate" w:fldLock="0"/>
      </w:r>
      <w:r>
        <w:rPr>
          <w:rStyle w:val="Hyperlink.3"/>
          <w:rFonts w:ascii="Arial" w:hAnsi="Arial"/>
          <w:color w:val="0000ff"/>
          <w:sz w:val="18"/>
          <w:szCs w:val="18"/>
          <w:u w:val="single" w:color="0000ff"/>
          <w:rtl w:val="0"/>
          <w:lang w:val="en-US"/>
        </w:rPr>
        <w:t>http://doi.org/10.1111/j.1432-1033.1997.t01-1-00735.x</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sz w:val="18"/>
          <w:szCs w:val="18"/>
        </w:rPr>
      </w:pPr>
      <w:r>
        <w:rPr>
          <w:rStyle w:val="None A"/>
          <w:rFonts w:ascii="Arial" w:hAnsi="Arial"/>
          <w:sz w:val="18"/>
          <w:szCs w:val="18"/>
          <w:rtl w:val="0"/>
          <w:lang w:val="fr-FR"/>
        </w:rPr>
        <w:t>Janoir, C., Den</w:t>
      </w:r>
      <w:r>
        <w:rPr>
          <w:rStyle w:val="None A"/>
          <w:rFonts w:ascii="Arial" w:hAnsi="Arial" w:hint="default"/>
          <w:sz w:val="18"/>
          <w:szCs w:val="18"/>
          <w:rtl w:val="0"/>
          <w:lang w:val="fr-FR"/>
        </w:rPr>
        <w:t>è</w:t>
      </w:r>
      <w:r>
        <w:rPr>
          <w:rStyle w:val="None A"/>
          <w:rFonts w:ascii="Arial" w:hAnsi="Arial"/>
          <w:sz w:val="18"/>
          <w:szCs w:val="18"/>
          <w:rtl w:val="0"/>
          <w:lang w:val="en-US"/>
        </w:rPr>
        <w:t>ve, C., Bouttier, S., Barbut, F., Hoys, S., Caleechum, L., &amp; Dupuy, B. (2013). Adaptive strategies and patho</w:t>
        <w:tab/>
        <w:tab/>
        <w:t xml:space="preserve">genesis of clostridium difficile from In vivo transcriptomics.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81</w:t>
      </w:r>
      <w:r>
        <w:rPr>
          <w:rStyle w:val="None A"/>
          <w:rFonts w:ascii="Arial" w:hAnsi="Arial"/>
          <w:sz w:val="18"/>
          <w:szCs w:val="18"/>
          <w:rtl w:val="0"/>
          <w:lang w:val="en-US"/>
        </w:rPr>
        <w:t>(10), 3757</w:t>
      </w:r>
      <w:r>
        <w:rPr>
          <w:rStyle w:val="None A"/>
          <w:rFonts w:ascii="Arial" w:hAnsi="Arial" w:hint="default"/>
          <w:sz w:val="18"/>
          <w:szCs w:val="18"/>
          <w:rtl w:val="0"/>
          <w:lang w:val="en-US"/>
        </w:rPr>
        <w:t>–</w:t>
      </w:r>
      <w:r>
        <w:rPr>
          <w:rStyle w:val="None A"/>
          <w:rFonts w:ascii="Arial" w:hAnsi="Arial"/>
          <w:sz w:val="18"/>
          <w:szCs w:val="18"/>
          <w:rtl w:val="0"/>
          <w:lang w:val="en-US"/>
        </w:rPr>
        <w:t>3769.</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A"/>
          <w:rFonts w:ascii="Arial" w:cs="Arial" w:hAnsi="Arial" w:eastAsia="Arial"/>
          <w:sz w:val="18"/>
          <w:szCs w:val="18"/>
        </w:rPr>
        <w:tab/>
      </w:r>
      <w:r>
        <w:rPr>
          <w:rStyle w:val="Hyperlink.4"/>
        </w:rPr>
        <w:fldChar w:fldCharType="begin" w:fldLock="0"/>
      </w:r>
      <w:r>
        <w:rPr>
          <w:rStyle w:val="Hyperlink.4"/>
        </w:rPr>
        <w:instrText xml:space="preserve"> HYPERLINK "http://doi.org/10.1128/IAI.00515-13"</w:instrText>
      </w:r>
      <w:r>
        <w:rPr>
          <w:rStyle w:val="Hyperlink.4"/>
        </w:rPr>
        <w:fldChar w:fldCharType="separate" w:fldLock="0"/>
      </w:r>
      <w:r>
        <w:rPr>
          <w:rStyle w:val="Hyperlink.4"/>
          <w:rtl w:val="0"/>
          <w:lang w:val="en-US"/>
        </w:rPr>
        <w:t>http://doi.org/10.1128/IAI.00515-13</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sz w:val="18"/>
          <w:szCs w:val="18"/>
        </w:rPr>
      </w:pPr>
      <w:r>
        <w:rPr>
          <w:rStyle w:val="None A"/>
          <w:rFonts w:ascii="Arial" w:hAnsi="Arial"/>
          <w:sz w:val="18"/>
          <w:szCs w:val="18"/>
          <w:rtl w:val="0"/>
          <w:lang w:val="en-US"/>
        </w:rPr>
        <w:t xml:space="preserve">Joshi, N., &amp; Fass, J. (2011). Sickle: A sliding-window, adaptive, quality-based trimming tool for FastQ files (Version 1.33) </w:t>
        <w:tab/>
        <w:tab/>
        <w:t xml:space="preserve">[Software]. </w:t>
      </w:r>
      <w:r>
        <w:rPr>
          <w:rStyle w:val="None A"/>
          <w:rFonts w:ascii="Arial" w:hAnsi="Arial"/>
          <w:i w:val="1"/>
          <w:iCs w:val="1"/>
          <w:sz w:val="18"/>
          <w:szCs w:val="18"/>
          <w:rtl w:val="0"/>
          <w:lang w:val="en-US"/>
        </w:rPr>
        <w:t>Available at Https://github.com/najoshi/sickle.</w:t>
      </w:r>
      <w:r>
        <w:rPr>
          <w:rStyle w:val="None A"/>
          <w:rFonts w:ascii="Arial" w:hAnsi="Arial"/>
          <w:sz w:val="18"/>
          <w:szCs w:val="18"/>
          <w:rtl w:val="0"/>
          <w:lang w:val="en-US"/>
        </w:rPr>
        <w:t>, 2011.</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 A"/>
          <w:rFonts w:ascii="Arial" w:hAnsi="Arial"/>
          <w:i w:val="1"/>
          <w:iCs w:val="1"/>
          <w:sz w:val="18"/>
          <w:szCs w:val="18"/>
          <w:rtl w:val="0"/>
          <w:lang w:val="en-US"/>
        </w:rPr>
        <w:t>PLoS ONE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(7). http://doi.org/10.1371/journal.pone.0101267</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 A"/>
          <w:rFonts w:ascii="Arial" w:hAnsi="Arial"/>
          <w:i w:val="1"/>
          <w:iCs w:val="1"/>
          <w:sz w:val="18"/>
          <w:szCs w:val="18"/>
          <w:rtl w:val="0"/>
          <w:lang w:val="en-US"/>
        </w:rPr>
        <w:t>PLoS ONE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(7). http://doi.org/10.1371/journal.pone.0101267</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color w:val="323232"/>
          <w:sz w:val="18"/>
          <w:szCs w:val="18"/>
          <w:u w:val="none" w:color="323232"/>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color w:val="323232"/>
          <w:sz w:val="18"/>
          <w:szCs w:val="18"/>
          <w:u w:val="none" w:color="323232"/>
        </w:rPr>
      </w:pPr>
      <w:r>
        <w:rPr>
          <w:rStyle w:val="None A"/>
          <w:rFonts w:ascii="Arial" w:hAnsi="Arial"/>
          <w:color w:val="323232"/>
          <w:sz w:val="18"/>
          <w:szCs w:val="18"/>
          <w:u w:val="none" w:color="323232"/>
          <w:rtl w:val="0"/>
          <w:lang w:val="en-US"/>
        </w:rPr>
        <w:t>Kansau, I., Barketi-Klai, A., Monot, M., Hoy, S., Dupuy, B., &amp; Janoir, C. (2016). Deciphering Adaptation Strategies of the Epi</w:t>
        <w:tab/>
        <w:t xml:space="preserve">demic Clostridium difficile 027 Strain during Infection through In Vivo Transcriptional Analysis. </w:t>
      </w:r>
      <w:r>
        <w:rPr>
          <w:rStyle w:val="None A"/>
          <w:rFonts w:ascii="Arial" w:hAnsi="Arial"/>
          <w:i w:val="1"/>
          <w:iCs w:val="1"/>
          <w:color w:val="323232"/>
          <w:sz w:val="18"/>
          <w:szCs w:val="18"/>
          <w:u w:val="none" w:color="323232"/>
          <w:rtl w:val="0"/>
          <w:lang w:val="de-DE"/>
        </w:rPr>
        <w:t>PLoS ONE</w:t>
      </w:r>
      <w:r>
        <w:rPr>
          <w:rStyle w:val="None A"/>
          <w:rFonts w:ascii="Arial" w:hAnsi="Arial"/>
          <w:color w:val="323232"/>
          <w:sz w:val="18"/>
          <w:szCs w:val="18"/>
          <w:u w:val="none" w:color="323232"/>
          <w:rtl w:val="0"/>
          <w:lang w:val="en-US"/>
        </w:rPr>
        <w:t xml:space="preserve">, 11(6). </w:t>
        <w:tab/>
        <w:t>http://dx.doi.org/10.1371/journal.pone.0158204</w:t>
      </w:r>
    </w:p>
    <w:p>
      <w:pPr>
        <w:pStyle w:val="Text body"/>
        <w:shd w:val="clear" w:color="auto" w:fill="ffffff"/>
        <w:ind w:left="480" w:hanging="480"/>
        <w:rPr>
          <w:rFonts w:ascii="Arial" w:cs="Arial" w:hAnsi="Arial" w:eastAsia="Arial"/>
          <w:sz w:val="18"/>
          <w:szCs w:val="18"/>
        </w:rPr>
      </w:pP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Karasawa, T., Maegawa, T., Nojiri, T., Yamakawa, K., &amp; Nakamura, S. (1997). Effect of arginine on toxin production by Clostridium difficile in defined medium. </w:t>
      </w:r>
      <w:r>
        <w:rPr>
          <w:rStyle w:val="None A"/>
          <w:rFonts w:ascii="Arial" w:hAnsi="Arial"/>
          <w:i w:val="1"/>
          <w:iCs w:val="1"/>
          <w:sz w:val="18"/>
          <w:szCs w:val="18"/>
          <w:rtl w:val="0"/>
          <w:lang w:val="en-US"/>
        </w:rPr>
        <w:t>Microbiology and Immunology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41</w:t>
      </w:r>
      <w:r>
        <w:rPr>
          <w:rStyle w:val="None A"/>
          <w:rFonts w:ascii="Arial" w:hAnsi="Arial"/>
          <w:sz w:val="18"/>
          <w:szCs w:val="18"/>
          <w:rtl w:val="0"/>
          <w:lang w:val="en-US"/>
        </w:rPr>
        <w:t>(8), 581</w:t>
      </w:r>
      <w:r>
        <w:rPr>
          <w:rStyle w:val="None A"/>
          <w:rFonts w:ascii="Arial" w:hAnsi="Arial" w:hint="default"/>
          <w:sz w:val="18"/>
          <w:szCs w:val="18"/>
          <w:rtl w:val="0"/>
          <w:lang w:val="en-US"/>
        </w:rPr>
        <w:t>–</w:t>
      </w:r>
      <w:r>
        <w:rPr>
          <w:rStyle w:val="None A"/>
          <w:rFonts w:ascii="Arial" w:hAnsi="Arial"/>
          <w:sz w:val="18"/>
          <w:szCs w:val="18"/>
          <w:rtl w:val="0"/>
          <w:lang w:val="en-US"/>
        </w:rPr>
        <w:t>5. Retrieved from http://www.ncbi.nlm.nih.gov/pubmed/9310936</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Karlsson, S., Dupuy, B., Mukherjee, K., Norin, E., Burman, L. G., &amp; </w:t>
      </w:r>
      <w:r>
        <w:rPr>
          <w:rStyle w:val="None A"/>
          <w:rFonts w:ascii="Arial" w:hAnsi="Arial" w:hint="default"/>
          <w:sz w:val="18"/>
          <w:szCs w:val="18"/>
          <w:rtl w:val="0"/>
          <w:lang w:val="en-US"/>
        </w:rPr>
        <w:t>Å</w:t>
      </w:r>
      <w:r>
        <w:rPr>
          <w:rStyle w:val="None A"/>
          <w:rFonts w:ascii="Arial" w:hAnsi="Arial"/>
          <w:sz w:val="18"/>
          <w:szCs w:val="18"/>
          <w:rtl w:val="0"/>
          <w:lang w:val="en-US"/>
        </w:rPr>
        <w:t xml:space="preserve">kerlund, T. (2003). Expression of Clostridium difficile toxins A and B and their sigma factor TcdD is controlled by temperature.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71</w:t>
      </w:r>
      <w:r>
        <w:rPr>
          <w:rStyle w:val="None A"/>
          <w:rFonts w:ascii="Arial" w:hAnsi="Arial"/>
          <w:sz w:val="18"/>
          <w:szCs w:val="18"/>
          <w:rtl w:val="0"/>
          <w:lang w:val="en-US"/>
        </w:rPr>
        <w:t>(4), 1784</w:t>
      </w:r>
      <w:r>
        <w:rPr>
          <w:rStyle w:val="None A"/>
          <w:rFonts w:ascii="Arial" w:hAnsi="Arial" w:hint="default"/>
          <w:sz w:val="18"/>
          <w:szCs w:val="18"/>
          <w:rtl w:val="0"/>
          <w:lang w:val="en-US"/>
        </w:rPr>
        <w:t>–</w:t>
      </w:r>
      <w:r>
        <w:rPr>
          <w:rStyle w:val="None A"/>
          <w:rFonts w:ascii="Arial" w:hAnsi="Arial"/>
          <w:sz w:val="18"/>
          <w:szCs w:val="18"/>
          <w:rtl w:val="0"/>
          <w:lang w:val="en-US"/>
        </w:rPr>
        <w:t>1793. http://doi.org/10.1128/IAI.71.4.1784-1793.2003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Karlsson, S., Burman, L. G., &amp; </w:t>
      </w:r>
      <w:r>
        <w:rPr>
          <w:rStyle w:val="None A"/>
          <w:rFonts w:ascii="Arial" w:hAnsi="Arial" w:hint="default"/>
          <w:sz w:val="18"/>
          <w:szCs w:val="18"/>
          <w:rtl w:val="0"/>
          <w:lang w:val="en-US"/>
        </w:rPr>
        <w:t>Å</w:t>
      </w:r>
      <w:r>
        <w:rPr>
          <w:rStyle w:val="None A"/>
          <w:rFonts w:ascii="Arial" w:hAnsi="Arial"/>
          <w:sz w:val="18"/>
          <w:szCs w:val="18"/>
          <w:rtl w:val="0"/>
          <w:lang w:val="en-US"/>
        </w:rPr>
        <w:t>kerlund, T. (2008). Induction of toxins in Clostridium difficile is associated with dramatic changes of its metabolism. Microbiology, 154(11), 3430</w:t>
      </w:r>
      <w:r>
        <w:rPr>
          <w:rStyle w:val="None A"/>
          <w:rFonts w:ascii="Arial" w:hAnsi="Arial" w:hint="default"/>
          <w:sz w:val="18"/>
          <w:szCs w:val="18"/>
          <w:rtl w:val="0"/>
          <w:lang w:val="en-US"/>
        </w:rPr>
        <w:t>–</w:t>
      </w:r>
      <w:r>
        <w:rPr>
          <w:rStyle w:val="None A"/>
          <w:rFonts w:ascii="Arial" w:hAnsi="Arial"/>
          <w:sz w:val="18"/>
          <w:szCs w:val="18"/>
          <w:rtl w:val="0"/>
          <w:lang w:val="en-US"/>
        </w:rPr>
        <w:t>3436. http://doi.org/10.1099/mic.0.2008/019778-0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Kim, J., Hetzel, M., Boiangiu, C. D., &amp; Buckel, W. (2004). Dehydration of (R)-2-hydroxyacyl-CoA to enoyl-CoA in the fermentation of </w:t>
      </w:r>
      <w:r>
        <w:rPr>
          <w:rStyle w:val="None A"/>
          <w:rFonts w:ascii="Arial" w:hAnsi="Arial" w:hint="default"/>
          <w:sz w:val="18"/>
          <w:szCs w:val="18"/>
          <w:rtl w:val="0"/>
          <w:lang w:val="en-US"/>
        </w:rPr>
        <w:t>α</w:t>
      </w:r>
      <w:r>
        <w:rPr>
          <w:rStyle w:val="None A"/>
          <w:rFonts w:ascii="Arial" w:hAnsi="Arial"/>
          <w:sz w:val="18"/>
          <w:szCs w:val="18"/>
          <w:rtl w:val="0"/>
          <w:lang w:val="en-US"/>
        </w:rPr>
        <w:t xml:space="preserve">-amino acids by anaerobic bacteria. </w:t>
      </w:r>
      <w:r>
        <w:rPr>
          <w:rStyle w:val="None A"/>
          <w:rFonts w:ascii="Arial" w:hAnsi="Arial"/>
          <w:i w:val="1"/>
          <w:iCs w:val="1"/>
          <w:sz w:val="18"/>
          <w:szCs w:val="18"/>
          <w:rtl w:val="0"/>
          <w:lang w:val="en-US"/>
        </w:rPr>
        <w:t>FEMS Microbiology Reviews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28</w:t>
      </w:r>
      <w:r>
        <w:rPr>
          <w:rStyle w:val="None A"/>
          <w:rFonts w:ascii="Arial" w:hAnsi="Arial"/>
          <w:sz w:val="18"/>
          <w:szCs w:val="18"/>
          <w:rtl w:val="0"/>
          <w:lang w:val="en-US"/>
        </w:rPr>
        <w:t>(4), 455</w:t>
      </w:r>
      <w:r>
        <w:rPr>
          <w:rStyle w:val="None A"/>
          <w:rFonts w:ascii="Arial" w:hAnsi="Arial" w:hint="default"/>
          <w:sz w:val="18"/>
          <w:szCs w:val="18"/>
          <w:rtl w:val="0"/>
          <w:lang w:val="en-US"/>
        </w:rPr>
        <w:t>–</w:t>
      </w:r>
      <w:r>
        <w:rPr>
          <w:rStyle w:val="None A"/>
          <w:rFonts w:ascii="Arial" w:hAnsi="Arial"/>
          <w:sz w:val="18"/>
          <w:szCs w:val="18"/>
          <w:rtl w:val="0"/>
          <w:lang w:val="en-US"/>
        </w:rPr>
        <w:t>468. http://doi.org/10.1016/j.femsre.2004.03.001</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Koenigsknecht, M. J., Theriot, C. M., Bergin, I. L., Schumacher, C. A., Schloss, P. D., &amp; Young, V. B. (2015). Dynamics and establishment of Clostridium difficile infection in the murine gastrointestinal tract.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83</w:t>
      </w:r>
      <w:r>
        <w:rPr>
          <w:rStyle w:val="None A"/>
          <w:rFonts w:ascii="Arial" w:hAnsi="Arial"/>
          <w:sz w:val="18"/>
          <w:szCs w:val="18"/>
          <w:rtl w:val="0"/>
          <w:lang w:val="en-US"/>
        </w:rPr>
        <w:t>(3), 934</w:t>
      </w:r>
      <w:r>
        <w:rPr>
          <w:rStyle w:val="None A"/>
          <w:rFonts w:ascii="Arial" w:hAnsi="Arial" w:hint="default"/>
          <w:sz w:val="18"/>
          <w:szCs w:val="18"/>
          <w:rtl w:val="0"/>
          <w:lang w:val="en-US"/>
        </w:rPr>
        <w:t>–</w:t>
      </w:r>
      <w:r>
        <w:rPr>
          <w:rStyle w:val="None A"/>
          <w:rFonts w:ascii="Arial" w:hAnsi="Arial"/>
          <w:sz w:val="18"/>
          <w:szCs w:val="18"/>
          <w:rtl w:val="0"/>
          <w:lang w:val="en-US"/>
        </w:rPr>
        <w:t>941. http://doi.org/10.1128/IAI.02768-14</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Langmead, B., Trapnell, C., Pop, M., &amp; Salzberg, S. L. (2009). Ultrafast and memory-efficient alignment of short DNA sequences to the human genome. </w:t>
      </w:r>
      <w:r>
        <w:rPr>
          <w:rStyle w:val="None A"/>
          <w:rFonts w:ascii="Arial" w:hAnsi="Arial"/>
          <w:i w:val="1"/>
          <w:iCs w:val="1"/>
          <w:sz w:val="18"/>
          <w:szCs w:val="18"/>
          <w:rtl w:val="0"/>
          <w:lang w:val="en-US"/>
        </w:rPr>
        <w:t>Genome Biol</w:t>
      </w:r>
      <w:r>
        <w:rPr>
          <w:rStyle w:val="None A"/>
          <w:rFonts w:ascii="Arial" w:hAnsi="Arial"/>
          <w:sz w:val="18"/>
          <w:szCs w:val="18"/>
          <w:rtl w:val="0"/>
          <w:lang w:val="en-US"/>
        </w:rPr>
        <w:t>, 1</w:t>
      </w:r>
      <w:r>
        <w:rPr>
          <w:rStyle w:val="None A"/>
          <w:rFonts w:ascii="Arial" w:hAnsi="Arial" w:hint="default"/>
          <w:sz w:val="18"/>
          <w:szCs w:val="18"/>
          <w:rtl w:val="0"/>
          <w:lang w:val="en-US"/>
        </w:rPr>
        <w:t>–</w:t>
      </w:r>
      <w:r>
        <w:rPr>
          <w:rStyle w:val="None A"/>
          <w:rFonts w:ascii="Arial" w:hAnsi="Arial"/>
          <w:sz w:val="18"/>
          <w:szCs w:val="18"/>
          <w:rtl w:val="0"/>
          <w:lang w:val="en-US"/>
        </w:rPr>
        <w:t>10. http://doi.org/gb-2009-10-3-r25 [pii]\r10.1186/gb-2009-10-3-r25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Lawley, T. D., &amp; Walker, A. W. (2013). Intestinal colonization resistance. </w:t>
      </w:r>
      <w:r>
        <w:rPr>
          <w:rStyle w:val="None A"/>
          <w:rFonts w:ascii="Arial" w:hAnsi="Arial"/>
          <w:i w:val="1"/>
          <w:iCs w:val="1"/>
          <w:sz w:val="18"/>
          <w:szCs w:val="18"/>
          <w:rtl w:val="0"/>
          <w:lang w:val="en-US"/>
        </w:rPr>
        <w:t>Immunology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138</w:t>
      </w:r>
      <w:r>
        <w:rPr>
          <w:rStyle w:val="None A"/>
          <w:rFonts w:ascii="Arial" w:hAnsi="Arial"/>
          <w:sz w:val="18"/>
          <w:szCs w:val="18"/>
          <w:rtl w:val="0"/>
          <w:lang w:val="en-US"/>
        </w:rPr>
        <w:t>(1), 1</w:t>
      </w:r>
      <w:r>
        <w:rPr>
          <w:rStyle w:val="None A"/>
          <w:rFonts w:ascii="Arial" w:hAnsi="Arial" w:hint="default"/>
          <w:sz w:val="18"/>
          <w:szCs w:val="18"/>
          <w:rtl w:val="0"/>
          <w:lang w:val="en-US"/>
        </w:rPr>
        <w:t>–</w:t>
      </w:r>
      <w:r>
        <w:rPr>
          <w:rStyle w:val="None A"/>
          <w:rFonts w:ascii="Arial" w:hAnsi="Arial"/>
          <w:sz w:val="18"/>
          <w:szCs w:val="18"/>
          <w:rtl w:val="0"/>
          <w:lang w:val="en-US"/>
        </w:rPr>
        <w:t>11. http://doi.org/10.1111/j.1365-2567.2012.03616.x</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Lee, A. S. Y., &amp; Song, K. P. (2005). LuxS/autoinducer-2 quorum sensing molecule regulates transcriptional virulence gene expression in Clostridium difficile. Biochemical and Biophysical Research Communications, 335(3), 659</w:t>
      </w:r>
      <w:r>
        <w:rPr>
          <w:rStyle w:val="None A"/>
          <w:rFonts w:ascii="Arial" w:hAnsi="Arial" w:hint="default"/>
          <w:sz w:val="18"/>
          <w:szCs w:val="18"/>
          <w:rtl w:val="0"/>
          <w:lang w:val="en-US"/>
        </w:rPr>
        <w:t>–</w:t>
      </w:r>
      <w:r>
        <w:rPr>
          <w:rStyle w:val="None A"/>
          <w:rFonts w:ascii="Arial" w:hAnsi="Arial"/>
          <w:sz w:val="18"/>
          <w:szCs w:val="18"/>
          <w:rtl w:val="0"/>
          <w:lang w:val="en-US"/>
        </w:rPr>
        <w:t xml:space="preserve">666. http://doi.org/10.1016/j.bbrc.2005.07.131Leffler, D. A., &amp; Lamont, J. T. (2015). Clostridium difficile Infection. </w:t>
      </w:r>
      <w:r>
        <w:rPr>
          <w:rStyle w:val="None A"/>
          <w:rFonts w:ascii="Arial" w:hAnsi="Arial"/>
          <w:i w:val="1"/>
          <w:iCs w:val="1"/>
          <w:sz w:val="18"/>
          <w:szCs w:val="18"/>
          <w:rtl w:val="0"/>
          <w:lang w:val="en-US"/>
        </w:rPr>
        <w:t>New England Journal of Medicine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372</w:t>
      </w:r>
      <w:r>
        <w:rPr>
          <w:rStyle w:val="None A"/>
          <w:rFonts w:ascii="Arial" w:hAnsi="Arial"/>
          <w:sz w:val="18"/>
          <w:szCs w:val="18"/>
          <w:rtl w:val="0"/>
          <w:lang w:val="en-US"/>
        </w:rPr>
        <w:t>(16), 1539</w:t>
      </w:r>
      <w:r>
        <w:rPr>
          <w:rStyle w:val="None A"/>
          <w:rFonts w:ascii="Arial" w:hAnsi="Arial" w:hint="default"/>
          <w:sz w:val="18"/>
          <w:szCs w:val="18"/>
          <w:rtl w:val="0"/>
          <w:lang w:val="en-US"/>
        </w:rPr>
        <w:t>–</w:t>
      </w:r>
      <w:r>
        <w:rPr>
          <w:rStyle w:val="None A"/>
          <w:rFonts w:ascii="Arial" w:hAnsi="Arial"/>
          <w:sz w:val="18"/>
          <w:szCs w:val="18"/>
          <w:rtl w:val="0"/>
          <w:lang w:val="en-US"/>
        </w:rPr>
        <w:t>1548. http://doi.org/10.1056/NEJMra1403772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Lessa, F. C., Gould, C. V, &amp; McDonald, L. C. (2012). Current status of Clostridium difficile infection epidemiology. </w:t>
      </w:r>
      <w:r>
        <w:rPr>
          <w:rStyle w:val="None A"/>
          <w:rFonts w:ascii="Arial" w:hAnsi="Arial"/>
          <w:i w:val="1"/>
          <w:iCs w:val="1"/>
          <w:sz w:val="18"/>
          <w:szCs w:val="18"/>
          <w:rtl w:val="0"/>
          <w:lang w:val="en-US"/>
        </w:rPr>
        <w:t>Clinical Infectious Diseases</w:t>
      </w:r>
      <w:r>
        <w:rPr>
          <w:rStyle w:val="None A"/>
          <w:rFonts w:ascii="Arial Unicode MS" w:hAnsi="Arial Unicode MS" w:hint="default"/>
          <w:sz w:val="18"/>
          <w:szCs w:val="18"/>
          <w:rtl w:val="0"/>
          <w:lang w:val="en-US"/>
        </w:rPr>
        <w:t> </w:t>
      </w:r>
      <w:r>
        <w:rPr>
          <w:rStyle w:val="None A"/>
          <w:rFonts w:ascii="Arial" w:hAnsi="Arial"/>
          <w:i w:val="1"/>
          <w:iCs w:val="1"/>
          <w:sz w:val="18"/>
          <w:szCs w:val="18"/>
          <w:rtl w:val="0"/>
          <w:lang w:val="en-US"/>
        </w:rPr>
        <w:t>: An Official Publication of the Infectious Diseases Society of America</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55 Suppl 2</w:t>
      </w:r>
      <w:r>
        <w:rPr>
          <w:rStyle w:val="None A"/>
          <w:rFonts w:ascii="Arial" w:hAnsi="Arial"/>
          <w:sz w:val="18"/>
          <w:szCs w:val="18"/>
          <w:rtl w:val="0"/>
          <w:lang w:val="en-US"/>
        </w:rPr>
        <w:t>(Suppl 2), S65</w:t>
      </w:r>
      <w:r>
        <w:rPr>
          <w:rStyle w:val="None A"/>
          <w:rFonts w:ascii="Arial" w:hAnsi="Arial" w:hint="default"/>
          <w:sz w:val="18"/>
          <w:szCs w:val="18"/>
          <w:rtl w:val="0"/>
          <w:lang w:val="en-US"/>
        </w:rPr>
        <w:t>–</w:t>
      </w:r>
      <w:r>
        <w:rPr>
          <w:rStyle w:val="None A"/>
          <w:rFonts w:ascii="Arial" w:hAnsi="Arial"/>
          <w:sz w:val="18"/>
          <w:szCs w:val="18"/>
          <w:rtl w:val="0"/>
          <w:lang w:val="en-US"/>
        </w:rPr>
        <w:t>70. http://doi.org/10.1093/cid/cis319</w:t>
      </w:r>
    </w:p>
    <w:p>
      <w:pPr>
        <w:pStyle w:val="Text body"/>
        <w:shd w:val="clear" w:color="auto" w:fill="ffffff"/>
        <w:ind w:left="480" w:hanging="480"/>
      </w:pPr>
      <w:r>
        <w:rPr>
          <w:rStyle w:val="None A"/>
          <w:rFonts w:ascii="Arial" w:hAnsi="Arial"/>
          <w:sz w:val="18"/>
          <w:szCs w:val="18"/>
          <w:rtl w:val="0"/>
          <w:lang w:val="en-US"/>
        </w:rPr>
        <w:t xml:space="preserve">Lessa, F. C., Mu, Y., Bamberg, W. M., Beldavs, Z. G., Dumyati, G. K., Dunn, J. R., &amp; McDonald, L. C. (2015). Burden of Clostridium difficile Infection in the United States. </w:t>
      </w:r>
      <w:r>
        <w:rPr>
          <w:rStyle w:val="None A"/>
          <w:rFonts w:ascii="Arial" w:hAnsi="Arial"/>
          <w:i w:val="1"/>
          <w:iCs w:val="1"/>
          <w:sz w:val="18"/>
          <w:szCs w:val="18"/>
          <w:rtl w:val="0"/>
          <w:lang w:val="en-US"/>
        </w:rPr>
        <w:t>The New England Journal of Medicine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372</w:t>
      </w:r>
      <w:r>
        <w:rPr>
          <w:rStyle w:val="None A"/>
          <w:rFonts w:ascii="Arial" w:hAnsi="Arial"/>
          <w:sz w:val="18"/>
          <w:szCs w:val="18"/>
          <w:rtl w:val="0"/>
          <w:lang w:val="en-US"/>
        </w:rPr>
        <w:t>(9), 825</w:t>
      </w:r>
      <w:r>
        <w:rPr>
          <w:rStyle w:val="None A"/>
          <w:rFonts w:ascii="Arial" w:hAnsi="Arial" w:hint="default"/>
          <w:sz w:val="18"/>
          <w:szCs w:val="18"/>
          <w:rtl w:val="0"/>
          <w:lang w:val="en-US"/>
        </w:rPr>
        <w:t>–</w:t>
      </w:r>
      <w:r>
        <w:rPr>
          <w:rStyle w:val="None A"/>
          <w:rFonts w:ascii="Arial" w:hAnsi="Arial"/>
          <w:sz w:val="18"/>
          <w:szCs w:val="18"/>
          <w:rtl w:val="0"/>
          <w:lang w:val="en-US"/>
        </w:rPr>
        <w:t xml:space="preserve">834. </w:t>
      </w:r>
      <w:r>
        <w:rPr>
          <w:rStyle w:val="Hyperlink.5"/>
        </w:rPr>
        <w:fldChar w:fldCharType="begin" w:fldLock="0"/>
      </w:r>
      <w:r>
        <w:rPr>
          <w:rStyle w:val="Hyperlink.5"/>
        </w:rPr>
        <w:instrText xml:space="preserve"> HYPERLINK "http://doi.org/10.1056/NEJMoa1408913"</w:instrText>
      </w:r>
      <w:r>
        <w:rPr>
          <w:rStyle w:val="Hyperlink.5"/>
        </w:rPr>
        <w:fldChar w:fldCharType="separate" w:fldLock="0"/>
      </w:r>
      <w:r>
        <w:rPr>
          <w:rStyle w:val="Hyperlink.5"/>
          <w:rtl w:val="0"/>
          <w:lang w:val="en-US"/>
        </w:rPr>
        <w:t>http://doi.org/10.1056/NEJMoa1408913</w:t>
      </w:r>
      <w:r>
        <w:rPr/>
        <w:fldChar w:fldCharType="end" w:fldLock="0"/>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Li, F., Hinderberger, J., Seedorf, H., Zhang, J., Buckel, W., &amp; Thauer, R. K. (2008). Coupled ferredoxin and crotonyl coenzyme A (CoA) reduction with NADH catalyzed by the butyryl-CoA dehydrogenase/Etf complex from Clostridium kluyveri.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190</w:t>
      </w:r>
      <w:r>
        <w:rPr>
          <w:rStyle w:val="None A"/>
          <w:rFonts w:ascii="Arial" w:hAnsi="Arial"/>
          <w:sz w:val="18"/>
          <w:szCs w:val="18"/>
          <w:rtl w:val="0"/>
          <w:lang w:val="en-US"/>
        </w:rPr>
        <w:t>(3), 843</w:t>
      </w:r>
      <w:r>
        <w:rPr>
          <w:rStyle w:val="None A"/>
          <w:rFonts w:ascii="Arial" w:hAnsi="Arial" w:hint="default"/>
          <w:sz w:val="18"/>
          <w:szCs w:val="18"/>
          <w:rtl w:val="0"/>
          <w:lang w:val="en-US"/>
        </w:rPr>
        <w:t>–</w:t>
      </w:r>
      <w:r>
        <w:rPr>
          <w:rStyle w:val="None A"/>
          <w:rFonts w:ascii="Arial" w:hAnsi="Arial"/>
          <w:sz w:val="18"/>
          <w:szCs w:val="18"/>
          <w:rtl w:val="0"/>
          <w:lang w:val="en-US"/>
        </w:rPr>
        <w:t>850. http://doi.org/10.1128/JB.01417-07</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Li, H., Handsaker, B., Wysoker, A., Fennell, T., Ruan, J., Homer, N., &amp; Durbin, R. (2009). The Sequence Alignment/Map format and SAMtools. </w:t>
      </w:r>
      <w:r>
        <w:rPr>
          <w:rStyle w:val="None A"/>
          <w:rFonts w:ascii="Arial" w:hAnsi="Arial"/>
          <w:i w:val="1"/>
          <w:iCs w:val="1"/>
          <w:sz w:val="18"/>
          <w:szCs w:val="18"/>
          <w:rtl w:val="0"/>
          <w:lang w:val="en-US"/>
        </w:rPr>
        <w:t>Bioinformatics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25</w:t>
      </w:r>
      <w:r>
        <w:rPr>
          <w:rStyle w:val="None A"/>
          <w:rFonts w:ascii="Arial" w:hAnsi="Arial"/>
          <w:sz w:val="18"/>
          <w:szCs w:val="18"/>
          <w:rtl w:val="0"/>
          <w:lang w:val="en-US"/>
        </w:rPr>
        <w:t>(16), 2078</w:t>
      </w:r>
      <w:r>
        <w:rPr>
          <w:rStyle w:val="None A"/>
          <w:rFonts w:ascii="Arial" w:hAnsi="Arial" w:hint="default"/>
          <w:sz w:val="18"/>
          <w:szCs w:val="18"/>
          <w:rtl w:val="0"/>
          <w:lang w:val="en-US"/>
        </w:rPr>
        <w:t>–</w:t>
      </w:r>
      <w:r>
        <w:rPr>
          <w:rStyle w:val="None A"/>
          <w:rFonts w:ascii="Arial" w:hAnsi="Arial"/>
          <w:sz w:val="18"/>
          <w:szCs w:val="18"/>
          <w:rtl w:val="0"/>
          <w:lang w:val="en-US"/>
        </w:rPr>
        <w:t>2079. http://doi.org/10.1093/bioinformatics/btp352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L</w:t>
      </w:r>
      <w:r>
        <w:rPr>
          <w:rStyle w:val="None A"/>
          <w:rFonts w:ascii="Arial" w:hAnsi="Arial" w:hint="default"/>
          <w:sz w:val="18"/>
          <w:szCs w:val="18"/>
          <w:rtl w:val="0"/>
          <w:lang w:val="en-US"/>
        </w:rPr>
        <w:t>ó</w:t>
      </w:r>
      <w:r>
        <w:rPr>
          <w:rStyle w:val="None A"/>
          <w:rFonts w:ascii="Arial" w:hAnsi="Arial"/>
          <w:sz w:val="18"/>
          <w:szCs w:val="18"/>
          <w:rtl w:val="0"/>
          <w:lang w:val="en-US"/>
        </w:rPr>
        <w:t>pez-Maury, L., Marguerat, S., &amp; B</w:t>
      </w:r>
      <w:r>
        <w:rPr>
          <w:rStyle w:val="None A"/>
          <w:rFonts w:ascii="Arial" w:hAnsi="Arial" w:hint="default"/>
          <w:sz w:val="18"/>
          <w:szCs w:val="18"/>
          <w:rtl w:val="0"/>
          <w:lang w:val="en-US"/>
        </w:rPr>
        <w:t>ä</w:t>
      </w:r>
      <w:r>
        <w:rPr>
          <w:rStyle w:val="None A"/>
          <w:rFonts w:ascii="Arial" w:hAnsi="Arial"/>
          <w:sz w:val="18"/>
          <w:szCs w:val="18"/>
          <w:rtl w:val="0"/>
          <w:lang w:val="en-US"/>
        </w:rPr>
        <w:t xml:space="preserve">hler, J. (2008). Tuning gene expression to changing environments: from rapid responses to evolutionary adaptation. </w:t>
      </w:r>
      <w:r>
        <w:rPr>
          <w:rStyle w:val="None A"/>
          <w:rFonts w:ascii="Arial" w:hAnsi="Arial"/>
          <w:i w:val="1"/>
          <w:iCs w:val="1"/>
          <w:sz w:val="18"/>
          <w:szCs w:val="18"/>
          <w:rtl w:val="0"/>
          <w:lang w:val="en-US"/>
        </w:rPr>
        <w:t>Nature Reviews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(8), 583</w:t>
      </w:r>
      <w:r>
        <w:rPr>
          <w:rStyle w:val="None A"/>
          <w:rFonts w:ascii="Arial" w:hAnsi="Arial" w:hint="default"/>
          <w:sz w:val="18"/>
          <w:szCs w:val="18"/>
          <w:rtl w:val="0"/>
          <w:lang w:val="en-US"/>
        </w:rPr>
        <w:t>–</w:t>
      </w:r>
      <w:r>
        <w:rPr>
          <w:rStyle w:val="None A"/>
          <w:rFonts w:ascii="Arial" w:hAnsi="Arial"/>
          <w:sz w:val="18"/>
          <w:szCs w:val="18"/>
          <w:rtl w:val="0"/>
          <w:lang w:val="en-US"/>
        </w:rPr>
        <w:t>593. http://doi.org/10.1038/nrg2398</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L</w:t>
      </w:r>
      <w:r>
        <w:rPr>
          <w:rStyle w:val="None A"/>
          <w:rFonts w:ascii="Arial" w:hAnsi="Arial" w:hint="default"/>
          <w:sz w:val="18"/>
          <w:szCs w:val="18"/>
          <w:rtl w:val="0"/>
          <w:lang w:val="en-US"/>
        </w:rPr>
        <w:t>ó</w:t>
      </w:r>
      <w:r>
        <w:rPr>
          <w:rStyle w:val="None A"/>
          <w:rFonts w:ascii="Arial" w:hAnsi="Arial"/>
          <w:sz w:val="18"/>
          <w:szCs w:val="18"/>
          <w:rtl w:val="0"/>
          <w:lang w:val="en-US"/>
        </w:rPr>
        <w:t>pez-Maury, L., Marguerat, S., &amp; B</w:t>
      </w:r>
      <w:r>
        <w:rPr>
          <w:rStyle w:val="None A"/>
          <w:rFonts w:ascii="Arial" w:hAnsi="Arial" w:hint="default"/>
          <w:sz w:val="18"/>
          <w:szCs w:val="18"/>
          <w:rtl w:val="0"/>
          <w:lang w:val="en-US"/>
        </w:rPr>
        <w:t>ä</w:t>
      </w:r>
      <w:r>
        <w:rPr>
          <w:rStyle w:val="None A"/>
          <w:rFonts w:ascii="Arial" w:hAnsi="Arial"/>
          <w:sz w:val="18"/>
          <w:szCs w:val="18"/>
          <w:rtl w:val="0"/>
          <w:lang w:val="en-US"/>
        </w:rPr>
        <w:t xml:space="preserve">hler, J. (2008). Tuning gene expression to changing environments: from rapid responses to evolutionary adaptation. </w:t>
      </w:r>
      <w:r>
        <w:rPr>
          <w:rStyle w:val="None A"/>
          <w:rFonts w:ascii="Arial" w:hAnsi="Arial"/>
          <w:i w:val="1"/>
          <w:iCs w:val="1"/>
          <w:sz w:val="18"/>
          <w:szCs w:val="18"/>
          <w:rtl w:val="0"/>
          <w:lang w:val="en-US"/>
        </w:rPr>
        <w:t>Nature Reviews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(8), 583</w:t>
      </w:r>
      <w:r>
        <w:rPr>
          <w:rStyle w:val="None A"/>
          <w:rFonts w:ascii="Arial" w:hAnsi="Arial" w:hint="default"/>
          <w:sz w:val="18"/>
          <w:szCs w:val="18"/>
          <w:rtl w:val="0"/>
          <w:lang w:val="en-US"/>
        </w:rPr>
        <w:t>–</w:t>
      </w:r>
      <w:r>
        <w:rPr>
          <w:rStyle w:val="None A"/>
          <w:rFonts w:ascii="Arial" w:hAnsi="Arial"/>
          <w:sz w:val="18"/>
          <w:szCs w:val="18"/>
          <w:rtl w:val="0"/>
          <w:lang w:val="en-US"/>
        </w:rPr>
        <w:t>593. http://doi.org/10.1038/nrg2398</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Lopez-Medina, E., Neubauer, M. M., Pier, G. B., &amp; Koh, A. Y. (2011). RNA isolation of Pseudomonas aeruginosa colonizing the murine gastrointestinal tract. </w:t>
      </w:r>
      <w:r>
        <w:rPr>
          <w:rStyle w:val="None A"/>
          <w:rFonts w:ascii="Arial" w:hAnsi="Arial"/>
          <w:i w:val="1"/>
          <w:iCs w:val="1"/>
          <w:sz w:val="18"/>
          <w:szCs w:val="18"/>
          <w:rtl w:val="0"/>
          <w:lang w:val="en-US"/>
        </w:rPr>
        <w:t>Journal of Visualized Experiments</w:t>
      </w:r>
      <w:r>
        <w:rPr>
          <w:rStyle w:val="None A"/>
          <w:rFonts w:ascii="Arial Unicode MS" w:hAnsi="Arial Unicode MS" w:hint="default"/>
          <w:sz w:val="18"/>
          <w:szCs w:val="18"/>
          <w:rtl w:val="0"/>
          <w:lang w:val="en-US"/>
        </w:rPr>
        <w:t> </w:t>
      </w:r>
      <w:r>
        <w:rPr>
          <w:rStyle w:val="None A"/>
          <w:rFonts w:ascii="Arial" w:hAnsi="Arial"/>
          <w:i w:val="1"/>
          <w:iCs w:val="1"/>
          <w:sz w:val="18"/>
          <w:szCs w:val="18"/>
          <w:rtl w:val="0"/>
          <w:lang w:val="en-US"/>
        </w:rPr>
        <w:t>: JoVE</w:t>
      </w:r>
      <w:r>
        <w:rPr>
          <w:rStyle w:val="None A"/>
          <w:rFonts w:ascii="Arial" w:hAnsi="Arial"/>
          <w:sz w:val="18"/>
          <w:szCs w:val="18"/>
          <w:rtl w:val="0"/>
          <w:lang w:val="en-US"/>
        </w:rPr>
        <w:t>, (55), 6</w:t>
      </w:r>
      <w:r>
        <w:rPr>
          <w:rStyle w:val="None A"/>
          <w:rFonts w:ascii="Arial" w:hAnsi="Arial" w:hint="default"/>
          <w:sz w:val="18"/>
          <w:szCs w:val="18"/>
          <w:rtl w:val="0"/>
          <w:lang w:val="en-US"/>
        </w:rPr>
        <w:t>–</w:t>
      </w:r>
      <w:r>
        <w:rPr>
          <w:rStyle w:val="None A"/>
          <w:rFonts w:ascii="Arial" w:hAnsi="Arial"/>
          <w:sz w:val="18"/>
          <w:szCs w:val="18"/>
          <w:rtl w:val="0"/>
          <w:lang w:val="en-US"/>
        </w:rPr>
        <w:t>9. http://doi.org/10.3791/3293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Martin, M. (2011). Cutadapt removes adapter sequences from high-throughput sequencing reads. </w:t>
      </w:r>
      <w:r>
        <w:rPr>
          <w:rStyle w:val="None A"/>
          <w:rFonts w:ascii="Arial" w:hAnsi="Arial"/>
          <w:i w:val="1"/>
          <w:iCs w:val="1"/>
          <w:sz w:val="18"/>
          <w:szCs w:val="18"/>
          <w:rtl w:val="0"/>
          <w:lang w:val="en-US"/>
        </w:rPr>
        <w:t>EMBnet.journal</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17</w:t>
      </w:r>
      <w:r>
        <w:rPr>
          <w:rStyle w:val="None A"/>
          <w:rFonts w:ascii="Arial" w:hAnsi="Arial"/>
          <w:sz w:val="18"/>
          <w:szCs w:val="18"/>
          <w:rtl w:val="0"/>
          <w:lang w:val="en-US"/>
        </w:rPr>
        <w:t>(1), 10. http://doi.org/10.14806/ej.17.1.200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M, N.-S., JD, H., SE, W., &amp; D, S. (2015). Time-resolved amino acid uptake of Clostridium difficile 630</w:t>
      </w:r>
      <w:r>
        <w:rPr>
          <w:rStyle w:val="None A"/>
          <w:rFonts w:ascii="Arial" w:hAnsi="Arial" w:hint="default"/>
          <w:sz w:val="18"/>
          <w:szCs w:val="18"/>
          <w:rtl w:val="0"/>
          <w:lang w:val="en-US"/>
        </w:rPr>
        <w:t>Δ</w:t>
      </w:r>
      <w:r>
        <w:rPr>
          <w:rStyle w:val="None A"/>
          <w:rFonts w:ascii="Arial" w:hAnsi="Arial"/>
          <w:sz w:val="18"/>
          <w:szCs w:val="18"/>
          <w:rtl w:val="0"/>
          <w:lang w:val="en-US"/>
        </w:rPr>
        <w:t xml:space="preserve">erm and concomitant fermentation product and toxin formation. </w:t>
      </w:r>
      <w:r>
        <w:rPr>
          <w:rStyle w:val="None A"/>
          <w:rFonts w:ascii="Arial" w:hAnsi="Arial"/>
          <w:i w:val="1"/>
          <w:iCs w:val="1"/>
          <w:sz w:val="18"/>
          <w:szCs w:val="18"/>
          <w:rtl w:val="0"/>
          <w:lang w:val="en-US"/>
        </w:rPr>
        <w:t>BMC Microbiology</w:t>
      </w:r>
      <w:r>
        <w:rPr>
          <w:rStyle w:val="None A"/>
          <w:rFonts w:ascii="Arial" w:hAnsi="Arial"/>
          <w:sz w:val="18"/>
          <w:szCs w:val="18"/>
          <w:rtl w:val="0"/>
          <w:lang w:val="en-US"/>
        </w:rPr>
        <w:t>, 281. http://doi.org/10.1186/s12866-015-0614-2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M, N.-S., JD, H., SE, W., &amp; D, S. (2015). Time-resolved amino acid uptake of Clostridium difficile 630</w:t>
      </w:r>
      <w:r>
        <w:rPr>
          <w:rStyle w:val="None A"/>
          <w:rFonts w:ascii="Arial" w:hAnsi="Arial" w:hint="default"/>
          <w:sz w:val="18"/>
          <w:szCs w:val="18"/>
          <w:rtl w:val="0"/>
          <w:lang w:val="en-US"/>
        </w:rPr>
        <w:t>Δ</w:t>
      </w:r>
      <w:r>
        <w:rPr>
          <w:rStyle w:val="None A"/>
          <w:rFonts w:ascii="Arial" w:hAnsi="Arial"/>
          <w:sz w:val="18"/>
          <w:szCs w:val="18"/>
          <w:rtl w:val="0"/>
          <w:lang w:val="en-US"/>
        </w:rPr>
        <w:t xml:space="preserve">erm and concomitant fermentation product and toxin formation. </w:t>
      </w:r>
      <w:r>
        <w:rPr>
          <w:rStyle w:val="None A"/>
          <w:rFonts w:ascii="Arial" w:hAnsi="Arial"/>
          <w:i w:val="1"/>
          <w:iCs w:val="1"/>
          <w:sz w:val="18"/>
          <w:szCs w:val="18"/>
          <w:rtl w:val="0"/>
          <w:lang w:val="en-US"/>
        </w:rPr>
        <w:t>BMC Microbiology</w:t>
      </w:r>
      <w:r>
        <w:rPr>
          <w:rStyle w:val="None A"/>
          <w:rFonts w:ascii="Arial" w:hAnsi="Arial"/>
          <w:sz w:val="18"/>
          <w:szCs w:val="18"/>
          <w:rtl w:val="0"/>
          <w:lang w:val="en-US"/>
        </w:rPr>
        <w:t>, 281. http://doi.org/10.1186/s12866-015-0614-2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Martin, M. J., Clare, S., Goulding, D., Faulds-Pain, A., Barquist, L., Browne, H. P., &amp; Wren, B. W. (2013). The agr locus regulates virulence and colonization genes in clostridium difficile 027. Journal of Bacteriology, 195(16), 3672</w:t>
      </w:r>
      <w:r>
        <w:rPr>
          <w:rStyle w:val="None A"/>
          <w:rFonts w:ascii="Arial" w:hAnsi="Arial" w:hint="default"/>
          <w:sz w:val="18"/>
          <w:szCs w:val="18"/>
          <w:rtl w:val="0"/>
          <w:lang w:val="en-US"/>
        </w:rPr>
        <w:t>–</w:t>
      </w:r>
      <w:r>
        <w:rPr>
          <w:rStyle w:val="None A"/>
          <w:rFonts w:ascii="Arial" w:hAnsi="Arial"/>
          <w:sz w:val="18"/>
          <w:szCs w:val="18"/>
          <w:rtl w:val="0"/>
          <w:lang w:val="en-US"/>
        </w:rPr>
        <w:t xml:space="preserve">3681. http://doi.org/10.1128/JB.00473-13Matamouros, S., England, P., &amp; Dupuy, B. (2007). Clostridium difficile toxin expression is inhibited by the novel regulator TcdC. </w:t>
      </w:r>
      <w:r>
        <w:rPr>
          <w:rStyle w:val="None A"/>
          <w:rFonts w:ascii="Arial" w:hAnsi="Arial"/>
          <w:i w:val="1"/>
          <w:iCs w:val="1"/>
          <w:sz w:val="18"/>
          <w:szCs w:val="18"/>
          <w:rtl w:val="0"/>
          <w:lang w:val="en-US"/>
        </w:rPr>
        <w:t>Molecular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64</w:t>
      </w:r>
      <w:r>
        <w:rPr>
          <w:rStyle w:val="None A"/>
          <w:rFonts w:ascii="Arial" w:hAnsi="Arial"/>
          <w:sz w:val="18"/>
          <w:szCs w:val="18"/>
          <w:rtl w:val="0"/>
          <w:lang w:val="en-US"/>
        </w:rPr>
        <w:t>(5), 1274</w:t>
      </w:r>
      <w:r>
        <w:rPr>
          <w:rStyle w:val="None A"/>
          <w:rFonts w:ascii="Arial" w:hAnsi="Arial" w:hint="default"/>
          <w:sz w:val="18"/>
          <w:szCs w:val="18"/>
          <w:rtl w:val="0"/>
          <w:lang w:val="en-US"/>
        </w:rPr>
        <w:t>–</w:t>
      </w:r>
      <w:r>
        <w:rPr>
          <w:rStyle w:val="None A"/>
          <w:rFonts w:ascii="Arial" w:hAnsi="Arial"/>
          <w:sz w:val="18"/>
          <w:szCs w:val="18"/>
          <w:rtl w:val="0"/>
          <w:lang w:val="en-US"/>
        </w:rPr>
        <w:t>1288. http://doi.org/10.1111/j.1365-2958.2007.05739.x</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Matsumoto, M., Kibe, R., Ooga, T., Aiba, Y., Kurihara, S., Sawaki, E., &amp; Benno, Y. (2012). Impact of intestinal microbiota on intestinal luminal metabolome. Scientific Reports, 2, 233. http://doi.org/10.1038/srep00233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Matsuno, K., &amp; Sonenshein, A. L. (1999). Role of SpoVG in asymmetric septation in Bacillus subtilis. Journal of Bacteriology, 181(11), 3392</w:t>
      </w:r>
      <w:r>
        <w:rPr>
          <w:rStyle w:val="None A"/>
          <w:rFonts w:ascii="Arial" w:hAnsi="Arial" w:hint="default"/>
          <w:sz w:val="18"/>
          <w:szCs w:val="18"/>
          <w:rtl w:val="0"/>
          <w:lang w:val="en-US"/>
        </w:rPr>
        <w:t>–</w:t>
      </w:r>
      <w:r>
        <w:rPr>
          <w:rStyle w:val="None A"/>
          <w:rFonts w:ascii="Arial" w:hAnsi="Arial"/>
          <w:sz w:val="18"/>
          <w:szCs w:val="18"/>
          <w:rtl w:val="0"/>
          <w:lang w:val="en-US"/>
        </w:rPr>
        <w:t>3401.</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Moncrief, J. S., Barroso, L. A., &amp; Wilkins, T. D. (1997). Positive regulation of Clostridium difficile toxins.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65</w:t>
      </w:r>
      <w:r>
        <w:rPr>
          <w:rStyle w:val="None A"/>
          <w:rFonts w:ascii="Arial" w:hAnsi="Arial"/>
          <w:sz w:val="18"/>
          <w:szCs w:val="18"/>
          <w:rtl w:val="0"/>
          <w:lang w:val="en-US"/>
        </w:rPr>
        <w:t>(3), 1105</w:t>
      </w:r>
      <w:r>
        <w:rPr>
          <w:rStyle w:val="None A"/>
          <w:rFonts w:ascii="Arial" w:hAnsi="Arial" w:hint="default"/>
          <w:sz w:val="18"/>
          <w:szCs w:val="18"/>
          <w:rtl w:val="0"/>
          <w:lang w:val="en-US"/>
        </w:rPr>
        <w:t>–</w:t>
      </w:r>
      <w:r>
        <w:rPr>
          <w:rStyle w:val="None A"/>
          <w:rFonts w:ascii="Arial" w:hAnsi="Arial"/>
          <w:sz w:val="18"/>
          <w:szCs w:val="18"/>
          <w:rtl w:val="0"/>
          <w:lang w:val="en-US"/>
        </w:rPr>
        <w:t>1108.</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Naaber, P., Smidt, I., </w:t>
      </w:r>
      <w:r>
        <w:rPr>
          <w:rStyle w:val="None A"/>
          <w:rFonts w:ascii="Arial" w:hAnsi="Arial" w:hint="default"/>
          <w:sz w:val="18"/>
          <w:szCs w:val="18"/>
          <w:rtl w:val="0"/>
          <w:lang w:val="en-US"/>
        </w:rPr>
        <w:t>Š</w:t>
      </w:r>
      <w:r>
        <w:rPr>
          <w:rStyle w:val="None A"/>
          <w:rFonts w:ascii="Arial" w:hAnsi="Arial"/>
          <w:sz w:val="18"/>
          <w:szCs w:val="18"/>
          <w:rtl w:val="0"/>
          <w:lang w:val="en-US"/>
        </w:rPr>
        <w:t>t</w:t>
      </w:r>
      <w:r>
        <w:rPr>
          <w:rStyle w:val="None A"/>
          <w:rFonts w:ascii="Arial" w:hAnsi="Arial" w:hint="default"/>
          <w:sz w:val="18"/>
          <w:szCs w:val="18"/>
          <w:rtl w:val="0"/>
          <w:lang w:val="en-US"/>
        </w:rPr>
        <w:t>š</w:t>
      </w:r>
      <w:r>
        <w:rPr>
          <w:rStyle w:val="None A"/>
          <w:rFonts w:ascii="Arial" w:hAnsi="Arial"/>
          <w:sz w:val="18"/>
          <w:szCs w:val="18"/>
          <w:rtl w:val="0"/>
          <w:lang w:val="en-US"/>
        </w:rPr>
        <w:t xml:space="preserve">epetova, J., Brilene, T., Annuk, H., &amp; Mikelsaar, M. (2004). Inhibition of Clostridium difficile strains by intestinal Lactobacillus species. </w:t>
      </w:r>
      <w:r>
        <w:rPr>
          <w:rStyle w:val="None A"/>
          <w:rFonts w:ascii="Arial" w:hAnsi="Arial"/>
          <w:i w:val="1"/>
          <w:iCs w:val="1"/>
          <w:sz w:val="18"/>
          <w:szCs w:val="18"/>
          <w:rtl w:val="0"/>
          <w:lang w:val="en-US"/>
        </w:rPr>
        <w:t>Journal of Medical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53</w:t>
      </w:r>
      <w:r>
        <w:rPr>
          <w:rStyle w:val="None A"/>
          <w:rFonts w:ascii="Arial" w:hAnsi="Arial"/>
          <w:sz w:val="18"/>
          <w:szCs w:val="18"/>
          <w:rtl w:val="0"/>
          <w:lang w:val="en-US"/>
        </w:rPr>
        <w:t>(6), 551</w:t>
      </w:r>
      <w:r>
        <w:rPr>
          <w:rStyle w:val="None A"/>
          <w:rFonts w:ascii="Arial" w:hAnsi="Arial" w:hint="default"/>
          <w:sz w:val="18"/>
          <w:szCs w:val="18"/>
          <w:rtl w:val="0"/>
          <w:lang w:val="en-US"/>
        </w:rPr>
        <w:t>–</w:t>
      </w:r>
      <w:r>
        <w:rPr>
          <w:rStyle w:val="None A"/>
          <w:rFonts w:ascii="Arial" w:hAnsi="Arial"/>
          <w:sz w:val="18"/>
          <w:szCs w:val="18"/>
          <w:rtl w:val="0"/>
          <w:lang w:val="en-US"/>
        </w:rPr>
        <w:t>554. http://doi.org/10.1099/jmm.0.45595-0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Nakamura, S., Nakashio, S., Yamakawa, K., Tanabe, N., &amp; Nishida, S. (1982). Carbohydrate Fermentation by Clostridium difficile. Microbiology and Immunology, 26(2), 107</w:t>
      </w:r>
      <w:r>
        <w:rPr>
          <w:rStyle w:val="None A"/>
          <w:rFonts w:ascii="Arial" w:hAnsi="Arial" w:hint="default"/>
          <w:sz w:val="18"/>
          <w:szCs w:val="18"/>
          <w:rtl w:val="0"/>
          <w:lang w:val="en-US"/>
        </w:rPr>
        <w:t>–</w:t>
      </w:r>
      <w:r>
        <w:rPr>
          <w:rStyle w:val="None A"/>
          <w:rFonts w:ascii="Arial" w:hAnsi="Arial"/>
          <w:sz w:val="18"/>
          <w:szCs w:val="18"/>
          <w:rtl w:val="0"/>
          <w:lang w:val="en-US"/>
        </w:rPr>
        <w:t>111. http://doi.org/10.1111/j.1348-0421.1982.tb00159.x</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Ng, K. M., Ferreyra, J. a, Higginbottom, S. K., Lynch, J. B., Kashyap, P. C., Gopinath, S., &amp; Sonnenburg, J. L. (2013). Microbiota-liberated host sugars facilitate post-antibiotic expansion of enteric pathogens. </w:t>
      </w:r>
      <w:r>
        <w:rPr>
          <w:rStyle w:val="None A"/>
          <w:rFonts w:ascii="Arial" w:hAnsi="Arial"/>
          <w:i w:val="1"/>
          <w:iCs w:val="1"/>
          <w:sz w:val="18"/>
          <w:szCs w:val="18"/>
          <w:rtl w:val="0"/>
          <w:lang w:val="en-US"/>
        </w:rPr>
        <w:t>Nature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502</w:t>
      </w:r>
      <w:r>
        <w:rPr>
          <w:rStyle w:val="None A"/>
          <w:rFonts w:ascii="Arial" w:hAnsi="Arial"/>
          <w:sz w:val="18"/>
          <w:szCs w:val="18"/>
          <w:rtl w:val="0"/>
          <w:lang w:val="en-US"/>
        </w:rPr>
        <w:t>(7469), 96</w:t>
      </w:r>
      <w:r>
        <w:rPr>
          <w:rStyle w:val="None A"/>
          <w:rFonts w:ascii="Arial" w:hAnsi="Arial" w:hint="default"/>
          <w:sz w:val="18"/>
          <w:szCs w:val="18"/>
          <w:rtl w:val="0"/>
          <w:lang w:val="en-US"/>
        </w:rPr>
        <w:t>–</w:t>
      </w:r>
      <w:r>
        <w:rPr>
          <w:rStyle w:val="None A"/>
          <w:rFonts w:ascii="Arial" w:hAnsi="Arial"/>
          <w:sz w:val="18"/>
          <w:szCs w:val="18"/>
          <w:rtl w:val="0"/>
          <w:lang w:val="en-US"/>
        </w:rPr>
        <w:t>9. http://doi.org/10.1038/nature12503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Patil, K. R., &amp; Nielsen, J. (2005). Uncovering transcriptional regulation of metabolism by using metabolic network topology. </w:t>
      </w:r>
      <w:r>
        <w:rPr>
          <w:rStyle w:val="None A"/>
          <w:rFonts w:ascii="Arial" w:hAnsi="Arial"/>
          <w:i w:val="1"/>
          <w:iCs w:val="1"/>
          <w:sz w:val="18"/>
          <w:szCs w:val="18"/>
          <w:rtl w:val="0"/>
          <w:lang w:val="en-US"/>
        </w:rPr>
        <w:t>Proceedings of the National Academy of the Sciences of the United States of America</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102</w:t>
      </w:r>
      <w:r>
        <w:rPr>
          <w:rStyle w:val="None A"/>
          <w:rFonts w:ascii="Arial" w:hAnsi="Arial"/>
          <w:sz w:val="18"/>
          <w:szCs w:val="18"/>
          <w:rtl w:val="0"/>
          <w:lang w:val="en-US"/>
        </w:rPr>
        <w:t>(8), 2685</w:t>
      </w:r>
      <w:r>
        <w:rPr>
          <w:rStyle w:val="None A"/>
          <w:rFonts w:ascii="Arial" w:hAnsi="Arial" w:hint="default"/>
          <w:sz w:val="18"/>
          <w:szCs w:val="18"/>
          <w:rtl w:val="0"/>
          <w:lang w:val="en-US"/>
        </w:rPr>
        <w:t>–</w:t>
      </w:r>
      <w:r>
        <w:rPr>
          <w:rStyle w:val="None A"/>
          <w:rFonts w:ascii="Arial" w:hAnsi="Arial"/>
          <w:sz w:val="18"/>
          <w:szCs w:val="18"/>
          <w:rtl w:val="0"/>
          <w:lang w:val="en-US"/>
        </w:rPr>
        <w:t>2689.</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Patil, K. R., &amp; Nielsen, J. (2005). Uncovering transcriptional regulation of metabolism by using metabolic network topology. </w:t>
      </w:r>
      <w:r>
        <w:rPr>
          <w:rStyle w:val="None A"/>
          <w:rFonts w:ascii="Arial" w:hAnsi="Arial"/>
          <w:i w:val="1"/>
          <w:iCs w:val="1"/>
          <w:sz w:val="18"/>
          <w:szCs w:val="18"/>
          <w:rtl w:val="0"/>
          <w:lang w:val="en-US"/>
        </w:rPr>
        <w:t>Proceedings of the National Academy of the Sciences of the United States of America</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102</w:t>
      </w:r>
      <w:r>
        <w:rPr>
          <w:rStyle w:val="None A"/>
          <w:rFonts w:ascii="Arial" w:hAnsi="Arial"/>
          <w:sz w:val="18"/>
          <w:szCs w:val="18"/>
          <w:rtl w:val="0"/>
          <w:lang w:val="en-US"/>
        </w:rPr>
        <w:t>(8), 2685</w:t>
      </w:r>
      <w:r>
        <w:rPr>
          <w:rStyle w:val="None A"/>
          <w:rFonts w:ascii="Arial" w:hAnsi="Arial" w:hint="default"/>
          <w:sz w:val="18"/>
          <w:szCs w:val="18"/>
          <w:rtl w:val="0"/>
          <w:lang w:val="en-US"/>
        </w:rPr>
        <w:t>–</w:t>
      </w:r>
      <w:r>
        <w:rPr>
          <w:rStyle w:val="None A"/>
          <w:rFonts w:ascii="Arial" w:hAnsi="Arial"/>
          <w:sz w:val="18"/>
          <w:szCs w:val="18"/>
          <w:rtl w:val="0"/>
          <w:lang w:val="en-US"/>
        </w:rPr>
        <w:t>2689.</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Permpoonpattana, P., Phetcharaburanin, J., Mikelsone, A., Dembek, M., Tan, S., Brisson, M. C., &amp; Cutting, S. M. (2013). Functional characterization of Clostridium difficile spore coat proteins.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195</w:t>
      </w:r>
      <w:r>
        <w:rPr>
          <w:rStyle w:val="None A"/>
          <w:rFonts w:ascii="Arial" w:hAnsi="Arial"/>
          <w:sz w:val="18"/>
          <w:szCs w:val="18"/>
          <w:rtl w:val="0"/>
          <w:lang w:val="en-US"/>
        </w:rPr>
        <w:t>(7), 1492</w:t>
      </w:r>
      <w:r>
        <w:rPr>
          <w:rStyle w:val="None A"/>
          <w:rFonts w:ascii="Arial" w:hAnsi="Arial" w:hint="default"/>
          <w:sz w:val="18"/>
          <w:szCs w:val="18"/>
          <w:rtl w:val="0"/>
          <w:lang w:val="en-US"/>
        </w:rPr>
        <w:t>–</w:t>
      </w:r>
      <w:r>
        <w:rPr>
          <w:rStyle w:val="None A"/>
          <w:rFonts w:ascii="Arial" w:hAnsi="Arial"/>
          <w:sz w:val="18"/>
          <w:szCs w:val="18"/>
          <w:rtl w:val="0"/>
          <w:lang w:val="en-US"/>
        </w:rPr>
        <w:t>1503. http://doi.org/10.1128/JB.02104-12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Pierpoint, W. S. (1994). Salicylic Acid and its Derivatives in Plants: Medicines, Metabolites and Messenger Molecules. In Advances in Botanical Research (Vol. Volume 20, pp. 163</w:t>
      </w:r>
      <w:r>
        <w:rPr>
          <w:rStyle w:val="None A"/>
          <w:rFonts w:ascii="Arial" w:hAnsi="Arial" w:hint="default"/>
          <w:sz w:val="18"/>
          <w:szCs w:val="18"/>
          <w:rtl w:val="0"/>
          <w:lang w:val="en-US"/>
        </w:rPr>
        <w:t>–</w:t>
      </w:r>
      <w:r>
        <w:rPr>
          <w:rStyle w:val="None A"/>
          <w:rFonts w:ascii="Arial" w:hAnsi="Arial"/>
          <w:sz w:val="18"/>
          <w:szCs w:val="18"/>
          <w:rtl w:val="0"/>
          <w:lang w:val="en-US"/>
        </w:rPr>
        <w:t>235). http://doi.org/10.1016/S0065-2296(08)60217-7</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Saujet, L., Pereira, F. C., Henriques, A. O., &amp; Martin-Verstraete, I. (2014). The regulatory network controlling spore formation in Clostridium difficile. </w:t>
      </w:r>
      <w:r>
        <w:rPr>
          <w:rStyle w:val="None A"/>
          <w:rFonts w:ascii="Arial" w:hAnsi="Arial"/>
          <w:i w:val="1"/>
          <w:iCs w:val="1"/>
          <w:sz w:val="18"/>
          <w:szCs w:val="18"/>
          <w:rtl w:val="0"/>
          <w:lang w:val="en-US"/>
        </w:rPr>
        <w:t>FEMS Microbiology Letters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358</w:t>
      </w:r>
      <w:r>
        <w:rPr>
          <w:rStyle w:val="None A"/>
          <w:rFonts w:ascii="Arial" w:hAnsi="Arial"/>
          <w:sz w:val="18"/>
          <w:szCs w:val="18"/>
          <w:rtl w:val="0"/>
          <w:lang w:val="en-US"/>
        </w:rPr>
        <w:t>(1), 1</w:t>
      </w:r>
      <w:r>
        <w:rPr>
          <w:rStyle w:val="None A"/>
          <w:rFonts w:ascii="Arial" w:hAnsi="Arial" w:hint="default"/>
          <w:sz w:val="18"/>
          <w:szCs w:val="18"/>
          <w:rtl w:val="0"/>
          <w:lang w:val="en-US"/>
        </w:rPr>
        <w:t>–</w:t>
      </w:r>
      <w:r>
        <w:rPr>
          <w:rStyle w:val="None A"/>
          <w:rFonts w:ascii="Arial" w:hAnsi="Arial"/>
          <w:sz w:val="18"/>
          <w:szCs w:val="18"/>
          <w:rtl w:val="0"/>
          <w:lang w:val="en-US"/>
        </w:rPr>
        <w:t>10. http://doi.org/10.1111/1574-6968.12540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Scaria, J., Suzuki, H., Ptak, C. P., Chen, J.-W., Zhu, Y., Guo, X.-K., &amp; Chang, Y.-F. (2015). Comparative genomic and phenomic analysis of Clostridium difficile and </w:t>
      </w:r>
      <w:r>
        <w:rPr>
          <w:rStyle w:val="None A"/>
          <w:rFonts w:ascii="Arial" w:hAnsi="Arial"/>
          <w:i w:val="1"/>
          <w:iCs w:val="1"/>
          <w:sz w:val="18"/>
          <w:szCs w:val="18"/>
          <w:rtl w:val="0"/>
          <w:lang w:val="en-US"/>
        </w:rPr>
        <w:t>Clostridium sordellii</w:t>
      </w:r>
      <w:r>
        <w:rPr>
          <w:rStyle w:val="None A"/>
          <w:rFonts w:ascii="Arial" w:hAnsi="Arial"/>
          <w:sz w:val="18"/>
          <w:szCs w:val="18"/>
          <w:rtl w:val="0"/>
          <w:lang w:val="en-US"/>
        </w:rPr>
        <w:t xml:space="preserve">, two related pathogens with differing host tissue preference. </w:t>
      </w:r>
      <w:r>
        <w:rPr>
          <w:rStyle w:val="None A"/>
          <w:rFonts w:ascii="Arial" w:hAnsi="Arial"/>
          <w:i w:val="1"/>
          <w:iCs w:val="1"/>
          <w:sz w:val="18"/>
          <w:szCs w:val="18"/>
          <w:rtl w:val="0"/>
          <w:lang w:val="en-US"/>
        </w:rPr>
        <w:t>BMC Genomics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w:t>
      </w:r>
      <w:r>
        <w:rPr>
          <w:rStyle w:val="None A"/>
          <w:rFonts w:ascii="Arial" w:hAnsi="Arial"/>
          <w:sz w:val="18"/>
          <w:szCs w:val="18"/>
          <w:rtl w:val="0"/>
          <w:lang w:val="en-US"/>
        </w:rPr>
        <w:t>(1), 448. http://doi.org/10.1186/s12864-015-1663-5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Schnetz, K., Toloczyki, C., &amp; Rak, B. (1987). B-glucoside (bgl) operon of Escherichia coli K-12: Nucleotide sequence, genetic organization, and possible evolutionary relationship to regulatory components of two Bacillus subtilis genes.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169</w:t>
      </w:r>
      <w:r>
        <w:rPr>
          <w:rStyle w:val="None A"/>
          <w:rFonts w:ascii="Arial" w:hAnsi="Arial"/>
          <w:sz w:val="18"/>
          <w:szCs w:val="18"/>
          <w:rtl w:val="0"/>
          <w:lang w:val="en-US"/>
        </w:rPr>
        <w:t>(6), 2579</w:t>
      </w:r>
      <w:r>
        <w:rPr>
          <w:rStyle w:val="None A"/>
          <w:rFonts w:ascii="Arial" w:hAnsi="Arial" w:hint="default"/>
          <w:sz w:val="18"/>
          <w:szCs w:val="18"/>
          <w:rtl w:val="0"/>
          <w:lang w:val="en-US"/>
        </w:rPr>
        <w:t>–</w:t>
      </w:r>
      <w:r>
        <w:rPr>
          <w:rStyle w:val="None A"/>
          <w:rFonts w:ascii="Arial" w:hAnsi="Arial"/>
          <w:sz w:val="18"/>
          <w:szCs w:val="18"/>
          <w:rtl w:val="0"/>
          <w:lang w:val="en-US"/>
        </w:rPr>
        <w:t>2590.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Schubert, A. M., Sinani, H., &amp; Schloss, P. D. (2015). Antibiotic-induced alterations of the murine gut microbiota and subsequent effects on colonization resistance against Clostridium difficile. </w:t>
      </w:r>
      <w:r>
        <w:rPr>
          <w:rStyle w:val="None A"/>
          <w:rFonts w:ascii="Arial" w:hAnsi="Arial"/>
          <w:i w:val="1"/>
          <w:iCs w:val="1"/>
          <w:sz w:val="18"/>
          <w:szCs w:val="18"/>
          <w:rtl w:val="0"/>
          <w:lang w:val="en-US"/>
        </w:rPr>
        <w:t>mBio</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w:t>
      </w:r>
      <w:r>
        <w:rPr>
          <w:rStyle w:val="None A"/>
          <w:rFonts w:ascii="Arial" w:hAnsi="Arial"/>
          <w:sz w:val="18"/>
          <w:szCs w:val="18"/>
          <w:rtl w:val="0"/>
          <w:lang w:val="en-US"/>
        </w:rPr>
        <w:t>(4). http://doi.org/10.1128/mBio.00974-15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Sebaihia, M., Wren, B. W., Mullany, P., Fairweather, N. F., Minton, N., Stabler, R., &amp; Parkhill, J. (2006). The multidrug-resistant human pathogen Clostridium difficile has a highly mobile, mosaic genome. </w:t>
      </w:r>
      <w:r>
        <w:rPr>
          <w:rStyle w:val="None A"/>
          <w:rFonts w:ascii="Arial" w:hAnsi="Arial"/>
          <w:i w:val="1"/>
          <w:iCs w:val="1"/>
          <w:sz w:val="18"/>
          <w:szCs w:val="18"/>
          <w:rtl w:val="0"/>
          <w:lang w:val="en-US"/>
        </w:rPr>
        <w:t>Nature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38</w:t>
      </w:r>
      <w:r>
        <w:rPr>
          <w:rStyle w:val="None A"/>
          <w:rFonts w:ascii="Arial" w:hAnsi="Arial"/>
          <w:sz w:val="18"/>
          <w:szCs w:val="18"/>
          <w:rtl w:val="0"/>
          <w:lang w:val="en-US"/>
        </w:rPr>
        <w:t>(7), 779</w:t>
      </w:r>
      <w:r>
        <w:rPr>
          <w:rStyle w:val="None A"/>
          <w:rFonts w:ascii="Arial" w:hAnsi="Arial" w:hint="default"/>
          <w:sz w:val="18"/>
          <w:szCs w:val="18"/>
          <w:rtl w:val="0"/>
          <w:lang w:val="en-US"/>
        </w:rPr>
        <w:t>–</w:t>
      </w:r>
      <w:r>
        <w:rPr>
          <w:rStyle w:val="None A"/>
          <w:rFonts w:ascii="Arial" w:hAnsi="Arial"/>
          <w:sz w:val="18"/>
          <w:szCs w:val="18"/>
          <w:rtl w:val="0"/>
          <w:lang w:val="en-US"/>
        </w:rPr>
        <w:t>786. http://doi.org/10.1038/ng1830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Suthers, P. F., Dasika, M. S., Kumar, V. S., Denisov, G., Glass, J. I., &amp; Maranas, C. D. (2009). Genome-scale metabolic reconstruction Of mycoplasma genitalium, iPS189. PLoS Computational Biology, 5(2). http://doi.org/10.1371/journal.pcbi.1000285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Theriot, C. M., Koenigsknecht, M. J., Jr, P. E. C., Hatton, G. E., Nelson, A. M., Li, B., &amp; Young, V. B. (2014). Antibiotic-induced shifts in the mouse gut microbiome and metabolome increase susceptibility to Clostridium difficile infection. http://doi.org/10.1038/ncomms4114.Antibiotic-induced</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Theriot, C. M., Koumpouras, C. C., Carlson, P. E., Bergin, I. I., Aronoff, D. M., &amp; Young, V. B. (2011). Cefoperazone-treated mice as an experimental platform to assess differential virulence of Clostridium difficile strains. </w:t>
      </w:r>
      <w:r>
        <w:rPr>
          <w:rStyle w:val="None A"/>
          <w:rFonts w:ascii="Arial" w:hAnsi="Arial"/>
          <w:i w:val="1"/>
          <w:iCs w:val="1"/>
          <w:sz w:val="18"/>
          <w:szCs w:val="18"/>
          <w:rtl w:val="0"/>
          <w:lang w:val="en-US"/>
        </w:rPr>
        <w:t>Gut Microbes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2</w:t>
      </w:r>
      <w:r>
        <w:rPr>
          <w:rStyle w:val="None A"/>
          <w:rFonts w:ascii="Arial" w:hAnsi="Arial"/>
          <w:sz w:val="18"/>
          <w:szCs w:val="18"/>
          <w:rtl w:val="0"/>
          <w:lang w:val="en-US"/>
        </w:rPr>
        <w:t>(6), 326</w:t>
      </w:r>
      <w:r>
        <w:rPr>
          <w:rStyle w:val="None A"/>
          <w:rFonts w:ascii="Arial" w:hAnsi="Arial" w:hint="default"/>
          <w:sz w:val="18"/>
          <w:szCs w:val="18"/>
          <w:rtl w:val="0"/>
          <w:lang w:val="en-US"/>
        </w:rPr>
        <w:t>–</w:t>
      </w:r>
      <w:r>
        <w:rPr>
          <w:rStyle w:val="None A"/>
          <w:rFonts w:ascii="Arial" w:hAnsi="Arial"/>
          <w:sz w:val="18"/>
          <w:szCs w:val="18"/>
          <w:rtl w:val="0"/>
          <w:lang w:val="en-US"/>
        </w:rPr>
        <w:t>334. http://doi.org/10.4161/gmic.19142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Trindade, B.C., Kirk, L., Rogers, L.M., Zackular, J.P., Skaar, E.P., Schloss, P.D., Lyras, D., Maseda, D., Crofford, L.J., &amp; Aronoff, D.M. (2016). NONSTEROIDAL ANTI-INFLAMMATORY DRUGS ALTER THE GUT MICROBIOME AND INCREASE THE SEVERITY OF clostridium diFFicile INFECTION IN MICE. </w:t>
      </w:r>
      <w:r>
        <w:rPr>
          <w:rStyle w:val="None A"/>
          <w:rFonts w:ascii="Arial" w:hAnsi="Arial"/>
          <w:i w:val="1"/>
          <w:iCs w:val="1"/>
          <w:sz w:val="18"/>
          <w:szCs w:val="18"/>
          <w:rtl w:val="0"/>
          <w:lang w:val="en-US"/>
        </w:rPr>
        <w:t>13th biennial Congress of the Anaerobe Society of the Americas</w:t>
      </w:r>
      <w:r>
        <w:rPr>
          <w:rStyle w:val="None A"/>
          <w:rFonts w:ascii="Arial" w:hAnsi="Arial"/>
          <w:sz w:val="18"/>
          <w:szCs w:val="18"/>
          <w:rtl w:val="0"/>
          <w:lang w:val="en-US"/>
        </w:rPr>
        <w:t>. Poster presentation. 2016 July 11-14. Nashville, TN.</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Tracy, B. P., Jones, S. W., Fast, A. G., Indurthi, D. C., &amp; Papoutsakis, E. T. (2012). Clostridia: The importance of their exceptional substrate and metabolite diversity for biofuel and biorefinery applications. </w:t>
      </w:r>
      <w:r>
        <w:rPr>
          <w:rStyle w:val="None A"/>
          <w:rFonts w:ascii="Arial" w:hAnsi="Arial"/>
          <w:i w:val="1"/>
          <w:iCs w:val="1"/>
          <w:sz w:val="18"/>
          <w:szCs w:val="18"/>
          <w:rtl w:val="0"/>
          <w:lang w:val="en-US"/>
        </w:rPr>
        <w:t>Current Opinion in Biotechnology</w:t>
      </w:r>
      <w:r>
        <w:rPr>
          <w:rStyle w:val="None A"/>
          <w:rFonts w:ascii="Arial" w:hAnsi="Arial"/>
          <w:sz w:val="18"/>
          <w:szCs w:val="18"/>
          <w:rtl w:val="0"/>
          <w:lang w:val="en-US"/>
        </w:rPr>
        <w:t>. http://doi.org/10.1016/j.copbio.2011.10.008</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Van Beilen, J. W. A., &amp; Brul, S. (2013). Compartment-specific pH monitoring in Bacillus subtilis using fluorescent sensor proteins: A tool to analyze the antibacterial effect of weak organic acids. </w:t>
      </w:r>
      <w:r>
        <w:rPr>
          <w:rStyle w:val="None A"/>
          <w:rFonts w:ascii="Arial" w:hAnsi="Arial"/>
          <w:i w:val="1"/>
          <w:iCs w:val="1"/>
          <w:sz w:val="18"/>
          <w:szCs w:val="18"/>
          <w:rtl w:val="0"/>
          <w:lang w:val="en-US"/>
        </w:rPr>
        <w:t>Frontiers in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4</w:t>
      </w:r>
      <w:r>
        <w:rPr>
          <w:rStyle w:val="None A"/>
          <w:rFonts w:ascii="Arial" w:hAnsi="Arial"/>
          <w:sz w:val="18"/>
          <w:szCs w:val="18"/>
          <w:rtl w:val="0"/>
          <w:lang w:val="en-US"/>
        </w:rPr>
        <w:t>(JUN). http://doi.org/10.3389/fmicb.2013.00157</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Wilson, K. H., &amp; Perini, F. (1988). Role of competition for nutrients in suppression of Clostridium difficile by the colonic microflora.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56</w:t>
      </w:r>
      <w:r>
        <w:rPr>
          <w:rStyle w:val="None A"/>
          <w:rFonts w:ascii="Arial" w:hAnsi="Arial"/>
          <w:sz w:val="18"/>
          <w:szCs w:val="18"/>
          <w:rtl w:val="0"/>
          <w:lang w:val="en-US"/>
        </w:rPr>
        <w:t>(10), 2610</w:t>
      </w:r>
      <w:r>
        <w:rPr>
          <w:rStyle w:val="None A"/>
          <w:rFonts w:ascii="Arial" w:hAnsi="Arial" w:hint="default"/>
          <w:sz w:val="18"/>
          <w:szCs w:val="18"/>
          <w:rtl w:val="0"/>
          <w:lang w:val="en-US"/>
        </w:rPr>
        <w:t>–</w:t>
      </w:r>
      <w:r>
        <w:rPr>
          <w:rStyle w:val="None A"/>
          <w:rFonts w:ascii="Arial" w:hAnsi="Arial"/>
          <w:sz w:val="18"/>
          <w:szCs w:val="18"/>
          <w:rtl w:val="0"/>
          <w:lang w:val="en-US"/>
        </w:rPr>
        <w:t>2614.</w:t>
      </w:r>
    </w:p>
    <w:p>
      <w:pPr>
        <w:pStyle w:val="Text body"/>
        <w:shd w:val="clear" w:color="auto" w:fill="ffffff"/>
        <w:spacing w:line="100" w:lineRule="atLeast"/>
        <w:ind w:left="480" w:hanging="480"/>
        <w:jc w:val="both"/>
        <w:rPr>
          <w:rStyle w:val="None A"/>
          <w:rFonts w:ascii="Arial" w:cs="Arial" w:hAnsi="Arial" w:eastAsia="Arial"/>
          <w:sz w:val="18"/>
          <w:szCs w:val="18"/>
        </w:rPr>
      </w:pPr>
      <w:r>
        <w:rPr>
          <w:rStyle w:val="None A"/>
          <w:rFonts w:ascii="Arial" w:hAnsi="Arial"/>
          <w:sz w:val="18"/>
          <w:szCs w:val="18"/>
          <w:rtl w:val="0"/>
          <w:lang w:val="en-US"/>
        </w:rPr>
        <w:t>Young, V. B., &amp; Schmidt, T. M. (2004). Antibiotic-Associated Diarrhea Accompanied by Large-Scale Alterations in the Composition of the Fecal Microbiota. Journal of Clinical Microbiology, 42(3), 1203</w:t>
      </w:r>
      <w:r>
        <w:rPr>
          <w:rStyle w:val="None A"/>
          <w:rFonts w:ascii="Arial" w:hAnsi="Arial" w:hint="default"/>
          <w:sz w:val="18"/>
          <w:szCs w:val="18"/>
          <w:rtl w:val="0"/>
          <w:lang w:val="en-US"/>
        </w:rPr>
        <w:t>–</w:t>
      </w:r>
      <w:r>
        <w:rPr>
          <w:rStyle w:val="None A"/>
          <w:rFonts w:ascii="Arial" w:hAnsi="Arial"/>
          <w:sz w:val="18"/>
          <w:szCs w:val="18"/>
          <w:rtl w:val="0"/>
          <w:lang w:val="en-US"/>
        </w:rPr>
        <w:t>1206. http://doi.org/10.1128/JCM.42.3.1203-1206.2004</w:t>
      </w:r>
    </w:p>
    <w:p>
      <w:pPr>
        <w:pStyle w:val="Text body"/>
        <w:shd w:val="clear" w:color="auto" w:fill="ffffff"/>
        <w:spacing w:line="100" w:lineRule="atLeast"/>
        <w:ind w:left="480" w:hanging="480"/>
        <w:jc w:val="both"/>
      </w:pPr>
      <w:r>
        <w:rPr>
          <w:rStyle w:val="None A"/>
          <w:rFonts w:ascii="Arial" w:hAnsi="Arial"/>
          <w:sz w:val="18"/>
          <w:szCs w:val="18"/>
          <w:rtl w:val="0"/>
          <w:lang w:val="en-US"/>
        </w:rPr>
        <w:t xml:space="preserve">Yuille, S., Mackay, W. G., Morrison, D. J., &amp; Tedford, M. C. (2015). Optimising gut colonisation resistance against Clostridium difficile infection. </w:t>
      </w:r>
      <w:r>
        <w:rPr>
          <w:rStyle w:val="None A"/>
          <w:rFonts w:ascii="Arial" w:hAnsi="Arial"/>
          <w:i w:val="1"/>
          <w:iCs w:val="1"/>
          <w:sz w:val="18"/>
          <w:szCs w:val="18"/>
          <w:rtl w:val="0"/>
          <w:lang w:val="en-US"/>
        </w:rPr>
        <w:t>European Journal of Clinical Microbiology and Infectious Diseases</w:t>
      </w:r>
      <w:r>
        <w:rPr>
          <w:rStyle w:val="None A"/>
          <w:rFonts w:ascii="Arial" w:hAnsi="Arial"/>
          <w:sz w:val="18"/>
          <w:szCs w:val="18"/>
          <w:rtl w:val="0"/>
          <w:lang w:val="en-US"/>
        </w:rPr>
        <w:t xml:space="preserve">. </w:t>
      </w:r>
      <w:r>
        <w:rPr>
          <w:rStyle w:val="Hyperlink.6"/>
        </w:rPr>
        <w:fldChar w:fldCharType="begin" w:fldLock="0"/>
      </w:r>
      <w:r>
        <w:rPr>
          <w:rStyle w:val="Hyperlink.6"/>
        </w:rPr>
        <w:instrText xml:space="preserve"> HYPERLINK "http://doi.org/10.1007/s10096-015-2479-6"</w:instrText>
      </w:r>
      <w:r>
        <w:rPr>
          <w:rStyle w:val="Hyperlink.6"/>
        </w:rPr>
        <w:fldChar w:fldCharType="separate" w:fldLock="0"/>
      </w:r>
      <w:r>
        <w:rPr>
          <w:rStyle w:val="Hyperlink.6"/>
          <w:rtl w:val="0"/>
          <w:lang w:val="en-US"/>
        </w:rPr>
        <w:t>http://doi.org/10.1007/s10096-015-2479-6</w:t>
      </w:r>
      <w:r>
        <w:rPr/>
        <w:fldChar w:fldCharType="end" w:fldLock="0"/>
      </w:r>
    </w:p>
    <w:sectPr>
      <w:headerReference w:type="default" r:id="rId4"/>
      <w:footerReference w:type="default" r:id="rId5"/>
      <w:pgSz w:w="12240" w:h="15840" w:orient="portrait"/>
      <w:pgMar w:top="1134" w:right="1134" w:bottom="1134" w:left="1134" w:header="720" w:footer="720"/>
      <w:bidi w:val="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9"/>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1"/>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A">
    <w:name w:val="None A"/>
    <w:rPr>
      <w:lang w:val="en-US"/>
    </w:rPr>
  </w:style>
  <w:style w:type="character" w:styleId="Hyperlink.0">
    <w:name w:val="Hyperlink.0"/>
    <w:basedOn w:val="None A"/>
    <w:next w:val="Hyperlink.0"/>
    <w:rPr>
      <w:color w:val="0000ff"/>
      <w:u w:val="single" w:color="0000ff"/>
    </w:rPr>
  </w:style>
  <w:style w:type="character" w:styleId="Hyperlink.1">
    <w:name w:val="Hyperlink.1"/>
    <w:basedOn w:val="None A"/>
    <w:next w:val="Hyperlink.1"/>
    <w:rPr>
      <w:rFonts w:ascii="Arial" w:cs="Arial" w:hAnsi="Arial" w:eastAsia="Arial"/>
      <w:caps w:val="0"/>
      <w:smallCaps w:val="0"/>
      <w:color w:val="000000"/>
      <w:spacing w:val="0"/>
      <w:sz w:val="22"/>
      <w:szCs w:val="22"/>
      <w:u w:val="single" w:color="000000"/>
    </w:rPr>
  </w:style>
  <w:style w:type="character" w:styleId="Hyperlink.2">
    <w:name w:val="Hyperlink.2"/>
    <w:basedOn w:val="None A"/>
    <w:next w:val="Hyperlink.2"/>
    <w:rPr>
      <w:rFonts w:ascii="Arial" w:cs="Arial" w:hAnsi="Arial" w:eastAsia="Arial"/>
      <w:color w:val="000080"/>
      <w:sz w:val="22"/>
      <w:szCs w:val="22"/>
      <w:u w:val="single" w:color="000080"/>
    </w:rPr>
  </w:style>
  <w:style w:type="paragraph" w:styleId="Text body">
    <w:name w:val="Text body"/>
    <w:next w:val="Text body"/>
    <w:pPr>
      <w:keepNext w:val="1"/>
      <w:keepLines w:val="0"/>
      <w:pageBreakBefore w:val="0"/>
      <w:widowControl w:val="0"/>
      <w:shd w:val="clear" w:color="auto" w:fill="auto"/>
      <w:suppressAutoHyphens w:val="1"/>
      <w:bidi w:val="0"/>
      <w:spacing w:before="0" w:after="12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3">
    <w:name w:val="Hyperlink.3"/>
    <w:basedOn w:val="None A"/>
    <w:next w:val="Hyperlink.3"/>
    <w:rPr>
      <w:rFonts w:ascii="Arial" w:cs="Arial" w:hAnsi="Arial" w:eastAsia="Arial"/>
      <w:color w:val="0000ff"/>
      <w:sz w:val="18"/>
      <w:szCs w:val="18"/>
      <w:u w:val="single" w:color="0000ff"/>
      <w:lang w:val="en-US"/>
    </w:rPr>
  </w:style>
  <w:style w:type="character" w:styleId="Hyperlink.4">
    <w:name w:val="Hyperlink.4"/>
    <w:basedOn w:val="None A"/>
    <w:next w:val="Hyperlink.4"/>
    <w:rPr>
      <w:rFonts w:ascii="Arial" w:cs="Arial" w:hAnsi="Arial" w:eastAsia="Arial"/>
      <w:color w:val="0000ff"/>
      <w:sz w:val="18"/>
      <w:szCs w:val="18"/>
      <w:u w:val="single" w:color="0000ff"/>
    </w:rPr>
  </w:style>
  <w:style w:type="character" w:styleId="Hyperlink.5">
    <w:name w:val="Hyperlink.5"/>
    <w:basedOn w:val="None A"/>
    <w:next w:val="Hyperlink.5"/>
    <w:rPr>
      <w:rFonts w:ascii="Arial" w:cs="Arial" w:hAnsi="Arial" w:eastAsia="Arial"/>
      <w:color w:val="000080"/>
      <w:sz w:val="18"/>
      <w:szCs w:val="18"/>
      <w:u w:val="single" w:color="000080"/>
    </w:rPr>
  </w:style>
  <w:style w:type="character" w:styleId="Hyperlink.6">
    <w:name w:val="Hyperlink.6"/>
    <w:basedOn w:val="None A"/>
    <w:next w:val="Hyperlink.6"/>
    <w:rPr>
      <w:rFonts w:ascii="Arial" w:cs="Arial" w:hAnsi="Arial" w:eastAsia="Arial"/>
      <w:outline w:val="0"/>
      <w:color w:val="000000"/>
      <w:spacing w:val="0"/>
      <w:sz w:val="18"/>
      <w:szCs w:val="18"/>
      <w:u w:val="none" w:color="000000"/>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