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w:t>
      </w:r>
      <w:r>
        <w:rPr>
          <w:rFonts w:ascii="Arial" w:hAnsi="Arial"/>
          <w:sz w:val="22"/>
          <w:szCs w:val="22"/>
          <w:rtl w:val="0"/>
          <w:lang w:val="en-US"/>
        </w:rPr>
        <w:t xml:space="preserve">cefoperazone </w:t>
      </w:r>
      <w:r>
        <w:rPr>
          <w:rFonts w:ascii="Arial" w:hAnsi="Arial"/>
          <w:sz w:val="22"/>
          <w:szCs w:val="22"/>
          <w:rtl w:val="0"/>
          <w:lang w:val="en-US"/>
        </w:rPr>
        <w:t xml:space="preserve">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w:t>
      </w:r>
      <w:r>
        <w:rPr>
          <w:rFonts w:ascii="Arial" w:hAnsi="Arial"/>
          <w:sz w:val="22"/>
          <w:szCs w:val="22"/>
          <w:rtl w:val="0"/>
          <w:lang w:val="en-US"/>
        </w:rPr>
        <w:t xml:space="preserve">vegetative cell </w:t>
      </w:r>
      <w:r>
        <w:rPr>
          <w:rFonts w:ascii="Arial" w:hAnsi="Arial"/>
          <w:sz w:val="22"/>
          <w:szCs w:val="22"/>
          <w:rtl w:val="0"/>
          <w:lang w:val="en-US"/>
        </w:rPr>
        <w:t xml:space="preserve">density in the cecum before beginning to sporulate (Koenigsknecht, 2015). </w:t>
      </w:r>
      <w:r>
        <w:rPr>
          <w:rFonts w:ascii="Arial" w:hAnsi="Arial"/>
          <w:sz w:val="22"/>
          <w:szCs w:val="22"/>
          <w:rtl w:val="0"/>
          <w:lang w:val="en-US"/>
        </w:rPr>
        <w:t xml:space="preserve">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w:t>
      </w:r>
      <w:r>
        <w:rPr>
          <w:rFonts w:ascii="Arial" w:hAnsi="Arial"/>
          <w:sz w:val="22"/>
          <w:szCs w:val="22"/>
          <w:rtl w:val="0"/>
          <w:lang w:val="en-US"/>
        </w:rPr>
        <w:t xml:space="preserve">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w:t>
      </w:r>
      <w:r>
        <w:rPr>
          <w:rFonts w:ascii="Arial" w:hAnsi="Arial"/>
          <w:i w:val="1"/>
          <w:iCs w:val="1"/>
          <w:sz w:val="22"/>
          <w:szCs w:val="22"/>
          <w:rtl w:val="0"/>
          <w:lang w:val="en-US"/>
        </w:rPr>
        <w:t>in vitro</w:t>
      </w:r>
      <w:r>
        <w:rPr>
          <w:rFonts w:ascii="Arial" w:hAnsi="Arial"/>
          <w:sz w:val="22"/>
          <w:szCs w:val="22"/>
          <w:rtl w:val="0"/>
          <w:lang w:val="en-US"/>
        </w:rPr>
        <w:t xml:space="preserve"> changes (Matamouros, 2007; Antunes, 2011), with a some work characterizing </w:t>
      </w:r>
      <w:r>
        <w:rPr>
          <w:rFonts w:ascii="Arial" w:hAnsi="Arial"/>
          <w:i w:val="1"/>
          <w:iCs w:val="1"/>
          <w:sz w:val="22"/>
          <w:szCs w:val="22"/>
          <w:rtl w:val="0"/>
          <w:lang w:val="en-US"/>
        </w:rPr>
        <w:t>in vivo</w:t>
      </w:r>
      <w:r>
        <w:rPr>
          <w:rFonts w:ascii="Arial" w:hAnsi="Arial"/>
          <w:sz w:val="22"/>
          <w:szCs w:val="22"/>
          <w:rtl w:val="0"/>
          <w:lang w:val="en-US"/>
        </w:rPr>
        <w:t xml:space="preserve"> transcription during colonization of germ free mice (Janoir, 2013). It was also demonstrated that </w:t>
      </w:r>
      <w:r>
        <w:rPr>
          <w:rFonts w:ascii="Arial" w:hAnsi="Arial"/>
          <w:i w:val="1"/>
          <w:iCs w:val="1"/>
          <w:sz w:val="22"/>
          <w:szCs w:val="22"/>
          <w:rtl w:val="0"/>
          <w:lang w:val="en-US"/>
        </w:rPr>
        <w:t>C. difficile</w:t>
      </w:r>
      <w:r>
        <w:rPr>
          <w:rFonts w:ascii="Arial" w:hAnsi="Arial"/>
          <w:sz w:val="22"/>
          <w:szCs w:val="22"/>
          <w:rtl w:val="0"/>
          <w:lang w:val="en-US"/>
        </w:rPr>
        <w:t xml:space="preserve"> up-regulates of several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the substrates it needs. Groups have also used metabolomic analysis to more directly assay changes in bacterial metabolism as they relate to CDI, but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With this in mind,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can provide unique insight into its active metabolic pathways in a more realistic model of infection.  Integrating these data with genome-scale </w:t>
      </w:r>
      <w:r>
        <w:rPr>
          <w:rFonts w:ascii="Arial" w:hAnsi="Arial"/>
          <w:i w:val="1"/>
          <w:iCs w:val="1"/>
          <w:sz w:val="22"/>
          <w:szCs w:val="22"/>
          <w:rtl w:val="0"/>
          <w:lang w:val="en-US"/>
        </w:rPr>
        <w:t>in silico</w:t>
      </w:r>
      <w:r>
        <w:rPr>
          <w:rFonts w:ascii="Arial" w:hAnsi="Arial"/>
          <w:sz w:val="22"/>
          <w:szCs w:val="22"/>
          <w:rtl w:val="0"/>
          <w:lang w:val="en-US"/>
        </w:rPr>
        <w:t xml:space="preserve"> metabolic modeling can also aid in identifying the most active aspects of </w:t>
      </w:r>
      <w:r>
        <w:rPr>
          <w:rFonts w:ascii="Arial" w:hAnsi="Arial"/>
          <w:i w:val="1"/>
          <w:iCs w:val="1"/>
          <w:sz w:val="22"/>
          <w:szCs w:val="22"/>
          <w:rtl w:val="0"/>
          <w:lang w:val="en-US"/>
        </w:rPr>
        <w:t>C. difficile</w:t>
      </w:r>
      <w:r>
        <w:rPr>
          <w:rFonts w:ascii="Arial" w:hAnsi="Arial"/>
          <w:sz w:val="22"/>
          <w:szCs w:val="22"/>
          <w:rtl w:val="0"/>
          <w:lang w:val="en-US"/>
        </w:rPr>
        <w:t xml:space="preserve"> metabolism, and infer which substrates  differentially used across antibiotic models.  A similar approach has been shown to accurately predict </w:t>
      </w:r>
      <w:r>
        <w:rPr>
          <w:rFonts w:ascii="Arial" w:hAnsi="Arial"/>
          <w:i w:val="1"/>
          <w:iCs w:val="1"/>
          <w:sz w:val="22"/>
          <w:szCs w:val="22"/>
          <w:rtl w:val="0"/>
          <w:lang w:val="en-US"/>
        </w:rPr>
        <w:t>in vitro</w:t>
      </w:r>
      <w:r>
        <w:rPr>
          <w:rFonts w:ascii="Arial" w:hAnsi="Arial"/>
          <w:sz w:val="22"/>
          <w:szCs w:val="22"/>
          <w:rtl w:val="0"/>
          <w:lang w:val="en-US"/>
        </w:rPr>
        <w:t xml:space="preserve"> substrate preference of </w:t>
      </w:r>
      <w:r>
        <w:rPr>
          <w:rFonts w:ascii="Arial" w:hAnsi="Arial"/>
          <w:i w:val="1"/>
          <w:iCs w:val="1"/>
          <w:caps w:val="0"/>
          <w:smallCaps w:val="0"/>
          <w:color w:val="252525"/>
          <w:spacing w:val="0"/>
          <w:sz w:val="22"/>
          <w:szCs w:val="22"/>
          <w:u w:color="252525"/>
          <w:rtl w:val="0"/>
          <w:lang w:val="en-US"/>
        </w:rPr>
        <w:t>Saccharomyces cerevisiae</w:t>
      </w:r>
      <w:r>
        <w:rPr>
          <w:rFonts w:ascii="Arial" w:hAnsi="Arial"/>
          <w:sz w:val="22"/>
          <w:szCs w:val="22"/>
          <w:rtl w:val="0"/>
          <w:lang w:val="en-US"/>
        </w:rPr>
        <w:t xml:space="preserve"> (Patil, 2005), and can be more reliably applied to bacterial metabolism due to limited cellular compartmentalization.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 xml:space="preserve">C. difficile </w:t>
      </w:r>
      <w:r>
        <w:rPr>
          <w:rFonts w:ascii="Arial" w:hAnsi="Arial"/>
          <w:sz w:val="22"/>
          <w:szCs w:val="22"/>
          <w:rtl w:val="0"/>
          <w:lang w:val="en-US"/>
        </w:rPr>
        <w:t xml:space="preserve">str. 630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1B).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1C).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1D).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w:t>
      </w:r>
      <w:r>
        <w:rPr>
          <w:rFonts w:ascii="Arial" w:hAnsi="Arial"/>
          <w:strike w:val="0"/>
          <w:dstrike w:val="0"/>
          <w:sz w:val="22"/>
          <w:szCs w:val="22"/>
          <w:rtl w:val="0"/>
          <w:lang w:val="en-US"/>
        </w:rPr>
        <w:t>is most likely due to temporal changes in infection dynamics when no other bacteria are present.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displays flexible expression of key metabolic regulation factors as well as genes for pathogenesis across antibiotic pretreatments.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stranded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In order to generate enough mRNA biomass contributed by </w:t>
      </w:r>
      <w:r>
        <w:rPr>
          <w:rFonts w:ascii="Arial" w:hAnsi="Arial"/>
          <w:i w:val="1"/>
          <w:iCs w:val="1"/>
          <w:sz w:val="22"/>
          <w:szCs w:val="22"/>
          <w:rtl w:val="0"/>
          <w:lang w:val="en-US"/>
        </w:rPr>
        <w:t>C. difficile</w:t>
      </w:r>
      <w:r>
        <w:rPr>
          <w:rFonts w:ascii="Arial" w:hAnsi="Arial"/>
          <w:sz w:val="22"/>
          <w:szCs w:val="22"/>
          <w:rtl w:val="0"/>
          <w:lang w:val="en-US"/>
        </w:rPr>
        <w:t>, we needed to pool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Sequencing, read curation, and normalization steps are fully described in Materials &amp; Methods. Fully curated reads were the mapped to C</w:t>
      </w:r>
      <w:r>
        <w:rPr>
          <w:rFonts w:ascii="Arial" w:hAnsi="Arial"/>
          <w:i w:val="1"/>
          <w:iCs w:val="1"/>
          <w:sz w:val="22"/>
          <w:szCs w:val="22"/>
          <w:rtl w:val="0"/>
          <w:lang w:val="en-US"/>
        </w:rPr>
        <w:t>lostridium difficile</w:t>
      </w:r>
      <w:r>
        <w:rPr>
          <w:rFonts w:ascii="Arial" w:hAnsi="Arial"/>
          <w:sz w:val="22"/>
          <w:szCs w:val="22"/>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(Fig. 2). After observing very large temporal differences in </w:t>
      </w:r>
      <w:r>
        <w:rPr>
          <w:rFonts w:ascii="Arial" w:hAnsi="Arial"/>
          <w:i w:val="1"/>
          <w:iCs w:val="1"/>
          <w:sz w:val="22"/>
          <w:szCs w:val="22"/>
          <w:rtl w:val="0"/>
          <w:lang w:val="en-US"/>
        </w:rPr>
        <w:t>C. difficile</w:t>
      </w:r>
      <w:r>
        <w:rPr>
          <w:rFonts w:ascii="Arial" w:hAnsi="Arial"/>
          <w:sz w:val="22"/>
          <w:szCs w:val="22"/>
          <w:rtl w:val="0"/>
          <w:lang w:val="en-US"/>
        </w:rPr>
        <w:t xml:space="preserve"> phenotypes between gnotobiotic and conventionally-raised</w:t>
      </w:r>
      <w:r>
        <w:rPr>
          <w:rtl w:val="0"/>
          <w:lang w:val="en-US"/>
        </w:rPr>
        <w:t xml:space="preserve"> </w:t>
      </w:r>
      <w:r>
        <w:rPr>
          <w:rFonts w:ascii="Arial" w:hAnsi="Arial"/>
          <w:sz w:val="22"/>
          <w:szCs w:val="22"/>
          <w:rtl w:val="0"/>
          <w:lang w:val="en-US"/>
        </w:rPr>
        <w:t>mice, we chose to omit gnotobiotic animals from transcriptomic analysis and focus analysis on those groups containing potential competitor species.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first observe markers of global changes in metabolism, we looked for differences in expression in key sigma factors that were previously found to be influenced by the nutrient environment of </w:t>
      </w:r>
      <w:r>
        <w:rPr>
          <w:rFonts w:ascii="Arial" w:hAnsi="Arial"/>
          <w:i w:val="1"/>
          <w:iCs w:val="1"/>
          <w:sz w:val="22"/>
          <w:szCs w:val="22"/>
          <w:rtl w:val="0"/>
          <w:lang w:val="en-US"/>
        </w:rPr>
        <w:t>C. difficile</w:t>
      </w:r>
      <w:r>
        <w:rPr>
          <w:rFonts w:ascii="Arial" w:hAnsi="Arial"/>
          <w:sz w:val="22"/>
          <w:szCs w:val="22"/>
          <w:rtl w:val="0"/>
          <w:lang w:val="en-US"/>
        </w:rPr>
        <w:t xml:space="preserve"> (Fig. 2A).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detectable in each condition, despite apparent differences in toxin and spore production.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both phenotypes (Bouillaut, 2015)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which were approximately 10-fold less expressed in cefoperazone than the others. These sigma factors are involved in expressing genes for proper spore coat assembly and asymmetric division (Donnelly, 2016; Fimlaid, 2013). This agrees with the measured differences in CFU due to spores (Fig. 1C) where cefoperazone pretreatment resulted in delayed sporulation.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2B).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2C).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 Mutants for this gene have been associated with impaired toxin secretion and low </w:t>
      </w:r>
      <w:r>
        <w:rPr>
          <w:rFonts w:ascii="Arial" w:hAnsi="Arial"/>
          <w:i w:val="1"/>
          <w:iCs w:val="1"/>
          <w:sz w:val="22"/>
          <w:szCs w:val="22"/>
          <w:rtl w:val="0"/>
          <w:lang w:val="en-US"/>
        </w:rPr>
        <w:t>in vivo</w:t>
      </w:r>
      <w:r>
        <w:rPr>
          <w:rFonts w:ascii="Arial" w:hAnsi="Arial"/>
          <w:sz w:val="22"/>
          <w:szCs w:val="22"/>
          <w:rtl w:val="0"/>
          <w:lang w:val="en-US"/>
        </w:rPr>
        <w:t xml:space="preserve"> expression of </w:t>
      </w:r>
      <w:r>
        <w:rPr>
          <w:rFonts w:ascii="Arial" w:hAnsi="Arial"/>
          <w:i w:val="1"/>
          <w:iCs w:val="1"/>
          <w:sz w:val="22"/>
          <w:szCs w:val="22"/>
          <w:rtl w:val="0"/>
          <w:lang w:val="en-US"/>
        </w:rPr>
        <w:t>tcdE</w:t>
      </w:r>
      <w:r>
        <w:rPr>
          <w:rFonts w:ascii="Arial" w:hAnsi="Arial"/>
          <w:sz w:val="22"/>
          <w:szCs w:val="22"/>
          <w:rtl w:val="0"/>
          <w:lang w:val="en-US"/>
        </w:rPr>
        <w:t xml:space="preserve"> may partially explain the historically lowered virulence of </w:t>
      </w:r>
      <w:r>
        <w:rPr>
          <w:rFonts w:ascii="Arial" w:hAnsi="Arial"/>
          <w:i w:val="1"/>
          <w:iCs w:val="1"/>
          <w:sz w:val="22"/>
          <w:szCs w:val="22"/>
          <w:rtl w:val="0"/>
          <w:lang w:val="en-US"/>
        </w:rPr>
        <w:t>C. difficile</w:t>
      </w:r>
      <w:r>
        <w:rPr>
          <w:rFonts w:ascii="Arial" w:hAnsi="Arial"/>
          <w:sz w:val="22"/>
          <w:szCs w:val="22"/>
          <w:rtl w:val="0"/>
          <w:lang w:val="en-US"/>
        </w:rPr>
        <w:t xml:space="preserve"> str. 630 (Theriot, 2011).</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2D).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energy metabolism pathways are differentially expressed between colonized environments.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Fonts w:ascii="Arial" w:hAnsi="Arial"/>
          <w:i w:val="1"/>
          <w:iCs w:val="1"/>
          <w:sz w:val="22"/>
          <w:szCs w:val="22"/>
          <w:rtl w:val="0"/>
          <w:lang w:val="en-US"/>
        </w:rPr>
        <w:t>C. difficile</w:t>
      </w:r>
      <w:r>
        <w:rPr>
          <w:rFonts w:ascii="Arial" w:hAnsi="Arial"/>
          <w:sz w:val="22"/>
          <w:szCs w:val="22"/>
          <w:rtl w:val="0"/>
          <w:lang w:val="en-US"/>
        </w:rPr>
        <w:t xml:space="preserve">  energy metabolism pathways. Mapped transcript read counts again were rarefied iteratively and the means of each gene were plotted as relative abundances along the three axes for the antibiotic pretreatment groups (Fig. 3). Each point represents a unique gene from the annotated genome of </w:t>
      </w:r>
      <w:r>
        <w:rPr>
          <w:rFonts w:ascii="Arial" w:hAnsi="Arial"/>
          <w:i w:val="1"/>
          <w:iCs w:val="1"/>
          <w:sz w:val="22"/>
          <w:szCs w:val="22"/>
          <w:rtl w:val="0"/>
          <w:lang w:val="en-US"/>
        </w:rPr>
        <w:t>C. difficile</w:t>
      </w:r>
      <w:r>
        <w:rPr>
          <w:rFonts w:ascii="Arial" w:hAnsi="Arial"/>
          <w:sz w:val="22"/>
          <w:szCs w:val="22"/>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Fonts w:ascii="Arial" w:hAnsi="Arial"/>
          <w:i w:val="1"/>
          <w:iCs w:val="1"/>
          <w:sz w:val="22"/>
          <w:szCs w:val="22"/>
          <w:rtl w:val="0"/>
          <w:lang w:val="en-US"/>
        </w:rPr>
        <w:t>C. difficile</w:t>
      </w:r>
      <w:r>
        <w:rPr>
          <w:rFonts w:ascii="Arial" w:hAnsi="Arial"/>
          <w:sz w:val="22"/>
          <w:szCs w:val="22"/>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 </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A number of notable within-group differences stood out including one in relative expression abundance for genes associated with sugar alcohol catabolism (Fig. 3E). Transcripts from this gene set are almost undetectable in the clindamycin pretreated group, however a large difference was found between those genes more associated with cefoperazone than streptomycin pretreatment. Those genes closest to the cefoperazone edge are important for the utilization of mannitol (</w:t>
      </w:r>
      <w:r>
        <w:rPr>
          <w:rFonts w:ascii="Arial" w:hAnsi="Arial"/>
          <w:i w:val="1"/>
          <w:iCs w:val="1"/>
          <w:sz w:val="22"/>
          <w:szCs w:val="22"/>
          <w:rtl w:val="0"/>
          <w:lang w:val="en-US"/>
        </w:rPr>
        <w:t>mtl</w:t>
      </w:r>
      <w:r>
        <w:rPr>
          <w:rFonts w:ascii="Arial" w:hAnsi="Arial"/>
          <w:sz w:val="22"/>
          <w:szCs w:val="22"/>
          <w:rtl w:val="0"/>
          <w:lang w:val="en-US"/>
        </w:rPr>
        <w:t xml:space="preserve"> operon) while those proximal to streptomycin are involved in sorbitol metabolism (</w:t>
      </w:r>
      <w:r>
        <w:rPr>
          <w:rFonts w:ascii="Arial" w:hAnsi="Arial"/>
          <w:i w:val="1"/>
          <w:iCs w:val="1"/>
          <w:sz w:val="22"/>
          <w:szCs w:val="22"/>
          <w:rtl w:val="0"/>
          <w:lang w:val="en-US"/>
        </w:rPr>
        <w:t xml:space="preserve">srl </w:t>
      </w:r>
      <w:r>
        <w:rPr>
          <w:rFonts w:ascii="Arial" w:hAnsi="Arial"/>
          <w:sz w:val="22"/>
          <w:szCs w:val="22"/>
          <w:rtl w:val="0"/>
          <w:lang w:val="en-US"/>
        </w:rPr>
        <w:t>operon), indicating potential niche segregation or changes in sorbitol availability between groups. Additionally, there was another within-group difference for polysaccharide catabolism between genes associated more with clindamycin pretreatment versus those associated with cefoperazone (Fig. 3D). Those genes most associated with clindamycin are largely members of the beta-glucoside utilization locus (</w:t>
      </w:r>
      <w:r>
        <w:rPr>
          <w:rFonts w:ascii="Arial" w:hAnsi="Arial"/>
          <w:i w:val="1"/>
          <w:iCs w:val="1"/>
          <w:sz w:val="22"/>
          <w:szCs w:val="22"/>
          <w:rtl w:val="0"/>
          <w:lang w:val="en-US"/>
        </w:rPr>
        <w:t>bgl</w:t>
      </w:r>
      <w:r>
        <w:rPr>
          <w:rFonts w:ascii="Arial" w:hAnsi="Arial"/>
          <w:sz w:val="22"/>
          <w:szCs w:val="22"/>
          <w:rtl w:val="0"/>
          <w:lang w:val="en-US"/>
        </w:rPr>
        <w:t xml:space="preserve"> operon), canonically linked with salicin or arbutin metabolism (Schnetz, 1987). Genes more associated with cefoperazone pretreatment are primarily related to import and utilization of maltose or maltodextrin (</w:t>
      </w:r>
      <w:r>
        <w:rPr>
          <w:rFonts w:ascii="Arial" w:hAnsi="Arial"/>
          <w:i w:val="1"/>
          <w:iCs w:val="1"/>
          <w:sz w:val="22"/>
          <w:szCs w:val="22"/>
          <w:rtl w:val="0"/>
          <w:lang w:val="en-US"/>
        </w:rPr>
        <w:t>maa</w:t>
      </w:r>
      <w:r>
        <w:rPr>
          <w:rFonts w:ascii="Arial" w:hAnsi="Arial"/>
          <w:sz w:val="22"/>
          <w:szCs w:val="22"/>
          <w:rtl w:val="0"/>
          <w:lang w:val="en-US"/>
        </w:rPr>
        <w:t xml:space="preserve"> &amp; </w:t>
      </w:r>
      <w:r>
        <w:rPr>
          <w:rFonts w:ascii="Arial" w:hAnsi="Arial"/>
          <w:i w:val="1"/>
          <w:iCs w:val="1"/>
          <w:sz w:val="22"/>
          <w:szCs w:val="22"/>
          <w:rtl w:val="0"/>
          <w:lang w:val="en-US"/>
        </w:rPr>
        <w:t>map</w:t>
      </w:r>
      <w:r>
        <w:rPr>
          <w:rFonts w:ascii="Arial" w:hAnsi="Arial"/>
          <w:sz w:val="22"/>
          <w:szCs w:val="22"/>
          <w:rtl w:val="0"/>
          <w:lang w:val="en-US"/>
        </w:rPr>
        <w:t xml:space="preserve"> operons) (Boos, 1998). Finally, amino sugar catabolism also displayed some degree of within-group trends (Fig. 3B). Streptomycin pretreatment was enriched for expression of </w:t>
      </w:r>
      <w:r>
        <w:rPr>
          <w:rFonts w:ascii="Arial" w:hAnsi="Arial"/>
          <w:i w:val="1"/>
          <w:iCs w:val="1"/>
          <w:sz w:val="22"/>
          <w:szCs w:val="22"/>
          <w:rtl w:val="0"/>
          <w:lang w:val="en-US"/>
        </w:rPr>
        <w:t>nanA</w:t>
      </w:r>
      <w:r>
        <w:rPr>
          <w:rFonts w:ascii="Arial" w:hAnsi="Arial"/>
          <w:sz w:val="22"/>
          <w:szCs w:val="22"/>
          <w:rtl w:val="0"/>
          <w:lang w:val="en-US"/>
        </w:rPr>
        <w:t xml:space="preserve"> and an N-acylglucosamine-6-phosphate 2-epimerase. These gene products are important for the metabolism of </w:t>
      </w:r>
      <w:r>
        <w:rPr>
          <w:rFonts w:ascii="Arial" w:hAnsi="Arial"/>
          <w:color w:val="1a1a1a"/>
          <w:sz w:val="22"/>
          <w:szCs w:val="22"/>
          <w:u w:val="none" w:color="1a1a1a"/>
          <w:rtl w:val="0"/>
          <w:lang w:val="en-US"/>
        </w:rPr>
        <w:t xml:space="preserve">N-acetylneuraminic acid and N-acetyleglucosamine respectively, which are both obtained from the cleavage of host derived amino sugars in the mucus layer by other bacterial species (Ng, 2013). Streptomycin also appears to be associated with high expression of </w:t>
      </w:r>
      <w:r>
        <w:rPr>
          <w:rFonts w:ascii="Arial" w:hAnsi="Arial"/>
          <w:i w:val="1"/>
          <w:iCs w:val="1"/>
          <w:color w:val="1a1a1a"/>
          <w:sz w:val="22"/>
          <w:szCs w:val="22"/>
          <w:u w:val="none" w:color="1a1a1a"/>
          <w:rtl w:val="0"/>
          <w:lang w:val="en-US"/>
        </w:rPr>
        <w:t>fruABC</w:t>
      </w:r>
      <w:r>
        <w:rPr>
          <w:rFonts w:ascii="Arial" w:hAnsi="Arial"/>
          <w:color w:val="1a1a1a"/>
          <w:sz w:val="22"/>
          <w:szCs w:val="22"/>
          <w:u w:val="none" w:color="1a1a1a"/>
          <w:rtl w:val="0"/>
          <w:lang w:val="en-US"/>
        </w:rPr>
        <w:t xml:space="preserve">, a fructose specific PTS transport system (Fig 3H), and </w:t>
      </w:r>
      <w:r>
        <w:rPr>
          <w:rFonts w:ascii="Arial" w:hAnsi="Arial"/>
          <w:i w:val="1"/>
          <w:iCs w:val="1"/>
          <w:color w:val="1a1a1a"/>
          <w:sz w:val="22"/>
          <w:szCs w:val="22"/>
          <w:u w:val="none" w:color="1a1a1a"/>
          <w:rtl w:val="0"/>
          <w:lang w:val="en-US"/>
        </w:rPr>
        <w:t>fruK</w:t>
      </w:r>
      <w:r>
        <w:rPr>
          <w:rFonts w:ascii="Arial" w:hAnsi="Arial"/>
          <w:color w:val="1a1a1a"/>
          <w:sz w:val="22"/>
          <w:szCs w:val="22"/>
          <w:u w:val="none" w:color="1a1a1a"/>
          <w:rtl w:val="0"/>
          <w:lang w:val="en-US"/>
        </w:rPr>
        <w:t>, which phosphorylates fructose upon import (Fig 3C), supporting that fructose utilization is occurring in this condition as well.</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Addition analysis revealed several between-group significant differences in similarity. Genes in the sugar transport systems, PTS and sugar-specific ABC transporters (Fig. 3H &amp; 3I), are among the groups that segregate relative to each other. 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Further differences in carbohydrate metabolism were also visible when comparing the polysaccharide and monosaccharide catabolism expression sets (Fig. 3D &amp; 3E). Clindamycin and streptomycin pretreatments had an enrichment of expression of glucosidase genes within polysaccharide catabolism, while cefoperazone pretreatment had higher expression of genes associated with fructose and mannose metabolism within monosaccharide catabolism. These differences could highlight the ability of </w:t>
      </w:r>
      <w:r>
        <w:rPr>
          <w:rFonts w:ascii="Arial" w:hAnsi="Arial"/>
          <w:i w:val="1"/>
          <w:iCs w:val="1"/>
          <w:sz w:val="22"/>
          <w:szCs w:val="22"/>
          <w:rtl w:val="0"/>
          <w:lang w:val="en-US"/>
        </w:rPr>
        <w:t>C. difficile</w:t>
      </w:r>
      <w:r>
        <w:rPr>
          <w:rFonts w:ascii="Arial" w:hAnsi="Arial"/>
          <w:sz w:val="22"/>
          <w:szCs w:val="22"/>
          <w:rtl w:val="0"/>
          <w:lang w:val="en-US"/>
        </w:rPr>
        <w:t xml:space="preserve"> to adapt to environments with unique concentrations of resources and colonize a variety of nutrient niches during infection.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Conversely, the expression of genes associated with amino acid catabolism were consistently expressed at relatively equal levels across the conditions (Fig. 3F). These points all trend toward the center of the plotting area and show no apparent differences between any treatment group.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w:t>
      </w:r>
      <w:r>
        <w:rPr>
          <w:rFonts w:ascii="Arial" w:hAnsi="Arial"/>
          <w:i w:val="1"/>
          <w:iCs w:val="1"/>
          <w:sz w:val="22"/>
          <w:szCs w:val="22"/>
          <w:rtl w:val="0"/>
          <w:lang w:val="en-US"/>
        </w:rPr>
        <w:t>had</w:t>
      </w:r>
      <w:r>
        <w:rPr>
          <w:rFonts w:ascii="Arial" w:hAnsi="Arial"/>
          <w:sz w:val="22"/>
          <w:szCs w:val="22"/>
          <w:rtl w:val="0"/>
          <w:lang w:val="en-US"/>
        </w:rPr>
        <w:t>,</w:t>
      </w:r>
      <w:r>
        <w:rPr>
          <w:rFonts w:ascii="Arial" w:hAnsi="Arial"/>
          <w:i w:val="1"/>
          <w:iCs w:val="1"/>
          <w:sz w:val="22"/>
          <w:szCs w:val="22"/>
          <w:rtl w:val="0"/>
          <w:lang w:val="en-US"/>
        </w:rPr>
        <w:t xml:space="preserve"> </w:t>
      </w:r>
      <w:r>
        <w:rPr>
          <w:rFonts w:ascii="Arial" w:hAnsi="Arial"/>
          <w:sz w:val="22"/>
          <w:szCs w:val="22"/>
          <w:rtl w:val="0"/>
          <w:lang w:val="en-US"/>
        </w:rPr>
        <w:t xml:space="preserve">and </w:t>
      </w:r>
      <w:r>
        <w:rPr>
          <w:rFonts w:ascii="Arial" w:hAnsi="Arial"/>
          <w:i w:val="1"/>
          <w:iCs w:val="1"/>
          <w:sz w:val="22"/>
          <w:szCs w:val="22"/>
          <w:rtl w:val="0"/>
          <w:lang w:val="en-US"/>
        </w:rPr>
        <w:t xml:space="preserve">prd </w:t>
      </w:r>
      <w:r>
        <w:rPr>
          <w:rFonts w:ascii="Arial" w:hAnsi="Arial"/>
          <w:sz w:val="22"/>
          <w:szCs w:val="22"/>
          <w:rtl w:val="0"/>
          <w:lang w:val="en-US"/>
        </w:rPr>
        <w:t>operons)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Fonts w:ascii="Arial" w:hAnsi="Arial"/>
          <w:i w:val="1"/>
          <w:iCs w:val="1"/>
          <w:sz w:val="22"/>
          <w:szCs w:val="22"/>
          <w:rtl w:val="0"/>
          <w:lang w:val="en-US"/>
        </w:rPr>
        <w:t>C. difficile</w:t>
      </w:r>
      <w:r>
        <w:rPr>
          <w:rFonts w:ascii="Arial" w:hAnsi="Arial"/>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Fonts w:ascii="Arial" w:hAnsi="Arial"/>
          <w:i w:val="1"/>
          <w:iCs w:val="1"/>
          <w:sz w:val="22"/>
          <w:szCs w:val="22"/>
          <w:rtl w:val="0"/>
          <w:lang w:val="en-US"/>
        </w:rPr>
        <w:t>C. difficile</w:t>
      </w:r>
      <w:r>
        <w:rPr>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Fonts w:ascii="Arial" w:hAnsi="Arial"/>
          <w:b w:val="1"/>
          <w:bCs w:val="1"/>
          <w:sz w:val="22"/>
          <w:szCs w:val="22"/>
          <w:rtl w:val="0"/>
          <w:lang w:val="en-US"/>
        </w:rPr>
        <w:t>t</w:t>
      </w:r>
      <w:r>
        <w:rPr>
          <w:rFonts w:ascii="Arial" w:hAnsi="Arial"/>
          <w:b w:val="1"/>
          <w:bCs w:val="1"/>
          <w:sz w:val="22"/>
          <w:szCs w:val="22"/>
          <w:vertAlign w:val="subscript"/>
          <w:rtl w:val="0"/>
          <w:lang w:val="en-US"/>
        </w:rPr>
        <w:t>o</w:t>
      </w:r>
      <w:r>
        <w:rPr>
          <w:rFonts w:ascii="Arial" w:hAnsi="Arial"/>
          <w:sz w:val="22"/>
          <w:szCs w:val="22"/>
          <w:rtl w:val="0"/>
          <w:lang w:val="en-US"/>
        </w:rPr>
        <w:t xml:space="preserve"> and </w:t>
      </w:r>
      <w:r>
        <w:rPr>
          <w:rFonts w:ascii="Arial" w:hAnsi="Arial"/>
          <w:b w:val="1"/>
          <w:bCs w:val="1"/>
          <w:sz w:val="22"/>
          <w:szCs w:val="22"/>
          <w:rtl w:val="0"/>
          <w:lang w:val="en-US"/>
        </w:rPr>
        <w:t>t</w:t>
      </w:r>
      <w:r>
        <w:rPr>
          <w:rFonts w:ascii="Arial" w:hAnsi="Arial"/>
          <w:b w:val="1"/>
          <w:bCs w:val="1"/>
          <w:sz w:val="22"/>
          <w:szCs w:val="22"/>
          <w:vertAlign w:val="subscript"/>
          <w:rtl w:val="0"/>
          <w:lang w:val="en-US"/>
        </w:rPr>
        <w:t>i</w:t>
      </w:r>
      <w:r>
        <w:rPr>
          <w:rFonts w:ascii="Arial" w:hAnsi="Arial"/>
          <w:sz w:val="22"/>
          <w:szCs w:val="22"/>
          <w:rtl w:val="0"/>
          <w:lang w:val="en-US"/>
        </w:rPr>
        <w:t>), representing the reactions they mediate that either create or utilize the substrate (</w:t>
      </w:r>
      <w:r>
        <w:rPr>
          <w:rFonts w:ascii="Arial" w:hAnsi="Arial"/>
          <w:b w:val="1"/>
          <w:bCs w:val="1"/>
          <w:sz w:val="22"/>
          <w:szCs w:val="22"/>
          <w:rtl w:val="0"/>
          <w:lang w:val="en-US"/>
        </w:rPr>
        <w:t>s</w:t>
      </w:r>
      <w:r>
        <w:rPr>
          <w:rFonts w:ascii="Arial" w:hAnsi="Arial"/>
          <w:sz w:val="22"/>
          <w:szCs w:val="22"/>
          <w:rtl w:val="0"/>
          <w:lang w:val="en-US"/>
        </w:rPr>
        <w:t>). The sum is then taken of transcript abundances for enzyme nodes that connect with a given substrate node with the same direction edge (</w:t>
      </w:r>
      <w:r>
        <w:rPr>
          <w:rFonts w:ascii="Arial" w:hAnsi="Arial"/>
          <w:b w:val="1"/>
          <w:bCs w:val="1"/>
          <w:sz w:val="22"/>
          <w:szCs w:val="22"/>
          <w:rtl w:val="0"/>
          <w:lang w:val="en-US"/>
        </w:rPr>
        <w:t>e</w:t>
      </w:r>
      <w:r>
        <w:rPr>
          <w:rFonts w:ascii="Arial" w:hAnsi="Arial"/>
          <w:b w:val="1"/>
          <w:bCs w:val="1"/>
          <w:sz w:val="22"/>
          <w:szCs w:val="22"/>
          <w:vertAlign w:val="subscript"/>
          <w:rtl w:val="0"/>
          <w:lang w:val="en-US"/>
        </w:rPr>
        <w:t>o</w:t>
      </w:r>
      <w:r>
        <w:rPr>
          <w:rFonts w:ascii="Arial" w:hAnsi="Arial"/>
          <w:sz w:val="22"/>
          <w:szCs w:val="22"/>
          <w:rtl w:val="0"/>
          <w:lang w:val="en-US"/>
        </w:rPr>
        <w:t xml:space="preserve"> or </w:t>
      </w:r>
      <w:r>
        <w:rPr>
          <w:rFonts w:ascii="Arial" w:hAnsi="Arial"/>
          <w:b w:val="1"/>
          <w:bCs w:val="1"/>
          <w:sz w:val="22"/>
          <w:szCs w:val="22"/>
          <w:rtl w:val="0"/>
          <w:lang w:val="en-US"/>
        </w:rPr>
        <w:t>e</w:t>
      </w:r>
      <w:r>
        <w:rPr>
          <w:rFonts w:ascii="Arial" w:hAnsi="Arial"/>
          <w:b w:val="1"/>
          <w:bCs w:val="1"/>
          <w:sz w:val="22"/>
          <w:szCs w:val="22"/>
          <w:vertAlign w:val="subscript"/>
          <w:rtl w:val="0"/>
          <w:lang w:val="en-US"/>
        </w:rPr>
        <w:t>i</w:t>
      </w:r>
      <w:r>
        <w:rPr>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 xml:space="preserve">. Applying this method, we extracted the relative importance values of the 758 unique compounds in the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after 18 hours of infection in each treatment group. We included the transcriptome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are always active to some degree across conditions and are central to the organism</w:t>
      </w:r>
      <w:r>
        <w:rPr>
          <w:rStyle w:val="None"/>
          <w:rFonts w:ascii="Arial" w:hAnsi="Arial" w:hint="default"/>
          <w:sz w:val="22"/>
          <w:szCs w:val="22"/>
          <w:rtl w:val="0"/>
          <w:lang w:val="en-US"/>
        </w:rPr>
        <w:t>’</w:t>
      </w:r>
      <w:r>
        <w:rPr>
          <w:rStyle w:val="None"/>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pPr>
      <w:r>
        <w:rPr>
          <w:rStyle w:val="None"/>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including D-fructose, mannitol, N-acetylneuraminic acid, salicin, and D-sorbitol (Ng, 2013; Theriot, 2014). These 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 xml:space="preserve">In vivo </w:t>
      </w:r>
      <w:r>
        <w:rPr>
          <w:rStyle w:val="None"/>
          <w:rFonts w:ascii="Arial" w:hAnsi="Arial"/>
          <w:b w:val="1"/>
          <w:bCs w:val="1"/>
          <w:sz w:val="22"/>
          <w:szCs w:val="22"/>
          <w:rtl w:val="0"/>
          <w:lang w:val="en-US"/>
        </w:rPr>
        <w:t xml:space="preserve">concentrations of </w:t>
      </w:r>
      <w:r>
        <w:rPr>
          <w:rStyle w:val="None"/>
          <w:rFonts w:ascii="Arial" w:hAnsi="Arial"/>
          <w:b w:val="1"/>
          <w:bCs w:val="1"/>
          <w:sz w:val="22"/>
          <w:szCs w:val="22"/>
          <w:rtl w:val="0"/>
          <w:lang w:val="en-US"/>
        </w:rPr>
        <w:t xml:space="preserve">substrates </w:t>
      </w:r>
      <w:r>
        <w:rPr>
          <w:rStyle w:val="None"/>
          <w:rFonts w:ascii="Arial" w:hAnsi="Arial"/>
          <w:b w:val="1"/>
          <w:bCs w:val="1"/>
          <w:sz w:val="22"/>
          <w:szCs w:val="22"/>
          <w:rtl w:val="0"/>
          <w:lang w:val="en-US"/>
        </w:rPr>
        <w:t xml:space="preserve">predicted </w:t>
      </w:r>
      <w:r>
        <w:rPr>
          <w:rStyle w:val="None"/>
          <w:rFonts w:ascii="Arial" w:hAnsi="Arial"/>
          <w:b w:val="1"/>
          <w:bCs w:val="1"/>
          <w:sz w:val="22"/>
          <w:szCs w:val="22"/>
          <w:rtl w:val="0"/>
          <w:lang w:val="en-US"/>
        </w:rPr>
        <w:t>to be important</w:t>
      </w:r>
      <w:r>
        <w:rPr>
          <w:rStyle w:val="None"/>
          <w:rFonts w:ascii="Arial" w:hAnsi="Arial"/>
          <w:b w:val="1"/>
          <w:bCs w:val="1"/>
          <w:sz w:val="22"/>
          <w:szCs w:val="22"/>
          <w:rtl w:val="0"/>
          <w:lang w:val="en-US"/>
        </w:rPr>
        <w:t xml:space="preserve"> are </w:t>
      </w:r>
      <w:r>
        <w:rPr>
          <w:rStyle w:val="None"/>
          <w:rFonts w:ascii="Arial" w:hAnsi="Arial"/>
          <w:b w:val="1"/>
          <w:bCs w:val="1"/>
          <w:sz w:val="22"/>
          <w:szCs w:val="22"/>
          <w:rtl w:val="0"/>
          <w:lang w:val="en-US"/>
        </w:rPr>
        <w:t>increased in their corresponding antibiotic pretreatment.</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Pr>
        <w:tab/>
      </w:r>
      <w:r>
        <w:rPr>
          <w:rStyle w:val="None"/>
          <w:rFonts w:ascii="Arial" w:hAnsi="Arial"/>
          <w:sz w:val="22"/>
          <w:szCs w:val="22"/>
          <w:rtl w:val="0"/>
          <w:lang w:val="en-US"/>
        </w:rPr>
        <w:t>Several previous groups have</w:t>
      </w:r>
      <w:r>
        <w:rPr>
          <w:rStyle w:val="None"/>
          <w:rFonts w:ascii="Arial" w:hAnsi="Arial"/>
          <w:sz w:val="22"/>
          <w:szCs w:val="22"/>
          <w:rtl w:val="0"/>
          <w:lang w:val="en-US"/>
        </w:rPr>
        <w:t xml:space="preserve"> performed </w:t>
      </w:r>
      <w:r>
        <w:rPr>
          <w:rStyle w:val="None"/>
          <w:rFonts w:ascii="Arial" w:hAnsi="Arial"/>
          <w:sz w:val="22"/>
          <w:szCs w:val="22"/>
          <w:rtl w:val="0"/>
          <w:lang w:val="en-US"/>
        </w:rPr>
        <w:t>gas &amp; liquid chromatography-mass spectrometry</w:t>
      </w:r>
      <w:r>
        <w:rPr>
          <w:rStyle w:val="None"/>
          <w:rFonts w:ascii="Arial" w:hAnsi="Arial"/>
          <w:sz w:val="22"/>
          <w:szCs w:val="22"/>
          <w:rtl w:val="0"/>
          <w:lang w:val="en-US"/>
        </w:rPr>
        <w:t xml:space="preserve"> </w:t>
      </w:r>
      <w:r>
        <w:rPr>
          <w:rStyle w:val="None"/>
          <w:rFonts w:ascii="Arial" w:hAnsi="Arial"/>
          <w:sz w:val="22"/>
          <w:szCs w:val="22"/>
          <w:rtl w:val="0"/>
          <w:lang w:val="en-US"/>
        </w:rPr>
        <w:t xml:space="preserve">on content obtained from mice that had been either conventionally-raised then pretreated separately with the antibiotics used in this study or raised in germ free conditions.  These studies reveal that many of the substrates predicted to be used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(Theriot, 2013). It was also shown that fructose is significantly increased in streptomycin-treated mice and would be available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w:rFonts w:ascii="Arial" w:hAnsi="Arial"/>
          <w:sz w:val="22"/>
          <w:szCs w:val="22"/>
          <w:rtl w:val="0"/>
          <w:lang w:val="en-US"/>
        </w:rPr>
        <w:t xml:space="preserve">metabolism) 24 hours following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In combination, these results provide evidence that our network approach accurately predicts which substrates an organism metabolizes when colonizing different environments based on transcription.</w:t>
      </w: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I</w:t>
      </w:r>
      <w:r>
        <w:rPr>
          <w:rStyle w:val="None"/>
          <w:rFonts w:ascii="Arial" w:hAnsi="Arial"/>
          <w:b w:val="1"/>
          <w:bCs w:val="1"/>
          <w:sz w:val="22"/>
          <w:szCs w:val="22"/>
          <w:rtl w:val="0"/>
          <w:lang w:val="en-US"/>
        </w:rPr>
        <w:t xml:space="preserve">mportant </w:t>
      </w:r>
      <w:r>
        <w:rPr>
          <w:rStyle w:val="None"/>
          <w:rFonts w:ascii="Arial" w:hAnsi="Arial"/>
          <w:b w:val="1"/>
          <w:bCs w:val="1"/>
          <w:sz w:val="22"/>
          <w:szCs w:val="22"/>
          <w:rtl w:val="0"/>
          <w:lang w:val="en-US"/>
        </w:rPr>
        <w:t>c</w:t>
      </w:r>
      <w:r>
        <w:rPr>
          <w:rStyle w:val="None"/>
          <w:rFonts w:ascii="Arial" w:hAnsi="Arial"/>
          <w:b w:val="1"/>
          <w:bCs w:val="1"/>
          <w:sz w:val="22"/>
          <w:szCs w:val="22"/>
          <w:rtl w:val="0"/>
          <w:lang w:val="en-US"/>
        </w:rPr>
        <w:t>arbon sources</w:t>
      </w:r>
      <w:r>
        <w:rPr>
          <w:rStyle w:val="None"/>
          <w:rFonts w:ascii="Arial" w:hAnsi="Arial"/>
          <w:b w:val="1"/>
          <w:bCs w:val="1"/>
          <w:sz w:val="22"/>
          <w:szCs w:val="22"/>
          <w:rtl w:val="0"/>
          <w:lang w:val="en-US"/>
        </w:rPr>
        <w:t xml:space="preserve"> according to</w:t>
      </w:r>
      <w:r>
        <w:rPr>
          <w:rStyle w:val="None"/>
          <w:rFonts w:ascii="Arial" w:hAnsi="Arial"/>
          <w:b w:val="1"/>
          <w:bCs w:val="1"/>
          <w:sz w:val="22"/>
          <w:szCs w:val="22"/>
          <w:rtl w:val="0"/>
          <w:lang w:val="en-US"/>
        </w:rPr>
        <w:t xml:space="preserve"> metabolic networks support </w:t>
      </w: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growth </w:t>
      </w:r>
      <w:r>
        <w:rPr>
          <w:rStyle w:val="None"/>
          <w:rFonts w:ascii="Arial" w:hAnsi="Arial"/>
          <w:b w:val="1"/>
          <w:bCs w:val="1"/>
          <w:i w:val="1"/>
          <w:iCs w:val="1"/>
          <w:sz w:val="22"/>
          <w:szCs w:val="22"/>
          <w:rtl w:val="0"/>
          <w:lang w:val="en-US"/>
        </w:rPr>
        <w:t>in vitro</w:t>
      </w:r>
      <w:r>
        <w:rPr>
          <w:rStyle w:val="None"/>
          <w:rFonts w:ascii="Arial" w:hAnsi="Arial"/>
          <w:b w:val="1"/>
          <w:bCs w:val="1"/>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able to utilize each substrate for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This was performed using the modified defined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minimal media, supplemented individually with the selected carbohydrates (Theriot, 2014) implicated by high importance scores. As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however this analysis does not preclude the possibility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At least one carbohydrate highlighted as important in each of the antibiotic treatments groups provided high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(Fig. 4C). This included D-fructose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0.671), mannitol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0.464), and salicin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0.888). Each resulted in significantly more growth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 than AA-only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0.556) than AA-only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These results indicate potential efficiency or preferences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0.089). Mannitol was second at 7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0.044), and salicin was third at 13.5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0.076). Interestingly, the salicin growth curve was still near its maximum growth rate at the 12 hour time point, while the D-fructose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0.006) and mannitol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0.888) than BHI rich media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some curves is most likely due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0.095 at 6.5 hours) is the highest reached by any media tested, yet the maximum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than D-sorbitol alone. This could suggest a combinatorial effect of D-fructose and D-sorbitol together on the growth of </w:t>
      </w:r>
      <w:r>
        <w:rPr>
          <w:rStyle w:val="None"/>
          <w:rFonts w:ascii="Arial" w:hAnsi="Arial"/>
          <w:i w:val="1"/>
          <w:iCs w:val="1"/>
          <w:sz w:val="22"/>
          <w:szCs w:val="22"/>
          <w:rtl w:val="0"/>
          <w:lang w:val="en-US"/>
        </w:rPr>
        <w:t>C. difficile</w:t>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Discussion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Our results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occupies separate nutrient niches across susceptible gut environments based on which substrates are available. Both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 xml:space="preserve">in vitro </w:t>
      </w:r>
      <w:r>
        <w:rPr>
          <w:rStyle w:val="None"/>
          <w:rFonts w:ascii="Arial" w:hAnsi="Arial"/>
          <w:sz w:val="22"/>
          <w:szCs w:val="22"/>
          <w:rtl w:val="0"/>
          <w:lang w:val="en-US"/>
        </w:rPr>
        <w:t xml:space="preserve">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w:rFonts w:ascii="Arial" w:hAnsi="Arial"/>
          <w:i w:val="1"/>
          <w:iCs w:val="1"/>
          <w:sz w:val="22"/>
          <w:szCs w:val="22"/>
          <w:rtl w:val="0"/>
          <w:lang w:val="en-US"/>
        </w:rPr>
        <w:t>spo0A</w:t>
      </w:r>
      <w:r>
        <w:rPr>
          <w:rStyle w:val="None"/>
          <w:rFonts w:ascii="Arial" w:hAnsi="Arial"/>
          <w:sz w:val="22"/>
          <w:szCs w:val="22"/>
          <w:rtl w:val="0"/>
          <w:lang w:val="en-US"/>
        </w:rPr>
        <w:t xml:space="preserve">, which was consistently highly expressed, </w:t>
      </w:r>
      <w:r>
        <w:rPr>
          <w:rStyle w:val="None"/>
          <w:rFonts w:ascii="Arial" w:hAnsi="Arial"/>
          <w:i w:val="1"/>
          <w:iCs w:val="1"/>
          <w:sz w:val="22"/>
          <w:szCs w:val="22"/>
          <w:rtl w:val="0"/>
          <w:lang w:val="en-US"/>
        </w:rPr>
        <w:t>spo</w:t>
      </w:r>
      <w:r>
        <w:rPr>
          <w:rStyle w:val="None"/>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has begun its final phase before transmission either other antibiotic group. In addition to lifestyle associated genes,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displayed increased relative abundance in gene expression associated with catabolizing monosaccharides and simple sugar alcohols.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some treatments and virulence/transmission in others.</w:t>
      </w:r>
      <w:r>
        <w:rPr>
          <w:rStyle w:val="None"/>
          <w:rFonts w:ascii="Arial" w:hAnsi="Arial"/>
          <w:sz w:val="22"/>
          <w:szCs w:val="22"/>
          <w:rtl w:val="0"/>
          <w:lang w:val="en-US"/>
        </w:rPr>
        <w:t xml:space="preserve"> </w:t>
      </w:r>
      <w:r>
        <w:rPr>
          <w:rStyle w:val="None"/>
          <w:rFonts w:ascii="Arial" w:hAnsi="Arial"/>
          <w:sz w:val="22"/>
          <w:szCs w:val="22"/>
          <w:rtl w:val="0"/>
          <w:lang w:val="en-US"/>
        </w:rPr>
        <w:t xml:space="preserve">It has </w:t>
      </w:r>
      <w:r>
        <w:rPr>
          <w:rStyle w:val="None"/>
          <w:rFonts w:ascii="Arial" w:hAnsi="Arial"/>
          <w:sz w:val="22"/>
          <w:szCs w:val="22"/>
          <w:rtl w:val="0"/>
          <w:lang w:val="en-US"/>
        </w:rPr>
        <w:t xml:space="preserve">also </w:t>
      </w:r>
      <w:r>
        <w:rPr>
          <w:rStyle w:val="None"/>
          <w:rFonts w:ascii="Arial" w:hAnsi="Arial"/>
          <w:sz w:val="22"/>
          <w:szCs w:val="22"/>
          <w:rtl w:val="0"/>
          <w:lang w:val="en-US"/>
        </w:rPr>
        <w:t xml:space="preserve">been previously shown that this bacterium is capable of cleaving host associated glycans and liberating short amino sugars, which is a functionality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lacks (Sebaihia, 2006).</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Metabolic modeling results from both cefoperazone and streptomycin-treated mice indicated carbohydrates known to be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w:t>
      </w:r>
      <w:r>
        <w:rPr>
          <w:rtl w:val="0"/>
          <w:lang w:val="en-US"/>
        </w:rPr>
        <w:t xml:space="preserve"> </w:t>
      </w:r>
      <w:r>
        <w:rPr>
          <w:rStyle w:val="None"/>
          <w:rFonts w:ascii="Arial" w:hAnsi="Arial"/>
          <w:sz w:val="22"/>
          <w:szCs w:val="22"/>
          <w:rtl w:val="0"/>
          <w:lang w:val="en-US"/>
        </w:rPr>
        <w:t xml:space="preserve">are preferred in these conditions, and are also enriched </w:t>
      </w:r>
      <w:r>
        <w:rPr>
          <w:rStyle w:val="None"/>
          <w:rFonts w:ascii="Arial" w:hAnsi="Arial"/>
          <w:i w:val="1"/>
          <w:iCs w:val="1"/>
          <w:sz w:val="22"/>
          <w:szCs w:val="22"/>
          <w:rtl w:val="0"/>
          <w:lang w:val="en-US"/>
        </w:rPr>
        <w:t>in vivo</w:t>
      </w:r>
      <w:r>
        <w:rPr>
          <w:rStyle w:val="None"/>
          <w:rFonts w:ascii="Arial" w:hAnsi="Arial"/>
          <w:sz w:val="22"/>
          <w:szCs w:val="22"/>
          <w:rtl w:val="0"/>
          <w:lang w:val="en-US"/>
        </w:rPr>
        <w:t>. These carbon sources are both commonly provided by the host</w:t>
      </w:r>
      <w:r>
        <w:rPr>
          <w:rStyle w:val="None"/>
          <w:rFonts w:ascii="Arial" w:hAnsi="Arial" w:hint="default"/>
          <w:sz w:val="22"/>
          <w:szCs w:val="22"/>
          <w:rtl w:val="0"/>
          <w:lang w:val="en-US"/>
        </w:rPr>
        <w:t>’</w:t>
      </w:r>
      <w:r>
        <w:rPr>
          <w:rStyle w:val="None"/>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to get the substrates it needs to grow. Interestingly, findings from c</w:t>
      </w:r>
      <w:r>
        <w:rPr>
          <w:rStyle w:val="None"/>
          <w:rFonts w:ascii="Arial" w:hAnsi="Arial"/>
          <w:sz w:val="22"/>
          <w:szCs w:val="22"/>
          <w:rtl w:val="0"/>
          <w:lang w:val="en-US"/>
        </w:rPr>
        <w:t>lindamycin</w:t>
      </w:r>
      <w:r>
        <w:rPr>
          <w:rStyle w:val="None"/>
          <w:rFonts w:ascii="Arial" w:hAnsi="Arial"/>
          <w:sz w:val="22"/>
          <w:szCs w:val="22"/>
          <w:rtl w:val="0"/>
          <w:lang w:val="en-US"/>
        </w:rPr>
        <w:t>-</w:t>
      </w:r>
      <w:r>
        <w:rPr>
          <w:rStyle w:val="None"/>
          <w:rFonts w:ascii="Arial" w:hAnsi="Arial"/>
          <w:sz w:val="22"/>
          <w:szCs w:val="22"/>
          <w:rtl w:val="0"/>
          <w:lang w:val="en-US"/>
        </w:rPr>
        <w:t>treated animals</w:t>
      </w:r>
      <w:r>
        <w:rPr>
          <w:rStyle w:val="None"/>
          <w:rFonts w:ascii="Arial" w:hAnsi="Arial"/>
          <w:sz w:val="22"/>
          <w:szCs w:val="22"/>
          <w:rtl w:val="0"/>
          <w:lang w:val="en-US"/>
        </w:rPr>
        <w:t xml:space="preserve"> using the same approach suggest</w:t>
      </w:r>
      <w:r>
        <w:rPr>
          <w:rStyle w:val="None"/>
          <w:rFonts w:ascii="Arial" w:hAnsi="Arial"/>
          <w:sz w:val="22"/>
          <w:szCs w:val="22"/>
          <w:rtl w:val="0"/>
          <w:lang w:val="en-US"/>
        </w:rPr>
        <w:t xml:space="preserve"> </w:t>
      </w:r>
      <w:r>
        <w:rPr>
          <w:rStyle w:val="None"/>
          <w:rFonts w:ascii="Arial" w:hAnsi="Arial"/>
          <w:sz w:val="22"/>
          <w:szCs w:val="22"/>
          <w:rtl w:val="0"/>
          <w:lang w:val="en-US"/>
        </w:rPr>
        <w:t xml:space="preserve">that </w:t>
      </w:r>
      <w:r>
        <w:rPr>
          <w:rStyle w:val="None"/>
          <w:rFonts w:ascii="Arial" w:hAnsi="Arial"/>
          <w:sz w:val="22"/>
          <w:szCs w:val="22"/>
          <w:rtl w:val="0"/>
          <w:lang w:val="en-US"/>
        </w:rPr>
        <w:t>salicin</w:t>
      </w:r>
      <w:r>
        <w:rPr>
          <w:rStyle w:val="None"/>
          <w:rFonts w:ascii="Arial" w:hAnsi="Arial"/>
          <w:sz w:val="22"/>
          <w:szCs w:val="22"/>
          <w:rtl w:val="0"/>
          <w:lang w:val="en-US"/>
        </w:rPr>
        <w:t>, and breakdown analog 4-hydroxybutanoic acid,</w:t>
      </w:r>
      <w:r>
        <w:rPr>
          <w:rStyle w:val="None"/>
          <w:rFonts w:ascii="Arial" w:hAnsi="Arial"/>
          <w:sz w:val="22"/>
          <w:szCs w:val="22"/>
          <w:rtl w:val="0"/>
          <w:lang w:val="en-US"/>
        </w:rPr>
        <w:t xml:space="preserve"> </w:t>
      </w:r>
      <w:r>
        <w:rPr>
          <w:rStyle w:val="None"/>
          <w:rFonts w:ascii="Arial" w:hAnsi="Arial"/>
          <w:sz w:val="22"/>
          <w:szCs w:val="22"/>
          <w:rtl w:val="0"/>
          <w:lang w:val="en-US"/>
        </w:rPr>
        <w:t>are also likely to be used by</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sz w:val="22"/>
          <w:szCs w:val="22"/>
          <w:rtl w:val="0"/>
          <w:lang w:val="en-US"/>
        </w:rPr>
        <w:t xml:space="preserve">Prior research has shown that salicin is readily fermented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(Nakamura, 1982).</w:t>
      </w:r>
      <w:r>
        <w:rPr>
          <w:rStyle w:val="None"/>
          <w:rFonts w:ascii="Arial" w:hAnsi="Arial"/>
          <w:sz w:val="22"/>
          <w:szCs w:val="22"/>
          <w:rtl w:val="0"/>
          <w:lang w:val="en-US"/>
        </w:rPr>
        <w:t xml:space="preserve"> </w:t>
      </w:r>
      <w:r>
        <w:rPr>
          <w:rStyle w:val="None"/>
          <w:rFonts w:ascii="Arial" w:hAnsi="Arial"/>
          <w:sz w:val="22"/>
          <w:szCs w:val="22"/>
          <w:rtl w:val="0"/>
          <w:lang w:val="en-US"/>
        </w:rPr>
        <w:t>Both are members of the nonsteroidal anti-inflammatory drug (or NSAID) class of molecules. Although the exact source is unknown, salicin availability in the gut or that of another related beta-glucoside could be derived from the mice</w:t>
      </w:r>
      <w:r>
        <w:rPr>
          <w:rStyle w:val="None"/>
          <w:rFonts w:ascii="Arial" w:hAnsi="Arial" w:hint="default"/>
          <w:sz w:val="22"/>
          <w:szCs w:val="22"/>
          <w:rtl w:val="0"/>
          <w:lang w:val="en-US"/>
        </w:rPr>
        <w:t>’</w:t>
      </w:r>
      <w:r>
        <w:rPr>
          <w:rStyle w:val="None"/>
          <w:rFonts w:ascii="Arial" w:hAnsi="Arial"/>
          <w:sz w:val="22"/>
          <w:szCs w:val="22"/>
          <w:rtl w:val="0"/>
          <w:lang w:val="en-US"/>
        </w:rPr>
        <w:t xml:space="preserve">s plant-based diet. Possibly following release during manufacturing or degradation of cell wall molecules by other gut bacterial species (Pierpoint, 1994). What makes this result the most interesting is that molecules in the same class have been shown to actually </w:t>
      </w:r>
      <w:r>
        <w:rPr>
          <w:rStyle w:val="None"/>
          <w:rFonts w:ascii="Arial" w:hAnsi="Arial"/>
          <w:i w:val="1"/>
          <w:iCs w:val="1"/>
          <w:sz w:val="22"/>
          <w:szCs w:val="22"/>
          <w:rtl w:val="0"/>
          <w:lang w:val="en-US"/>
        </w:rPr>
        <w:t>increase</w:t>
      </w:r>
      <w:r>
        <w:rPr>
          <w:rStyle w:val="None"/>
          <w:rFonts w:ascii="Arial" w:hAnsi="Arial"/>
          <w:sz w:val="22"/>
          <w:szCs w:val="22"/>
          <w:rtl w:val="0"/>
          <w:lang w:val="en-US"/>
        </w:rPr>
        <w:t xml:space="preserve"> severity of CDI symptoms in mice (Trindade, 2016), and could explain the more reliably high toxin titer in clindamycin-treated animals (Fig. 1D). Network </w:t>
      </w:r>
      <w:r>
        <w:rPr>
          <w:rStyle w:val="None"/>
          <w:rFonts w:ascii="Arial" w:hAnsi="Arial"/>
          <w:sz w:val="22"/>
          <w:szCs w:val="22"/>
          <w:rtl w:val="0"/>
          <w:lang w:val="en-US"/>
        </w:rPr>
        <w:t xml:space="preserve">analysis </w:t>
      </w:r>
      <w:r>
        <w:rPr>
          <w:rStyle w:val="None"/>
          <w:rFonts w:ascii="Arial" w:hAnsi="Arial"/>
          <w:sz w:val="22"/>
          <w:szCs w:val="22"/>
          <w:rtl w:val="0"/>
          <w:lang w:val="en-US"/>
        </w:rPr>
        <w:t>also supports that</w:t>
      </w:r>
      <w:r>
        <w:rPr>
          <w:rtl w:val="0"/>
          <w:lang w:val="en-US"/>
        </w:rPr>
        <w:t xml:space="preserve"> </w:t>
      </w:r>
      <w:r>
        <w:rPr>
          <w:rStyle w:val="None"/>
          <w:rFonts w:ascii="Arial" w:hAnsi="Arial"/>
          <w:sz w:val="22"/>
          <w:szCs w:val="22"/>
          <w:rtl w:val="0"/>
          <w:lang w:val="en-US"/>
        </w:rPr>
        <w:t>in</w:t>
      </w:r>
      <w:r>
        <w:rPr>
          <w:rStyle w:val="None"/>
          <w:rFonts w:ascii="Arial" w:hAnsi="Arial"/>
          <w:sz w:val="22"/>
          <w:szCs w:val="22"/>
          <w:rtl w:val="0"/>
          <w:lang w:val="en-US"/>
        </w:rPr>
        <w:t xml:space="preserve"> germ</w:t>
      </w:r>
      <w:r>
        <w:rPr>
          <w:rStyle w:val="None"/>
          <w:rFonts w:ascii="Arial" w:hAnsi="Arial"/>
          <w:sz w:val="22"/>
          <w:szCs w:val="22"/>
          <w:rtl w:val="0"/>
          <w:lang w:val="en-US"/>
        </w:rPr>
        <w:t xml:space="preserve"> </w:t>
      </w:r>
      <w:r>
        <w:rPr>
          <w:rStyle w:val="None"/>
          <w:rFonts w:ascii="Arial" w:hAnsi="Arial"/>
          <w:sz w:val="22"/>
          <w:szCs w:val="22"/>
          <w:rtl w:val="0"/>
          <w:lang w:val="en-US"/>
        </w:rPr>
        <w:t>free mice</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sz w:val="22"/>
          <w:szCs w:val="22"/>
          <w:rtl w:val="0"/>
          <w:lang w:val="en-US"/>
        </w:rPr>
        <w:t>utilizes</w:t>
      </w:r>
      <w:r>
        <w:rPr>
          <w:rStyle w:val="None"/>
          <w:rFonts w:ascii="Arial" w:hAnsi="Arial"/>
          <w:sz w:val="22"/>
          <w:szCs w:val="22"/>
          <w:rtl w:val="0"/>
          <w:lang w:val="en-US"/>
        </w:rPr>
        <w:t xml:space="preserve"> N-acetylneuraminic acid </w:t>
      </w:r>
      <w:r>
        <w:rPr>
          <w:rStyle w:val="None"/>
          <w:rFonts w:ascii="Arial" w:hAnsi="Arial"/>
          <w:sz w:val="22"/>
          <w:szCs w:val="22"/>
          <w:rtl w:val="0"/>
          <w:lang w:val="en-US"/>
        </w:rPr>
        <w:t>as an</w:t>
      </w:r>
      <w:r>
        <w:rPr>
          <w:rStyle w:val="None"/>
          <w:rFonts w:ascii="Arial" w:hAnsi="Arial"/>
          <w:sz w:val="22"/>
          <w:szCs w:val="22"/>
          <w:rtl w:val="0"/>
          <w:lang w:val="en-US"/>
        </w:rPr>
        <w:t xml:space="preserve"> important carbon source. The capacity to catabolize this amino sugar</w:t>
      </w:r>
      <w:r>
        <w:rPr>
          <w:rStyle w:val="None"/>
          <w:rFonts w:ascii="Arial" w:hAnsi="Arial"/>
          <w:sz w:val="22"/>
          <w:szCs w:val="22"/>
          <w:rtl w:val="0"/>
          <w:lang w:val="en-US"/>
        </w:rPr>
        <w:t>,</w:t>
      </w:r>
      <w:r>
        <w:rPr>
          <w:rStyle w:val="None"/>
          <w:rFonts w:ascii="Arial" w:hAnsi="Arial"/>
          <w:sz w:val="22"/>
          <w:szCs w:val="22"/>
          <w:rtl w:val="0"/>
          <w:lang w:val="en-US"/>
        </w:rPr>
        <w:t xml:space="preserve"> and others like it</w:t>
      </w:r>
      <w:r>
        <w:rPr>
          <w:rStyle w:val="None"/>
          <w:rFonts w:ascii="Arial" w:hAnsi="Arial"/>
          <w:sz w:val="22"/>
          <w:szCs w:val="22"/>
          <w:rtl w:val="0"/>
          <w:lang w:val="en-US"/>
        </w:rPr>
        <w:t>,</w:t>
      </w:r>
      <w:r>
        <w:rPr>
          <w:rStyle w:val="None"/>
          <w:rFonts w:ascii="Arial" w:hAnsi="Arial"/>
          <w:sz w:val="22"/>
          <w:szCs w:val="22"/>
          <w:rtl w:val="0"/>
          <w:lang w:val="en-US"/>
        </w:rPr>
        <w:t xml:space="preserve"> is highly distributed among bacterial species that inhabit the mammalian gut (Vimr, 2004)</w:t>
      </w:r>
      <w:r>
        <w:rPr>
          <w:rStyle w:val="None"/>
          <w:rFonts w:ascii="Arial" w:hAnsi="Arial"/>
          <w:sz w:val="22"/>
          <w:szCs w:val="22"/>
          <w:rtl w:val="0"/>
          <w:lang w:val="en-US"/>
        </w:rPr>
        <w:t>.</w:t>
      </w:r>
      <w:r>
        <w:rPr>
          <w:rStyle w:val="None"/>
          <w:rFonts w:ascii="Arial" w:hAnsi="Arial"/>
          <w:sz w:val="22"/>
          <w:szCs w:val="22"/>
          <w:rtl w:val="0"/>
          <w:lang w:val="en-US"/>
        </w:rPr>
        <w:t xml:space="preserve"> </w:t>
      </w:r>
      <w:r>
        <w:rPr>
          <w:rStyle w:val="None"/>
          <w:rFonts w:ascii="Arial" w:hAnsi="Arial"/>
          <w:sz w:val="22"/>
          <w:szCs w:val="22"/>
          <w:rtl w:val="0"/>
          <w:lang w:val="en-US"/>
        </w:rPr>
        <w:t xml:space="preserve">This </w:t>
      </w:r>
      <w:r>
        <w:rPr>
          <w:rStyle w:val="None"/>
          <w:rFonts w:ascii="Arial" w:hAnsi="Arial"/>
          <w:sz w:val="22"/>
          <w:szCs w:val="22"/>
          <w:rtl w:val="0"/>
          <w:lang w:val="en-US"/>
        </w:rPr>
        <w:t>mean</w:t>
      </w:r>
      <w:r>
        <w:rPr>
          <w:rStyle w:val="None"/>
          <w:rFonts w:ascii="Arial" w:hAnsi="Arial"/>
          <w:sz w:val="22"/>
          <w:szCs w:val="22"/>
          <w:rtl w:val="0"/>
          <w:lang w:val="en-US"/>
        </w:rPr>
        <w:t>s</w:t>
      </w:r>
      <w:r>
        <w:rPr>
          <w:rStyle w:val="None"/>
          <w:rFonts w:ascii="Arial" w:hAnsi="Arial"/>
          <w:sz w:val="22"/>
          <w:szCs w:val="22"/>
          <w:rtl w:val="0"/>
          <w:lang w:val="en-US"/>
        </w:rPr>
        <w:t xml:space="preserve"> that N-acetylneuraminic acid is </w:t>
      </w:r>
      <w:r>
        <w:rPr>
          <w:rStyle w:val="None"/>
          <w:rFonts w:ascii="Arial" w:hAnsi="Arial"/>
          <w:sz w:val="22"/>
          <w:szCs w:val="22"/>
          <w:rtl w:val="0"/>
          <w:lang w:val="en-US"/>
        </w:rPr>
        <w:t>strongly competed for</w:t>
      </w:r>
      <w:r>
        <w:rPr>
          <w:rStyle w:val="None"/>
          <w:rFonts w:ascii="Arial" w:hAnsi="Arial"/>
          <w:sz w:val="22"/>
          <w:szCs w:val="22"/>
          <w:rtl w:val="0"/>
          <w:lang w:val="en-US"/>
        </w:rPr>
        <w:t xml:space="preserve"> </w:t>
      </w:r>
      <w:r>
        <w:rPr>
          <w:rStyle w:val="None"/>
          <w:rFonts w:ascii="Arial" w:hAnsi="Arial"/>
          <w:sz w:val="22"/>
          <w:szCs w:val="22"/>
          <w:rtl w:val="0"/>
          <w:lang w:val="en-US"/>
        </w:rPr>
        <w:t xml:space="preserve">by </w:t>
      </w:r>
      <w:r>
        <w:rPr>
          <w:rStyle w:val="None"/>
          <w:rFonts w:ascii="Arial" w:hAnsi="Arial"/>
          <w:sz w:val="22"/>
          <w:szCs w:val="22"/>
          <w:rtl w:val="0"/>
          <w:lang w:val="en-US"/>
        </w:rPr>
        <w:t xml:space="preserve">the </w:t>
      </w:r>
      <w:r>
        <w:rPr>
          <w:rStyle w:val="None"/>
          <w:rFonts w:ascii="Arial" w:hAnsi="Arial"/>
          <w:sz w:val="22"/>
          <w:szCs w:val="22"/>
          <w:rtl w:val="0"/>
          <w:lang w:val="en-US"/>
        </w:rPr>
        <w:t>healthy</w:t>
      </w:r>
      <w:r>
        <w:rPr>
          <w:rStyle w:val="None"/>
          <w:rFonts w:ascii="Arial" w:hAnsi="Arial"/>
          <w:sz w:val="22"/>
          <w:szCs w:val="22"/>
          <w:rtl w:val="0"/>
          <w:lang w:val="en-US"/>
        </w:rPr>
        <w:t xml:space="preserve"> microbiota</w:t>
      </w:r>
      <w:r>
        <w:rPr>
          <w:rStyle w:val="None"/>
          <w:rFonts w:ascii="Arial" w:hAnsi="Arial"/>
          <w:sz w:val="22"/>
          <w:szCs w:val="22"/>
          <w:rtl w:val="0"/>
          <w:lang w:val="en-US"/>
        </w:rPr>
        <w:t>.</w:t>
      </w:r>
      <w:r>
        <w:rPr>
          <w:rStyle w:val="None"/>
          <w:rFonts w:ascii="Arial" w:hAnsi="Arial"/>
          <w:sz w:val="22"/>
          <w:szCs w:val="22"/>
          <w:rtl w:val="0"/>
          <w:lang w:val="en-US"/>
        </w:rPr>
        <w:t xml:space="preserve"> </w:t>
      </w:r>
      <w:r>
        <w:rPr>
          <w:rStyle w:val="None"/>
          <w:rFonts w:ascii="Arial" w:hAnsi="Arial"/>
          <w:sz w:val="22"/>
          <w:szCs w:val="22"/>
          <w:rtl w:val="0"/>
          <w:lang w:val="en-US"/>
        </w:rPr>
        <w:t>Since the largest increase in availability of the molecule is seen when there are no other microbes present, this</w:t>
      </w:r>
      <w:r>
        <w:rPr>
          <w:rStyle w:val="None"/>
          <w:rFonts w:ascii="Arial" w:hAnsi="Arial"/>
          <w:sz w:val="22"/>
          <w:szCs w:val="22"/>
          <w:rtl w:val="0"/>
          <w:lang w:val="en-US"/>
        </w:rPr>
        <w:t xml:space="preserve"> could demonstrate a preference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N-acetylneuraminic acid as a growth substrate</w:t>
      </w:r>
      <w:r>
        <w:rPr>
          <w:rStyle w:val="None"/>
          <w:rFonts w:ascii="Arial" w:hAnsi="Arial"/>
          <w:sz w:val="22"/>
          <w:szCs w:val="22"/>
          <w:rtl w:val="0"/>
          <w:lang w:val="en-US"/>
        </w:rPr>
        <w:t xml:space="preserve"> above most others</w:t>
      </w:r>
      <w:r>
        <w:rPr>
          <w:rStyle w:val="None"/>
          <w:rFonts w:ascii="Arial" w:hAnsi="Arial"/>
          <w:sz w:val="22"/>
          <w:szCs w:val="22"/>
          <w:rtl w:val="0"/>
          <w:lang w:val="en-US"/>
        </w:rPr>
        <w:t xml:space="preserve">. </w:t>
      </w:r>
      <w:r>
        <w:rPr>
          <w:rStyle w:val="None"/>
          <w:rFonts w:ascii="Arial" w:hAnsi="Arial"/>
          <w:sz w:val="22"/>
          <w:szCs w:val="22"/>
          <w:rtl w:val="0"/>
          <w:lang w:val="en-US"/>
        </w:rPr>
        <w:t xml:space="preserve">From these data it seems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alters it</w:t>
      </w:r>
      <w:r>
        <w:rPr>
          <w:rStyle w:val="None"/>
          <w:rFonts w:ascii="Arial" w:hAnsi="Arial" w:hint="default"/>
          <w:sz w:val="22"/>
          <w:szCs w:val="22"/>
          <w:rtl w:val="0"/>
          <w:lang w:val="en-US"/>
        </w:rPr>
        <w:t>’</w:t>
      </w:r>
      <w:r>
        <w:rPr>
          <w:rStyle w:val="None"/>
          <w:rFonts w:ascii="Arial" w:hAnsi="Arial"/>
          <w:sz w:val="22"/>
          <w:szCs w:val="22"/>
          <w:rtl w:val="0"/>
          <w:lang w:val="en-US"/>
        </w:rPr>
        <w:t>s nutrient preference to fit what is most easily obtained.</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Pr>
        <w:tab/>
      </w:r>
      <w:r>
        <w:rPr>
          <w:rStyle w:val="None"/>
          <w:rFonts w:ascii="Arial" w:hAnsi="Arial"/>
          <w:sz w:val="22"/>
          <w:szCs w:val="22"/>
          <w:rtl w:val="0"/>
          <w:lang w:val="en-US"/>
        </w:rPr>
        <w:t xml:space="preserve">In light of </w:t>
      </w:r>
      <w:r>
        <w:rPr>
          <w:rStyle w:val="None"/>
          <w:rFonts w:ascii="Arial" w:hAnsi="Arial"/>
          <w:sz w:val="22"/>
          <w:szCs w:val="22"/>
          <w:rtl w:val="0"/>
          <w:lang w:val="en-US"/>
        </w:rPr>
        <w:t>the results presented here,</w:t>
      </w:r>
      <w:r>
        <w:rPr>
          <w:rStyle w:val="None"/>
          <w:rFonts w:ascii="Arial" w:hAnsi="Arial"/>
          <w:sz w:val="22"/>
          <w:szCs w:val="22"/>
          <w:rtl w:val="0"/>
          <w:lang w:val="en-US"/>
        </w:rPr>
        <w:t xml:space="preserve"> our method strongly support</w:t>
      </w:r>
      <w:r>
        <w:rPr>
          <w:rStyle w:val="None"/>
          <w:rFonts w:ascii="Arial" w:hAnsi="Arial"/>
          <w:sz w:val="22"/>
          <w:szCs w:val="22"/>
          <w:rtl w:val="0"/>
          <w:lang w:val="en-US"/>
        </w:rPr>
        <w:t>s</w:t>
      </w:r>
      <w:r>
        <w:rPr>
          <w:rStyle w:val="None"/>
          <w:rFonts w:ascii="Arial" w:hAnsi="Arial"/>
          <w:sz w:val="22"/>
          <w:szCs w:val="22"/>
          <w:rtl w:val="0"/>
          <w:lang w:val="en-US"/>
        </w:rPr>
        <w:t xml:space="preserv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w:t>
      </w:r>
      <w:r>
        <w:rPr>
          <w:rStyle w:val="None"/>
          <w:rFonts w:ascii="Arial" w:hAnsi="Arial"/>
          <w:sz w:val="22"/>
          <w:szCs w:val="22"/>
          <w:rtl w:val="0"/>
          <w:lang w:val="en-US"/>
        </w:rPr>
        <w:t xml:space="preserve"> Our</w:t>
      </w:r>
      <w:r>
        <w:rPr>
          <w:rStyle w:val="None"/>
          <w:rFonts w:ascii="Arial" w:hAnsi="Arial"/>
          <w:sz w:val="22"/>
          <w:szCs w:val="22"/>
          <w:rtl w:val="0"/>
          <w:lang w:val="en-US"/>
        </w:rPr>
        <w:t xml:space="preserve"> results may also indicate that further considerations are needed when attempting to design more targeted probiotics for the prevention or elimination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from the human gut. Different classes of antibiotics may each result in a unique gut environment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conclusion, our findings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able to cope with unique nutrient availabilities across vulnerable gut environments which it colonizes. </w:t>
      </w:r>
      <w:r>
        <w:rPr>
          <w:rStyle w:val="None"/>
          <w:rFonts w:ascii="Arial" w:hAnsi="Arial"/>
          <w:sz w:val="22"/>
          <w:szCs w:val="22"/>
          <w:rtl w:val="0"/>
          <w:lang w:val="en-US"/>
        </w:rPr>
        <w:t>The</w:t>
      </w:r>
      <w:r>
        <w:rPr>
          <w:rStyle w:val="None"/>
          <w:rFonts w:ascii="Arial" w:hAnsi="Arial"/>
          <w:sz w:val="22"/>
          <w:szCs w:val="22"/>
          <w:rtl w:val="0"/>
          <w:lang w:val="en-US"/>
        </w:rPr>
        <w:t xml:space="preserve"> data support that separate classes of antibiotics</w:t>
      </w:r>
      <w:r>
        <w:rPr>
          <w:rStyle w:val="None"/>
          <w:rFonts w:ascii="Arial" w:hAnsi="Arial"/>
          <w:sz w:val="22"/>
          <w:szCs w:val="22"/>
          <w:rtl w:val="0"/>
          <w:lang w:val="en-US"/>
        </w:rPr>
        <w:t xml:space="preserve"> </w:t>
      </w:r>
      <w:r>
        <w:rPr>
          <w:rStyle w:val="None"/>
          <w:rFonts w:ascii="Arial" w:hAnsi="Arial"/>
          <w:sz w:val="22"/>
          <w:szCs w:val="22"/>
          <w:rtl w:val="0"/>
          <w:lang w:val="en-US"/>
        </w:rPr>
        <w:t xml:space="preserve">cause susceptibility to CDI through slightly different means by </w:t>
      </w:r>
      <w:r>
        <w:rPr>
          <w:rStyle w:val="None"/>
          <w:rFonts w:ascii="Arial" w:hAnsi="Arial"/>
          <w:sz w:val="22"/>
          <w:szCs w:val="22"/>
          <w:rtl w:val="0"/>
          <w:lang w:val="en-US"/>
        </w:rPr>
        <w:t xml:space="preserve">opening unique nutrient niches to </w:t>
      </w:r>
      <w:r>
        <w:rPr>
          <w:rStyle w:val="None"/>
          <w:rFonts w:ascii="Arial" w:hAnsi="Arial"/>
          <w:i w:val="1"/>
          <w:iCs w:val="1"/>
          <w:sz w:val="22"/>
          <w:szCs w:val="22"/>
          <w:rtl w:val="0"/>
          <w:lang w:val="en-US"/>
        </w:rPr>
        <w:t>C. difficile</w:t>
      </w:r>
      <w:r>
        <w:rPr>
          <w:rStyle w:val="None"/>
          <w:rFonts w:ascii="Arial" w:hAnsi="Arial"/>
          <w:sz w:val="22"/>
          <w:szCs w:val="22"/>
          <w:rtl w:val="0"/>
          <w:lang w:val="en-US"/>
        </w:rPr>
        <w:t>.</w:t>
      </w:r>
      <w:r>
        <w:rPr>
          <w:rStyle w:val="None"/>
          <w:rFonts w:ascii="Arial" w:hAnsi="Arial"/>
          <w:sz w:val="22"/>
          <w:szCs w:val="22"/>
          <w:rtl w:val="0"/>
          <w:lang w:val="en-US"/>
        </w:rPr>
        <w:t xml:space="preserve"> Context-dependent l</w:t>
      </w:r>
      <w:r>
        <w:rPr>
          <w:rStyle w:val="None"/>
          <w:rFonts w:ascii="Arial" w:hAnsi="Arial"/>
          <w:sz w:val="22"/>
          <w:szCs w:val="22"/>
          <w:rtl w:val="0"/>
          <w:lang w:val="en-US"/>
        </w:rPr>
        <w:t xml:space="preserve">imitation of </w:t>
      </w:r>
      <w:r>
        <w:rPr>
          <w:rStyle w:val="None"/>
          <w:rFonts w:ascii="Arial" w:hAnsi="Arial"/>
          <w:sz w:val="22"/>
          <w:szCs w:val="22"/>
          <w:rtl w:val="0"/>
          <w:lang w:val="en-US"/>
        </w:rPr>
        <w:t>certain</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 by specific </w:t>
      </w:r>
      <w:r>
        <w:rPr>
          <w:rStyle w:val="None"/>
          <w:rFonts w:ascii="Arial" w:hAnsi="Arial"/>
          <w:sz w:val="22"/>
          <w:szCs w:val="22"/>
          <w:rtl w:val="0"/>
          <w:lang w:val="en-US"/>
        </w:rPr>
        <w:t xml:space="preserve">members </w:t>
      </w:r>
      <w:r>
        <w:rPr>
          <w:rStyle w:val="None"/>
          <w:rFonts w:ascii="Arial" w:hAnsi="Arial"/>
          <w:sz w:val="22"/>
          <w:szCs w:val="22"/>
          <w:rtl w:val="0"/>
          <w:lang w:val="en-US"/>
        </w:rPr>
        <w:t xml:space="preserve">of the gut microbiota may </w:t>
      </w:r>
      <w:r>
        <w:rPr>
          <w:rStyle w:val="None"/>
          <w:rFonts w:ascii="Arial" w:hAnsi="Arial"/>
          <w:sz w:val="22"/>
          <w:szCs w:val="22"/>
          <w:rtl w:val="0"/>
          <w:lang w:val="en-US"/>
        </w:rPr>
        <w:t>be</w:t>
      </w:r>
      <w:r>
        <w:rPr>
          <w:rStyle w:val="None"/>
          <w:rFonts w:ascii="Arial" w:hAnsi="Arial"/>
          <w:sz w:val="22"/>
          <w:szCs w:val="22"/>
          <w:rtl w:val="0"/>
          <w:lang w:val="en-US"/>
        </w:rPr>
        <w:t xml:space="preserve"> the key to colonization </w:t>
      </w:r>
      <w:r>
        <w:rPr>
          <w:rStyle w:val="None"/>
          <w:rFonts w:ascii="Arial" w:hAnsi="Arial"/>
          <w:sz w:val="22"/>
          <w:szCs w:val="22"/>
          <w:rtl w:val="0"/>
          <w:lang w:val="en-US"/>
        </w:rPr>
        <w:t>resistance</w:t>
      </w:r>
      <w:r>
        <w:rPr>
          <w:rStyle w:val="None"/>
          <w:rFonts w:ascii="Arial" w:hAnsi="Arial"/>
          <w:sz w:val="22"/>
          <w:szCs w:val="22"/>
          <w:rtl w:val="0"/>
          <w:lang w:val="en-US"/>
        </w:rPr>
        <w:t>. In the future</w:t>
      </w:r>
      <w:r>
        <w:rPr>
          <w:rStyle w:val="None"/>
          <w:rFonts w:ascii="Arial" w:hAnsi="Arial"/>
          <w:sz w:val="22"/>
          <w:szCs w:val="22"/>
          <w:rtl w:val="0"/>
          <w:lang w:val="en-US"/>
        </w:rPr>
        <w:t>, f</w:t>
      </w:r>
      <w:r>
        <w:rPr>
          <w:rStyle w:val="None"/>
          <w:rFonts w:ascii="Arial" w:hAnsi="Arial"/>
          <w:sz w:val="22"/>
          <w:szCs w:val="22"/>
          <w:rtl w:val="0"/>
          <w:lang w:val="en-US"/>
        </w:rPr>
        <w:t xml:space="preserve">urther considerations </w:t>
      </w:r>
      <w:r>
        <w:rPr>
          <w:rStyle w:val="None"/>
          <w:rFonts w:ascii="Arial" w:hAnsi="Arial"/>
          <w:sz w:val="22"/>
          <w:szCs w:val="22"/>
          <w:rtl w:val="0"/>
          <w:lang w:val="en-US"/>
        </w:rPr>
        <w:t>may be</w:t>
      </w:r>
      <w:r>
        <w:rPr>
          <w:rStyle w:val="None"/>
          <w:rFonts w:ascii="Arial" w:hAnsi="Arial"/>
          <w:sz w:val="22"/>
          <w:szCs w:val="22"/>
          <w:rtl w:val="0"/>
          <w:lang w:val="en-US"/>
        </w:rPr>
        <w:t xml:space="preserve"> needed </w:t>
      </w:r>
      <w:r>
        <w:rPr>
          <w:rStyle w:val="None"/>
          <w:rFonts w:ascii="Arial" w:hAnsi="Arial"/>
          <w:sz w:val="22"/>
          <w:szCs w:val="22"/>
          <w:rtl w:val="0"/>
          <w:lang w:val="en-US"/>
        </w:rPr>
        <w:t>to discover</w:t>
      </w:r>
      <w:r>
        <w:rPr>
          <w:rStyle w:val="None"/>
          <w:rFonts w:ascii="Arial" w:hAnsi="Arial"/>
          <w:sz w:val="22"/>
          <w:szCs w:val="22"/>
          <w:rtl w:val="0"/>
          <w:lang w:val="en-US"/>
        </w:rPr>
        <w:t xml:space="preserve"> targeted probiotics </w:t>
      </w:r>
      <w:r>
        <w:rPr>
          <w:rStyle w:val="None"/>
          <w:rFonts w:ascii="Arial" w:hAnsi="Arial"/>
          <w:sz w:val="22"/>
          <w:szCs w:val="22"/>
          <w:rtl w:val="0"/>
          <w:lang w:val="en-US"/>
        </w:rPr>
        <w:t>that</w:t>
      </w:r>
      <w:r>
        <w:rPr>
          <w:rStyle w:val="None"/>
          <w:rFonts w:ascii="Arial" w:hAnsi="Arial"/>
          <w:sz w:val="22"/>
          <w:szCs w:val="22"/>
          <w:rtl w:val="0"/>
          <w:lang w:val="en-US"/>
        </w:rPr>
        <w:t xml:space="preserve"> prevent </w:t>
      </w:r>
      <w:r>
        <w:rPr>
          <w:rStyle w:val="None"/>
          <w:rFonts w:ascii="Arial" w:hAnsi="Arial"/>
          <w:sz w:val="22"/>
          <w:szCs w:val="22"/>
          <w:rtl w:val="0"/>
          <w:lang w:val="en-US"/>
        </w:rPr>
        <w:t xml:space="preserve">colonization </w:t>
      </w:r>
      <w:r>
        <w:rPr>
          <w:rStyle w:val="None"/>
          <w:rFonts w:ascii="Arial" w:hAnsi="Arial"/>
          <w:sz w:val="22"/>
          <w:szCs w:val="22"/>
          <w:rtl w:val="0"/>
          <w:lang w:val="en-US"/>
        </w:rPr>
        <w:t>or eliminat</w:t>
      </w:r>
      <w:r>
        <w:rPr>
          <w:rStyle w:val="None"/>
          <w:rFonts w:ascii="Arial" w:hAnsi="Arial"/>
          <w:sz w:val="22"/>
          <w:szCs w:val="22"/>
          <w:rtl w:val="0"/>
          <w:lang w:val="en-US"/>
        </w:rPr>
        <w:t>e</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from the human gut. </w:t>
      </w:r>
      <w:r>
        <w:rPr>
          <w:rStyle w:val="None"/>
          <w:rFonts w:ascii="Arial" w:hAnsi="Arial"/>
          <w:sz w:val="22"/>
          <w:szCs w:val="22"/>
          <w:rtl w:val="0"/>
          <w:lang w:val="en-US"/>
        </w:rPr>
        <w:t>By understanding vacant nutrient</w:t>
      </w:r>
      <w:r>
        <w:rPr>
          <w:rStyle w:val="None"/>
          <w:rFonts w:ascii="Arial" w:hAnsi="Arial"/>
          <w:sz w:val="22"/>
          <w:szCs w:val="22"/>
          <w:rtl w:val="0"/>
          <w:lang w:val="en-US"/>
        </w:rPr>
        <w:t xml:space="preserve"> niche</w:t>
      </w:r>
      <w:r>
        <w:rPr>
          <w:rStyle w:val="None"/>
          <w:rFonts w:ascii="Arial" w:hAnsi="Arial"/>
          <w:sz w:val="22"/>
          <w:szCs w:val="22"/>
          <w:rtl w:val="0"/>
          <w:lang w:val="en-US"/>
        </w:rPr>
        <w:t xml:space="preserve">s in CDI susceptible individuals, preventative microbiome-focused therapies could be personalized on a patient-by-patient level.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 </w:t>
      </w:r>
      <w:r>
        <w:rPr>
          <w:rStyle w:val="None"/>
          <w:rFonts w:ascii="Arial" w:hAnsi="Arial"/>
          <w:sz w:val="22"/>
          <w:szCs w:val="22"/>
          <w:rtl w:val="0"/>
          <w:lang w:val="en-US"/>
        </w:rPr>
        <w:t xml:space="preserve">Conventionally-raised mice were fed LabDiet 5001, and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Measurement of residual antibiotics in cecal content.</w:t>
      </w:r>
      <w:r>
        <w:rPr>
          <w:rtl w:val="0"/>
          <w:lang w:val="en-US"/>
        </w:rPr>
        <w:t xml:space="preserve">  </w:t>
      </w:r>
    </w:p>
    <w:p>
      <w:pPr>
        <w:pStyle w:val="Default"/>
        <w:shd w:val="clear" w:color="auto" w:fill="ffffff"/>
        <w:spacing w:line="480" w:lineRule="auto"/>
        <w:jc w:val="both"/>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b w:val="1"/>
          <w:bCs w:val="1"/>
          <w:sz w:val="22"/>
          <w:szCs w:val="22"/>
          <w:rtl w:val="0"/>
          <w:lang w:val="en-US"/>
        </w:rPr>
        <w:t>.</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spun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hd w:val="clear" w:color="auto" w:fill="ffffff"/>
        <w:spacing w:line="480" w:lineRule="auto"/>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and library preparation. </w:t>
      </w:r>
      <w:r>
        <w:rPr>
          <w:rStyle w:val="None"/>
          <w:rFonts w:ascii="Arial" w:hAnsi="Arial"/>
          <w:sz w:val="22"/>
          <w:szCs w:val="22"/>
          <w:rtl w:val="0"/>
          <w:lang w:val="en-US"/>
        </w:rPr>
        <w:t>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15 minutes. </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hd w:val="clear" w:color="auto" w:fill="ffffff"/>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pPr>
        <w:pStyle w:val="Default"/>
        <w:shd w:val="clear" w:color="auto" w:fill="ffffff"/>
        <w:spacing w:line="480" w:lineRule="auto"/>
        <w:jc w:val="both"/>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cs="Arial" w:hAnsi="Arial" w:eastAsia="Arial"/>
          <w:sz w:val="22"/>
          <w:szCs w:val="22"/>
        </w:rPr>
        <w:tab/>
      </w: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hd w:val="clear" w:color="auto" w:fill="ffffff"/>
        <w:spacing w:line="480" w:lineRule="auto"/>
        <w:jc w:val="both"/>
      </w:pPr>
      <w:r>
        <w:rPr>
          <w:rStyle w:val="None"/>
          <w:rFonts w:ascii="Arial" w:cs="Arial" w:hAnsi="Arial" w:eastAsia="Arial"/>
          <w:sz w:val="22"/>
          <w:szCs w:val="22"/>
          <w:rtl w:val="0"/>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r>
        <w:rPr>
          <w:rStyle w:val="None"/>
          <w:rFonts w:ascii="Arial" w:hAnsi="Arial"/>
          <w:sz w:val="22"/>
          <w:szCs w:val="22"/>
          <w:rtl w:val="0"/>
          <w:lang w:val="en-US"/>
        </w:rPr>
        <w:t xml:space="preserve"> (Fig. 4A). </w:t>
      </w:r>
      <w:r>
        <w:rPr>
          <w:rStyle w:val="None"/>
          <w:rFonts w:ascii="Arial" w:hAnsi="Arial"/>
          <w:sz w:val="22"/>
          <w:szCs w:val="22"/>
          <w:rtl w:val="0"/>
          <w:lang w:val="en-US"/>
        </w:rPr>
        <w:t xml:space="preserve">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1 | Experimental timelines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Experimental timelines for the antibiotic treatments used to sensitize animals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and infection (n = 9 per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Toxin titer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assessed through differential plating (plated without germinant) and </w:t>
      </w:r>
      <w:r>
        <w:rPr>
          <w:rStyle w:val="None"/>
          <w:rFonts w:ascii="Arial" w:hAnsi="Arial"/>
          <w:b w:val="1"/>
          <w:bCs w:val="1"/>
          <w:sz w:val="22"/>
          <w:szCs w:val="22"/>
          <w:rtl w:val="0"/>
          <w:lang w:val="en-US"/>
        </w:rPr>
        <w:t xml:space="preser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measured with an alternative plating strategy (heating to 65</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w:rFonts w:ascii="Arial" w:hAnsi="Arial"/>
          <w:i w:val="1"/>
          <w:iCs w:val="1"/>
          <w:sz w:val="22"/>
          <w:szCs w:val="22"/>
          <w:rtl w:val="0"/>
          <w:lang w:val="en-US"/>
        </w:rPr>
        <w:t xml:space="preserve">C. difficile </w:t>
      </w:r>
      <w:r>
        <w:rPr>
          <w:rStyle w:val="None"/>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2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CdtR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3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w:rFonts w:ascii="Arial" w:hAnsi="Arial"/>
          <w:b w:val="1"/>
          <w:bCs w:val="1"/>
          <w:sz w:val="22"/>
          <w:szCs w:val="22"/>
          <w:rtl w:val="0"/>
          <w:lang w:val="en-US"/>
        </w:rPr>
        <w:t xml:space="preserve"> B) </w:t>
      </w:r>
      <w:r>
        <w:rPr>
          <w:rStyle w:val="None"/>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w:rFonts w:ascii="Arial" w:hAnsi="Arial"/>
          <w:b w:val="1"/>
          <w:bCs w:val="1"/>
          <w:sz w:val="22"/>
          <w:szCs w:val="22"/>
          <w:rtl w:val="0"/>
          <w:lang w:val="en-US"/>
        </w:rPr>
        <w:t xml:space="preserve">C)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5 |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concentrations from targeted LC-MS analysis of predicted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nutrient sources from metabolic models. A)</w:t>
      </w:r>
      <w:r>
        <w:rPr>
          <w:rStyle w:val="None"/>
          <w:rFonts w:ascii="Arial" w:hAnsi="Arial"/>
          <w:sz w:val="22"/>
          <w:szCs w:val="22"/>
          <w:rtl w:val="0"/>
          <w:lang w:val="en-US"/>
        </w:rPr>
        <w:t xml:space="preserve"> Heatmap, group by treatment group on x-axis and hierarchical clustering on y-axis. Comparing No Antibiotics to each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6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r>
      <w:r>
        <w:rPr>
          <w:rStyle w:val="None"/>
          <w:rFonts w:ascii="Arial" w:cs="Arial" w:hAnsi="Arial" w:eastAsia="Arial"/>
          <w:sz w:val="18"/>
          <w:szCs w:val="18"/>
          <w:lang w:val="en-US"/>
        </w:rPr>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r>
      <w:r>
        <w:rPr>
          <w:rStyle w:val="None"/>
          <w:rFonts w:ascii="Arial" w:cs="Arial" w:hAnsi="Arial" w:eastAsia="Arial"/>
          <w:sz w:val="18"/>
          <w:szCs w:val="18"/>
          <w:lang w:val="en-US"/>
        </w:rPr>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r>
      <w:r>
        <w:rPr>
          <w:rStyle w:val="None"/>
          <w:rFonts w:ascii="Arial" w:cs="Arial" w:hAnsi="Arial" w:eastAsia="Arial"/>
          <w:sz w:val="18"/>
          <w:szCs w:val="18"/>
          <w:lang w:val="en-US"/>
        </w:rPr>
        <w:tab/>
      </w:r>
      <w:r>
        <w:rPr>
          <w:rStyle w:val="None"/>
          <w:rFonts w:ascii="Arial" w:hAnsi="Arial"/>
          <w:sz w:val="18"/>
          <w:szCs w:val="18"/>
          <w:rtl w:val="0"/>
          <w:lang w:val="en-US"/>
        </w:rPr>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r>
      <w:r>
        <w:rPr>
          <w:rStyle w:val="None"/>
          <w:rFonts w:ascii="Arial" w:cs="Arial" w:hAnsi="Arial" w:eastAsia="Arial"/>
          <w:sz w:val="18"/>
          <w:szCs w:val="18"/>
        </w:rPr>
        <w:tab/>
      </w:r>
      <w:r>
        <w:rPr>
          <w:rStyle w:val="None"/>
          <w:rFonts w:ascii="Arial" w:hAnsi="Arial"/>
          <w:sz w:val="18"/>
          <w:szCs w:val="18"/>
          <w:rtl w:val="0"/>
          <w:lang w:val="en-US"/>
        </w:rPr>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r>
        <w:rPr>
          <w:rStyle w:val="None"/>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color="323232"/>
          <w:rtl w:val="0"/>
          <w:lang w:val="de-DE"/>
        </w:rPr>
        <w:t>PLoS ONE</w:t>
      </w:r>
      <w:r>
        <w:rPr>
          <w:rStyle w:val="None"/>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Matsumoto, M., Kibe, R., Ooga, T., Aiba, Y., Kurihara, S., Sawaki, E., </w:t>
      </w:r>
      <w:r>
        <w:rPr>
          <w:rStyle w:val="None"/>
          <w:rFonts w:ascii="Arial" w:hAnsi="Arial"/>
          <w:sz w:val="18"/>
          <w:szCs w:val="18"/>
          <w:rtl w:val="0"/>
          <w:lang w:val="en-US"/>
        </w:rPr>
        <w:t>&amp;</w:t>
      </w:r>
      <w:r>
        <w:rPr>
          <w:rStyle w:val="None"/>
          <w:rFonts w:ascii="Arial" w:hAnsi="Arial"/>
          <w:sz w:val="18"/>
          <w:szCs w:val="18"/>
          <w:rtl w:val="0"/>
          <w:lang w:val="en-US"/>
        </w:rPr>
        <w:t xml:space="preserve">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Trindade, B.C.</w:t>
      </w:r>
      <w:r>
        <w:rPr>
          <w:rStyle w:val="None"/>
          <w:rFonts w:ascii="Arial" w:hAnsi="Arial"/>
          <w:sz w:val="18"/>
          <w:szCs w:val="18"/>
          <w:rtl w:val="0"/>
          <w:lang w:val="en-US"/>
        </w:rPr>
        <w:t>,</w:t>
      </w:r>
      <w:r>
        <w:rPr>
          <w:rStyle w:val="None"/>
          <w:rFonts w:ascii="Arial" w:hAnsi="Arial"/>
          <w:sz w:val="18"/>
          <w:szCs w:val="18"/>
          <w:rtl w:val="0"/>
          <w:lang w:val="en-US"/>
        </w:rPr>
        <w:t xml:space="preserve"> Kirk, L.</w:t>
      </w:r>
      <w:r>
        <w:rPr>
          <w:rStyle w:val="None"/>
          <w:rFonts w:ascii="Arial" w:hAnsi="Arial"/>
          <w:sz w:val="18"/>
          <w:szCs w:val="18"/>
          <w:rtl w:val="0"/>
          <w:lang w:val="en-US"/>
        </w:rPr>
        <w:t>,</w:t>
      </w:r>
      <w:r>
        <w:rPr>
          <w:rStyle w:val="None"/>
          <w:rFonts w:ascii="Arial" w:hAnsi="Arial"/>
          <w:sz w:val="18"/>
          <w:szCs w:val="18"/>
          <w:rtl w:val="0"/>
          <w:lang w:val="en-US"/>
        </w:rPr>
        <w:t xml:space="preserve"> Rogers, L.M.</w:t>
      </w:r>
      <w:r>
        <w:rPr>
          <w:rStyle w:val="None"/>
          <w:rFonts w:ascii="Arial" w:hAnsi="Arial"/>
          <w:sz w:val="18"/>
          <w:szCs w:val="18"/>
          <w:rtl w:val="0"/>
          <w:lang w:val="en-US"/>
        </w:rPr>
        <w:t>,</w:t>
      </w:r>
      <w:r>
        <w:rPr>
          <w:rStyle w:val="None"/>
          <w:rFonts w:ascii="Arial" w:hAnsi="Arial"/>
          <w:sz w:val="18"/>
          <w:szCs w:val="18"/>
          <w:rtl w:val="0"/>
          <w:lang w:val="en-US"/>
        </w:rPr>
        <w:t xml:space="preserve"> Zackular, J.P.</w:t>
      </w:r>
      <w:r>
        <w:rPr>
          <w:rStyle w:val="None"/>
          <w:rFonts w:ascii="Arial" w:hAnsi="Arial"/>
          <w:sz w:val="18"/>
          <w:szCs w:val="18"/>
          <w:rtl w:val="0"/>
          <w:lang w:val="en-US"/>
        </w:rPr>
        <w:t>,</w:t>
      </w:r>
      <w:r>
        <w:rPr>
          <w:rStyle w:val="None"/>
          <w:rFonts w:ascii="Arial" w:hAnsi="Arial"/>
          <w:sz w:val="18"/>
          <w:szCs w:val="18"/>
          <w:rtl w:val="0"/>
          <w:lang w:val="en-US"/>
        </w:rPr>
        <w:t xml:space="preserve"> Skaar, E.P.</w:t>
      </w:r>
      <w:r>
        <w:rPr>
          <w:rStyle w:val="None"/>
          <w:rFonts w:ascii="Arial" w:hAnsi="Arial"/>
          <w:sz w:val="18"/>
          <w:szCs w:val="18"/>
          <w:rtl w:val="0"/>
          <w:lang w:val="en-US"/>
        </w:rPr>
        <w:t>,</w:t>
      </w:r>
      <w:r>
        <w:rPr>
          <w:rStyle w:val="None"/>
          <w:rFonts w:ascii="Arial" w:hAnsi="Arial"/>
          <w:sz w:val="18"/>
          <w:szCs w:val="18"/>
          <w:rtl w:val="0"/>
          <w:lang w:val="en-US"/>
        </w:rPr>
        <w:t xml:space="preserve"> Schloss, P.D.</w:t>
      </w:r>
      <w:r>
        <w:rPr>
          <w:rStyle w:val="None"/>
          <w:rFonts w:ascii="Arial" w:hAnsi="Arial"/>
          <w:sz w:val="18"/>
          <w:szCs w:val="18"/>
          <w:rtl w:val="0"/>
          <w:lang w:val="en-US"/>
        </w:rPr>
        <w:t>,</w:t>
      </w:r>
      <w:r>
        <w:rPr>
          <w:rStyle w:val="None"/>
          <w:rFonts w:ascii="Arial" w:hAnsi="Arial"/>
          <w:sz w:val="18"/>
          <w:szCs w:val="18"/>
          <w:rtl w:val="0"/>
          <w:lang w:val="en-US"/>
        </w:rPr>
        <w:t xml:space="preserve"> Lyras, D.</w:t>
      </w:r>
      <w:r>
        <w:rPr>
          <w:rStyle w:val="None"/>
          <w:rFonts w:ascii="Arial" w:hAnsi="Arial"/>
          <w:sz w:val="18"/>
          <w:szCs w:val="18"/>
          <w:rtl w:val="0"/>
          <w:lang w:val="en-US"/>
        </w:rPr>
        <w:t>,</w:t>
      </w:r>
      <w:r>
        <w:rPr>
          <w:rStyle w:val="None"/>
          <w:rFonts w:ascii="Arial" w:hAnsi="Arial"/>
          <w:sz w:val="18"/>
          <w:szCs w:val="18"/>
          <w:rtl w:val="0"/>
          <w:lang w:val="en-US"/>
        </w:rPr>
        <w:t xml:space="preserve"> Maseda, D.</w:t>
      </w:r>
      <w:r>
        <w:rPr>
          <w:rStyle w:val="None"/>
          <w:rFonts w:ascii="Arial" w:hAnsi="Arial"/>
          <w:sz w:val="18"/>
          <w:szCs w:val="18"/>
          <w:rtl w:val="0"/>
          <w:lang w:val="en-US"/>
        </w:rPr>
        <w:t>,</w:t>
      </w:r>
      <w:r>
        <w:rPr>
          <w:rStyle w:val="None"/>
          <w:rFonts w:ascii="Arial" w:hAnsi="Arial"/>
          <w:sz w:val="18"/>
          <w:szCs w:val="18"/>
          <w:rtl w:val="0"/>
          <w:lang w:val="en-US"/>
        </w:rPr>
        <w:t xml:space="preserve"> Crofford, L.J.</w:t>
      </w:r>
      <w:r>
        <w:rPr>
          <w:rStyle w:val="None"/>
          <w:rFonts w:ascii="Arial" w:hAnsi="Arial"/>
          <w:sz w:val="18"/>
          <w:szCs w:val="18"/>
          <w:rtl w:val="0"/>
          <w:lang w:val="en-US"/>
        </w:rPr>
        <w:t>, &amp;</w:t>
      </w:r>
      <w:r>
        <w:rPr>
          <w:rStyle w:val="None"/>
          <w:rFonts w:ascii="Arial" w:hAnsi="Arial"/>
          <w:sz w:val="18"/>
          <w:szCs w:val="18"/>
          <w:rtl w:val="0"/>
          <w:lang w:val="en-US"/>
        </w:rPr>
        <w:t xml:space="preserve"> Aronoff, D.M.</w:t>
      </w:r>
      <w:r>
        <w:rPr>
          <w:rStyle w:val="None"/>
          <w:rFonts w:ascii="Arial" w:hAnsi="Arial"/>
          <w:sz w:val="18"/>
          <w:szCs w:val="18"/>
          <w:rtl w:val="0"/>
          <w:lang w:val="en-US"/>
        </w:rPr>
        <w:t xml:space="preserve"> (2016). </w:t>
      </w:r>
      <w:r>
        <w:rPr>
          <w:rStyle w:val="None"/>
          <w:rFonts w:ascii="Arial" w:hAnsi="Arial"/>
          <w:caps w:val="0"/>
          <w:smallCaps w:val="0"/>
          <w:sz w:val="18"/>
          <w:szCs w:val="18"/>
          <w:rtl w:val="0"/>
          <w:lang w:val="en-US"/>
        </w:rPr>
        <w:t>NONSTEROIDAL ANTI-INFLAMMATORY DRUGS ALTER THE GUT MICROBIOME AND INCREASE THE SEVERITY OF clostridium diFFicile INFECTION IN MICE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00080"/>
      <w:sz w:val="22"/>
      <w:szCs w:val="22"/>
      <w:u w:val="single" w:color="000080"/>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w:next w:val="Hyperlink.2"/>
    <w:rPr>
      <w:rFonts w:ascii="Arial" w:cs="Arial" w:hAnsi="Arial" w:eastAsia="Arial"/>
      <w:color w:val="0000ff"/>
      <w:sz w:val="18"/>
      <w:szCs w:val="18"/>
      <w:u w:val="single" w:color="0000ff"/>
      <w:lang w:val="en-US"/>
    </w:rPr>
  </w:style>
  <w:style w:type="character" w:styleId="Hyperlink.3">
    <w:name w:val="Hyperlink.3"/>
    <w:basedOn w:val="None"/>
    <w:next w:val="Hyperlink.3"/>
    <w:rPr>
      <w:rFonts w:ascii="Arial" w:cs="Arial" w:hAnsi="Arial" w:eastAsia="Arial"/>
      <w:color w:val="0000ff"/>
      <w:sz w:val="18"/>
      <w:szCs w:val="18"/>
      <w:u w:val="single" w:color="0000ff"/>
    </w:rPr>
  </w:style>
  <w:style w:type="character" w:styleId="Hyperlink.4">
    <w:name w:val="Hyperlink.4"/>
    <w:basedOn w:val="None"/>
    <w:next w:val="Hyperlink.4"/>
    <w:rPr>
      <w:rFonts w:ascii="Arial" w:cs="Arial" w:hAnsi="Arial" w:eastAsia="Arial"/>
      <w:color w:val="000080"/>
      <w:sz w:val="18"/>
      <w:szCs w:val="18"/>
      <w:u w:val="single" w:color="000080"/>
    </w:rPr>
  </w:style>
  <w:style w:type="character" w:styleId="Hyperlink.5">
    <w:name w:val="Hyperlink.5"/>
    <w:basedOn w:val="None"/>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