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i/>
          <w:i/>
          <w:iCs/>
          <w:color w:val="2C2D30"/>
          <w:sz w:val="22"/>
          <w:szCs w:val="22"/>
          <w:u w:val="none" w:color="2C2D30"/>
        </w:rPr>
      </w:pPr>
      <w:r>
        <w:rPr>
          <w:rStyle w:val="NoneA"/>
          <w:rFonts w:ascii="Arial" w:hAnsi="Arial"/>
          <w:b/>
          <w:bCs/>
          <w:sz w:val="22"/>
          <w:szCs w:val="22"/>
          <w:lang w:val="en-US"/>
        </w:rPr>
        <w:t>Title</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Authors</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Affiliations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Abstract</w:t>
      </w:r>
    </w:p>
    <w:p>
      <w:pPr>
        <w:pStyle w:val="Default"/>
        <w:shd w:val="clear" w:color="auto"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Introduction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color="auto"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Genome-scale </w:t>
      </w:r>
      <w:r>
        <w:rPr>
          <w:rStyle w:val="NoneA"/>
          <w:rFonts w:ascii="Arial" w:hAnsi="Arial"/>
          <w:b/>
          <w:bCs/>
          <w:sz w:val="22"/>
          <w:szCs w:val="22"/>
          <w:lang w:val="en-US"/>
        </w:rPr>
        <w:t xml:space="preserve">Bipartite metabolic models underscore known </w:t>
      </w:r>
      <w:r>
        <w:rPr>
          <w:rStyle w:val="NoneA"/>
          <w:rFonts w:ascii="Arial" w:hAnsi="Arial"/>
          <w:b/>
          <w:bCs/>
          <w:i w:val="false"/>
          <w:iCs w:val="false"/>
          <w:sz w:val="22"/>
          <w:szCs w:val="22"/>
          <w:lang w:val="en-US"/>
        </w:rPr>
        <w:t xml:space="preserve">bacterial </w:t>
      </w:r>
      <w:r>
        <w:rPr>
          <w:rStyle w:val="NoneA"/>
          <w:rFonts w:ascii="Arial" w:hAnsi="Arial"/>
          <w:b/>
          <w:bCs/>
          <w:sz w:val="22"/>
          <w:szCs w:val="22"/>
          <w:lang w:val="en-US"/>
        </w:rPr>
        <w:t>metabolism.</w:t>
      </w:r>
    </w:p>
    <w:p>
      <w:pPr>
        <w:pStyle w:val="Default"/>
        <w:shd w:val="clear" w:color="auto" w:fill="FFFFFF"/>
        <w:spacing w:lineRule="auto" w:line="480"/>
        <w:ind w:left="0" w:right="0" w:firstLine="709"/>
        <w:jc w:val="both"/>
        <w:rPr/>
      </w:pPr>
      <w:r>
        <w:rPr>
          <w:rStyle w:val="NoneA"/>
          <w:rFonts w:ascii="Arial" w:hAnsi="Arial"/>
          <w:sz w:val="22"/>
          <w:szCs w:val="22"/>
          <w:lang w:val="en-US"/>
        </w:rPr>
        <w:t>To further investigate which metabolites are differentially utilized between conditions, w</w:t>
      </w:r>
      <w:r>
        <w:rPr>
          <w:rStyle w:val="NoneA"/>
          <w:rFonts w:ascii="Arial" w:hAnsi="Arial"/>
          <w:sz w:val="22"/>
          <w:szCs w:val="22"/>
          <w:lang w:val="en-US"/>
        </w:rPr>
        <w:t xml:space="preserve">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rStyle w:val="NoneA"/>
          <w:rFonts w:ascii="Arial" w:hAnsi="Arial"/>
          <w:sz w:val="22"/>
          <w:szCs w:val="22"/>
          <w:lang w:val="en-US"/>
        </w:rPr>
      </w:pPr>
      <w:r>
        <w:rPr/>
      </w:r>
    </w:p>
    <w:p>
      <w:pPr>
        <w:pStyle w:val="Default"/>
        <w:shd w:val="clear" w:color="auto" w:fill="FFFFFF"/>
        <w:spacing w:lineRule="auto" w:line="480"/>
        <w:ind w:left="0" w:right="0" w:hanging="0"/>
        <w:jc w:val="both"/>
        <w:rPr>
          <w:rStyle w:val="NoneA"/>
          <w:rFonts w:ascii="Arial" w:hAnsi="Arial"/>
          <w:sz w:val="22"/>
          <w:szCs w:val="22"/>
          <w:lang w:val="en-US"/>
        </w:rPr>
      </w:pPr>
      <w:r>
        <w:rPr/>
      </w:r>
    </w:p>
    <w:p>
      <w:pPr>
        <w:pStyle w:val="Default"/>
        <w:shd w:val="clear" w:color="auto" w:fill="FFFFFF"/>
        <w:spacing w:lineRule="auto" w:line="480"/>
        <w:ind w:left="0" w:right="0" w:hanging="0"/>
        <w:jc w:val="both"/>
        <w:rPr/>
      </w:pPr>
      <w:r>
        <w:rPr>
          <w:rStyle w:val="NoneA"/>
          <w:rFonts w:ascii="Arial" w:hAnsi="Arial"/>
          <w:b/>
          <w:bCs/>
          <w:i/>
          <w:iCs/>
          <w:sz w:val="22"/>
          <w:szCs w:val="22"/>
          <w:shd w:fill="FFFFFF" w:val="clear"/>
          <w:lang w:val="en-US"/>
        </w:rPr>
        <w:t>In vitro</w:t>
      </w:r>
      <w:r>
        <w:rPr>
          <w:rStyle w:val="NoneA"/>
          <w:rFonts w:ascii="Arial" w:hAnsi="Arial"/>
          <w:b/>
          <w:bCs/>
          <w:sz w:val="22"/>
          <w:szCs w:val="22"/>
          <w:shd w:fill="FFFFFF" w:val="clear"/>
          <w:lang w:val="en-US"/>
        </w:rPr>
        <w:t xml:space="preserve"> C. difficile transcriptome from defined media validate metabolite importance scores.</w:t>
      </w:r>
    </w:p>
    <w:p>
      <w:pPr>
        <w:pStyle w:val="Default"/>
        <w:shd w:val="clear" w:color="auto"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t>
      </w:r>
    </w:p>
    <w:p>
      <w:pPr>
        <w:pStyle w:val="Default"/>
        <w:shd w:val="clear" w:color="auto" w:fill="FFFFFF"/>
        <w:spacing w:lineRule="auto" w:line="480"/>
        <w:ind w:left="0" w:right="0" w:firstLine="709"/>
        <w:jc w:val="both"/>
        <w:rPr/>
      </w:pPr>
      <w:r>
        <w:rPr>
          <w:rStyle w:val="NoneA"/>
          <w:rFonts w:ascii="Arial" w:hAnsi="Arial"/>
          <w:sz w:val="22"/>
          <w:szCs w:val="22"/>
          <w:shd w:fill="FFFFFF" w:val="clear"/>
          <w:lang w:val="en-US"/>
        </w:rPr>
        <w:t>In order to validate this approach we tested it on in vitro data...</w:t>
      </w:r>
    </w:p>
    <w:p>
      <w:pPr>
        <w:pStyle w:val="Default"/>
        <w:shd w:val="clear" w:color="auto" w:fill="FFFFFF"/>
        <w:spacing w:lineRule="auto" w:line="480"/>
        <w:ind w:left="0" w:right="0" w:hanging="0"/>
        <w:jc w:val="both"/>
        <w:rPr/>
      </w:pPr>
      <w:r>
        <w:rPr>
          <w:rStyle w:val="NoneA"/>
          <w:rFonts w:ascii="Arial" w:hAnsi="Arial"/>
          <w:b/>
          <w:bCs/>
          <w:sz w:val="22"/>
          <w:szCs w:val="22"/>
          <w:shd w:fill="FFFFFF" w:val="clear"/>
          <w:lang w:val="en-US"/>
        </w:rPr>
        <w:t>Metabolite importance algorithm reveal</w:t>
      </w:r>
      <w:r>
        <w:rPr>
          <w:rStyle w:val="NoneA"/>
          <w:rFonts w:ascii="Arial" w:hAnsi="Arial"/>
          <w:b/>
          <w:bCs/>
          <w:sz w:val="22"/>
          <w:szCs w:val="22"/>
          <w:shd w:fill="FFFFFF" w:val="clear"/>
          <w:lang w:val="en-US"/>
        </w:rPr>
        <w:t>s</w:t>
      </w:r>
      <w:r>
        <w:rPr>
          <w:rStyle w:val="NoneA"/>
          <w:rFonts w:ascii="Arial" w:hAnsi="Arial"/>
          <w:b/>
          <w:bCs/>
          <w:sz w:val="22"/>
          <w:szCs w:val="22"/>
          <w:shd w:fill="FFFFFF" w:val="clear"/>
          <w:lang w:val="en-US"/>
        </w:rPr>
        <w:t xml:space="preserve">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 xml:space="preserve">during infection </w:t>
      </w:r>
      <w:r>
        <w:rPr>
          <w:rStyle w:val="NoneA"/>
          <w:rFonts w:ascii="Arial" w:hAnsi="Arial"/>
          <w:b/>
          <w:bCs/>
          <w:sz w:val="22"/>
          <w:szCs w:val="22"/>
          <w:shd w:fill="FFFFFF" w:val="clear"/>
          <w:lang w:val="en-US"/>
        </w:rPr>
        <w:t>across distinct environments</w:t>
      </w:r>
    </w:p>
    <w:p>
      <w:pPr>
        <w:pStyle w:val="Default"/>
        <w:shd w:val="clear" w:color="auto" w:fill="FFFFFF"/>
        <w:spacing w:lineRule="auto" w:line="480"/>
        <w:ind w:left="0" w:right="0" w:firstLine="709"/>
        <w:jc w:val="both"/>
        <w:rPr/>
      </w:pPr>
      <w:r>
        <w:rPr>
          <w:rStyle w:val="NoneA"/>
          <w:rFonts w:ascii="Arial" w:hAnsi="Arial"/>
          <w:sz w:val="22"/>
          <w:szCs w:val="22"/>
          <w:shd w:fill="FFFFFF" w:val="clear"/>
          <w:lang w:val="en-US"/>
        </w:rPr>
        <w:t xml:space="preserve">Then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t>
      </w:r>
      <w:r>
        <w:rPr>
          <w:rStyle w:val="NoneA"/>
          <w:rFonts w:ascii="Arial" w:hAnsi="Arial"/>
          <w:sz w:val="22"/>
          <w:szCs w:val="22"/>
          <w:shd w:fill="FFFFFF" w:val="clear"/>
          <w:lang w:val="en-US"/>
        </w:rPr>
        <w:t xml:space="preserve">We first ranked the importance scores to identify the most important metabolites for each treatment group (Table S5),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color="auto"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i w:val="false"/>
          <w:iCs w:val="false"/>
          <w:sz w:val="22"/>
          <w:szCs w:val="22"/>
          <w:lang w:val="en-US"/>
        </w:rPr>
        <w:t xml:space="preserve">differential </w:t>
      </w:r>
      <w:r>
        <w:rPr>
          <w:rStyle w:val="NoneA"/>
          <w:rFonts w:ascii="Arial" w:hAnsi="Arial"/>
          <w:b/>
          <w:bCs/>
          <w:sz w:val="22"/>
          <w:szCs w:val="22"/>
          <w:lang w:val="en-US"/>
        </w:rPr>
        <w:t xml:space="preserve">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At least one carbohydrate highlighted as distinctly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no carbohydrate control (</w:t>
      </w:r>
      <w:r>
        <w:rPr>
          <w:rStyle w:val="NoneA"/>
          <w:rFonts w:ascii="Arial" w:hAnsi="Arial"/>
          <w:i/>
          <w:iCs/>
          <w:sz w:val="22"/>
          <w:szCs w:val="22"/>
          <w:lang w:val="en-US"/>
        </w:rPr>
        <w:t>P</w:t>
      </w:r>
      <w:r>
        <w:rPr>
          <w:rStyle w:val="NoneA"/>
          <w:rFonts w:ascii="Arial" w:hAnsi="Arial"/>
          <w:sz w:val="22"/>
          <w:szCs w:val="22"/>
          <w:lang w:val="en-US"/>
        </w:rPr>
        <w:t xml:space="preserve"> &lt;&lt; 0.001) (Fig. 6a). This included D-fructose (streptomycin;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OD</w:t>
      </w:r>
      <w:r>
        <w:rPr>
          <w:rStyle w:val="NoneA"/>
          <w:rFonts w:ascii="Arial" w:hAnsi="Arial"/>
          <w:sz w:val="22"/>
          <w:szCs w:val="22"/>
          <w:vertAlign w:val="subscript"/>
          <w:lang w:val="en-US"/>
        </w:rPr>
        <w:t xml:space="preserve">600 </w:t>
      </w:r>
      <w:r>
        <w:rPr>
          <w:rStyle w:val="NoneA"/>
          <w:rFonts w:ascii="Arial" w:hAnsi="Arial"/>
          <w:sz w:val="22"/>
          <w:szCs w:val="22"/>
          <w:lang w:val="en-US"/>
        </w:rPr>
        <w:t>= 0.888), N-acetylneuramininic acid (GF; OD</w:t>
      </w:r>
      <w:r>
        <w:rPr>
          <w:rStyle w:val="NoneA"/>
          <w:rFonts w:ascii="Arial" w:hAnsi="Arial"/>
          <w:sz w:val="22"/>
          <w:szCs w:val="22"/>
          <w:vertAlign w:val="subscript"/>
          <w:lang w:val="en-US"/>
        </w:rPr>
        <w:t xml:space="preserve">600 </w:t>
      </w:r>
      <w:r>
        <w:rPr>
          <w:rStyle w:val="NoneA"/>
          <w:rFonts w:ascii="Arial" w:hAnsi="Arial"/>
          <w:sz w:val="22"/>
          <w:szCs w:val="22"/>
          <w:lang w:val="en-US"/>
        </w:rPr>
        <w:t>= 0.556). Interestingly, the growth curve for D-sorbitol showed no difference over the negative controls. Furthermore, when assessing the consistently high scoring metabolites shown in Fig. 5c N-acetylglucosamine (OD</w:t>
      </w:r>
      <w:r>
        <w:rPr>
          <w:rStyle w:val="NoneA"/>
          <w:rFonts w:ascii="Arial" w:hAnsi="Arial"/>
          <w:sz w:val="22"/>
          <w:szCs w:val="22"/>
          <w:vertAlign w:val="subscript"/>
          <w:lang w:val="en-US"/>
        </w:rPr>
        <w:t xml:space="preserve">600 </w:t>
      </w:r>
      <w:r>
        <w:rPr>
          <w:rStyle w:val="NoneA"/>
          <w:rFonts w:ascii="Arial" w:hAnsi="Arial"/>
          <w:sz w:val="22"/>
          <w:szCs w:val="22"/>
          <w:lang w:val="en-US"/>
        </w:rPr>
        <w:t>= 0.671) (</w:t>
      </w:r>
      <w:r>
        <w:rPr>
          <w:rStyle w:val="NoneA"/>
          <w:rFonts w:ascii="Arial" w:hAnsi="Arial"/>
          <w:i/>
          <w:iCs/>
          <w:sz w:val="22"/>
          <w:szCs w:val="22"/>
          <w:lang w:val="en-US"/>
        </w:rPr>
        <w:t>P</w:t>
      </w:r>
      <w:r>
        <w:rPr>
          <w:rStyle w:val="NoneA"/>
          <w:rFonts w:ascii="Arial" w:hAnsi="Arial"/>
          <w:sz w:val="22"/>
          <w:szCs w:val="22"/>
          <w:lang w:val="en-US"/>
        </w:rPr>
        <w:t xml:space="preserve"> &lt;&lt; 0.001) (Fig. 6a). These results </w:t>
      </w:r>
      <w:r>
        <w:rPr>
          <w:rStyle w:val="NoneA"/>
          <w:rFonts w:ascii="Arial" w:hAnsi="Arial"/>
          <w:sz w:val="22"/>
          <w:szCs w:val="22"/>
          <w:lang w:val="en-US"/>
        </w:rPr>
        <w:t>provide validation for metabolite</w:t>
      </w:r>
      <w:r>
        <w:rPr>
          <w:rStyle w:val="NoneA"/>
          <w:rFonts w:ascii="Arial" w:hAnsi="Arial"/>
          <w:sz w:val="22"/>
          <w:szCs w:val="22"/>
          <w:lang w:val="en-US"/>
        </w:rPr>
        <w:t xml:space="preserve"> importance scores and further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A"/>
          <w:rFonts w:ascii="Arial" w:hAnsi="Arial"/>
          <w:b/>
          <w:bCs/>
          <w:sz w:val="22"/>
          <w:szCs w:val="22"/>
          <w:lang w:val="en-US"/>
        </w:rPr>
        <w:t>Discussion</w:t>
      </w:r>
    </w:p>
    <w:p>
      <w:pPr>
        <w:pStyle w:val="Default"/>
        <w:shd w:val="clear" w:color="auto" w:fill="FFFFFF"/>
        <w:spacing w:lineRule="auto" w:line="480"/>
        <w:jc w:val="both"/>
        <w:rPr/>
      </w:pPr>
      <w:r>
        <w:rPr>
          <w:rStyle w:val="NoneA"/>
          <w:rFonts w:eastAsia="Arial" w:cs="Arial" w:ascii="Arial" w:hAnsi="Arial"/>
          <w:sz w:val="22"/>
          <w:szCs w:val="22"/>
        </w:rPr>
        <w:tab/>
        <w:t xml:space="preserve">Collectively, our results support our hypothesis that </w:t>
      </w:r>
      <w:r>
        <w:rPr>
          <w:rStyle w:val="NoneA"/>
          <w:rFonts w:ascii="Arial" w:hAnsi="Arial"/>
          <w:i/>
          <w:iCs/>
          <w:sz w:val="22"/>
          <w:szCs w:val="22"/>
          <w:lang w:val="en-US"/>
        </w:rPr>
        <w:t>C. difficile</w:t>
      </w:r>
      <w:r>
        <w:rPr>
          <w:rStyle w:val="NoneA"/>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Style w:val="NoneA"/>
          <w:rFonts w:ascii="Arial" w:hAnsi="Arial"/>
          <w:sz w:val="22"/>
          <w:szCs w:val="22"/>
          <w:lang w:val="en-US"/>
        </w:rPr>
        <w:t xml:space="preserve">Sporulation and toxin production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Style w:val="NoneA"/>
          <w:rFonts w:ascii="Arial" w:hAnsi="Arial"/>
          <w:i/>
          <w:iCs/>
          <w:sz w:val="22"/>
          <w:szCs w:val="22"/>
          <w:lang w:val="en-US"/>
        </w:rPr>
        <w:t>C. difficile</w:t>
      </w:r>
      <w:r>
        <w:rPr>
          <w:rStyle w:val="NoneA"/>
          <w:rFonts w:ascii="Arial" w:hAnsi="Arial"/>
          <w:sz w:val="22"/>
          <w:szCs w:val="22"/>
          <w:lang w:val="en-US"/>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lang w:val="en-US"/>
        </w:rPr>
        <w:t>C. difficile</w:t>
      </w:r>
      <w:r>
        <w:rPr>
          <w:rStyle w:val="NoneA"/>
          <w:rFonts w:ascii="Arial" w:hAnsi="Arial"/>
          <w:sz w:val="22"/>
          <w:szCs w:val="22"/>
          <w:lang w:val="en-US"/>
        </w:rPr>
        <w:t xml:space="preserve"> possesses for nutrient utilization.</w:t>
      </w:r>
    </w:p>
    <w:p>
      <w:pPr>
        <w:pStyle w:val="Default"/>
        <w:shd w:val="clear" w:color="auto" w:fill="FFFFFF"/>
        <w:spacing w:lineRule="auto" w:line="480"/>
        <w:jc w:val="both"/>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lang w:val="en-US"/>
        </w:rPr>
        <w:t>C. difficile</w:t>
      </w:r>
      <w:r>
        <w:rPr>
          <w:rStyle w:val="NoneA"/>
          <w:rFonts w:ascii="Arial" w:hAnsi="Arial"/>
          <w:sz w:val="22"/>
          <w:szCs w:val="22"/>
          <w:lang w:val="en-US"/>
        </w:rPr>
        <w:t xml:space="preserve"> displayed increased relative abundance in gene expression associated with catabolizing monosaccharides and simple sugar alcohols. </w:t>
      </w:r>
      <w:r>
        <w:rPr>
          <w:rStyle w:val="NoneA"/>
          <w:rFonts w:ascii="Arial" w:hAnsi="Arial"/>
          <w:i/>
          <w:iCs/>
          <w:sz w:val="22"/>
          <w:szCs w:val="22"/>
          <w:lang w:val="en-US"/>
        </w:rPr>
        <w:t>C. difficile</w:t>
      </w:r>
      <w:r>
        <w:rPr>
          <w:rStyle w:val="NoneA"/>
          <w:rFonts w:ascii="Arial" w:hAnsi="Arial"/>
          <w:sz w:val="22"/>
          <w:szCs w:val="22"/>
          <w:lang w:val="en-US"/>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lang w:val="en-US"/>
        </w:rPr>
        <w:t>C. difficile</w:t>
      </w:r>
      <w:r>
        <w:rPr>
          <w:rStyle w:val="NoneA"/>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A"/>
          <w:rFonts w:ascii="Arial" w:hAnsi="Arial"/>
          <w:i/>
          <w:iCs/>
          <w:sz w:val="22"/>
          <w:szCs w:val="22"/>
          <w:lang w:val="en-US"/>
        </w:rPr>
        <w:t>C. difficile</w:t>
      </w:r>
      <w:r>
        <w:rPr>
          <w:rStyle w:val="NoneA"/>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Additionally the appearance of certain terminal metabolites may indicate</w:t>
      </w:r>
      <w:r>
        <w:rPr>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sz w:val="22"/>
          <w:szCs w:val="22"/>
          <w:lang w:val="en-US"/>
        </w:rPr>
        <w:t xml:space="preserve">This relationship has long been known to exist at least </w:t>
      </w:r>
      <w:r>
        <w:rPr>
          <w:rStyle w:val="NoneA"/>
          <w:rFonts w:ascii="Arial" w:hAnsi="Arial"/>
          <w:i/>
          <w:iCs/>
          <w:sz w:val="22"/>
          <w:szCs w:val="22"/>
          <w:lang w:val="en-US"/>
        </w:rPr>
        <w:t>in vitro</w:t>
      </w:r>
      <w:r>
        <w:rPr>
          <w:rStyle w:val="NoneA"/>
          <w:rFonts w:ascii="Arial" w:hAnsi="Arial"/>
          <w:sz w:val="22"/>
          <w:szCs w:val="22"/>
          <w:lang w:val="en-US"/>
        </w:rPr>
        <w:t xml:space="preserve"> with another strain of </w:t>
      </w:r>
      <w:r>
        <w:rPr>
          <w:rStyle w:val="NoneA"/>
          <w:rFonts w:ascii="Arial" w:hAnsi="Arial"/>
          <w:i/>
          <w:iCs/>
          <w:sz w:val="22"/>
          <w:szCs w:val="22"/>
          <w:lang w:val="en-US"/>
        </w:rPr>
        <w:t>C. difficile</w:t>
      </w:r>
      <w:r>
        <w:rPr>
          <w:rStyle w:val="NoneA"/>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i/>
          <w:i/>
          <w:iCs/>
          <w:sz w:val="22"/>
          <w:szCs w:val="22"/>
        </w:rPr>
      </w:pPr>
      <w:r>
        <w:rPr>
          <w:rFonts w:eastAsia="Arial" w:cs="Arial" w:ascii="Arial" w:hAnsi="Arial"/>
          <w:i/>
          <w:i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Metabolic modeling results from both cefoperazone and streptomycin-treated mice indicated carbohydrates, known to be </w:t>
      </w:r>
      <w:r>
        <w:rPr>
          <w:rStyle w:val="NoneA"/>
          <w:rFonts w:ascii="Arial" w:hAnsi="Arial"/>
          <w:i/>
          <w:iCs/>
          <w:sz w:val="22"/>
          <w:szCs w:val="22"/>
          <w:lang w:val="en-US"/>
        </w:rPr>
        <w:t>C. difficile</w:t>
      </w:r>
      <w:r>
        <w:rPr>
          <w:rStyle w:val="NoneA"/>
          <w:rFonts w:ascii="Arial" w:hAnsi="Arial"/>
          <w:sz w:val="22"/>
          <w:szCs w:val="22"/>
          <w:lang w:val="en-US"/>
        </w:rPr>
        <w:t xml:space="preserve"> growth nutrients,</w:t>
      </w:r>
      <w:r>
        <w:rPr>
          <w:lang w:val="en-US"/>
        </w:rPr>
        <w:t xml:space="preserve"> </w:t>
      </w:r>
      <w:r>
        <w:rPr>
          <w:rStyle w:val="NoneA"/>
          <w:rFonts w:ascii="Arial" w:hAnsi="Arial"/>
          <w:sz w:val="22"/>
          <w:szCs w:val="22"/>
          <w:lang w:val="en-US"/>
        </w:rPr>
        <w:t xml:space="preserve">are preferred in these conditions and are also enriched </w:t>
      </w:r>
      <w:r>
        <w:rPr>
          <w:rStyle w:val="NoneA"/>
          <w:rFonts w:ascii="Arial" w:hAnsi="Arial"/>
          <w:i/>
          <w:iCs/>
          <w:sz w:val="22"/>
          <w:szCs w:val="22"/>
          <w:lang w:val="en-US"/>
        </w:rPr>
        <w:t>in vivo</w:t>
      </w:r>
      <w:r>
        <w:rPr>
          <w:rStyle w:val="NoneA"/>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lang w:val="en-US"/>
        </w:rPr>
        <w:t>C. difficile</w:t>
      </w:r>
      <w:r>
        <w:rPr>
          <w:rStyle w:val="NoneA"/>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Style w:val="NoneA"/>
          <w:rFonts w:ascii="Arial" w:hAnsi="Arial"/>
          <w:i/>
          <w:iCs/>
          <w:sz w:val="22"/>
          <w:szCs w:val="22"/>
          <w:lang w:val="en-US"/>
        </w:rPr>
        <w:t>increase</w:t>
      </w:r>
      <w:r>
        <w:rPr>
          <w:rStyle w:val="NoneA"/>
          <w:rFonts w:ascii="Arial" w:hAnsi="Arial"/>
          <w:sz w:val="22"/>
          <w:szCs w:val="22"/>
          <w:lang w:val="en-US"/>
        </w:rPr>
        <w:t xml:space="preserve"> severity of CDI symptoms in mice (Trindade, 2016).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N-acetylneuraminic acid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lang w:val="en-US"/>
        </w:rPr>
        <w:t>C. difficile</w:t>
      </w:r>
      <w:r>
        <w:rPr>
          <w:rStyle w:val="NoneA"/>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Many of the top scoring compounds appear to be associated with both fermentation and glycolysis, suggesting that these forms of </w:t>
      </w:r>
      <w:r>
        <w:rPr>
          <w:rStyle w:val="NoneA"/>
          <w:rFonts w:ascii="Arial" w:hAnsi="Arial"/>
          <w:i/>
          <w:iCs/>
          <w:sz w:val="22"/>
          <w:szCs w:val="22"/>
          <w:lang w:val="en-US"/>
        </w:rPr>
        <w:t>C. difficile</w:t>
      </w:r>
      <w:r>
        <w:rPr>
          <w:rStyle w:val="NoneA"/>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light of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unique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A"/>
          <w:rFonts w:ascii="Arial" w:hAnsi="Arial"/>
          <w:i/>
          <w:iCs/>
          <w:sz w:val="22"/>
          <w:szCs w:val="22"/>
          <w:lang w:val="en-US"/>
        </w:rPr>
        <w:t>C. difficile</w:t>
      </w:r>
      <w:r>
        <w:rPr>
          <w:rStyle w:val="NoneA"/>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lang w:val="en-US"/>
        </w:rPr>
        <w:t>C. difficile</w:t>
      </w:r>
      <w:r>
        <w:rPr>
          <w:rStyle w:val="NoneA"/>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A"/>
          <w:rFonts w:ascii="Arial" w:hAnsi="Arial"/>
          <w:i/>
          <w:iCs/>
          <w:sz w:val="22"/>
          <w:szCs w:val="22"/>
          <w:lang w:val="en-US"/>
        </w:rPr>
        <w:t>C. difficile</w:t>
      </w:r>
      <w:r>
        <w:rPr>
          <w:rStyle w:val="NoneA"/>
          <w:rFonts w:ascii="Arial" w:hAnsi="Arial"/>
          <w:sz w:val="22"/>
          <w:szCs w:val="22"/>
          <w:lang w:val="en-US"/>
        </w:rPr>
        <w:t xml:space="preserve">.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Style w:val="NoneA"/>
          <w:rFonts w:ascii="Arial" w:hAnsi="Arial"/>
          <w:sz w:val="22"/>
          <w:szCs w:val="22"/>
          <w:lang w:val="en-US"/>
        </w:rPr>
        <w:t xml:space="preserve">The known Stickland fermentation pathway in </w:t>
      </w:r>
      <w:r>
        <w:rPr>
          <w:rStyle w:val="NoneA"/>
          <w:rFonts w:ascii="Arial" w:hAnsi="Arial"/>
          <w:i/>
          <w:iCs/>
          <w:sz w:val="22"/>
          <w:szCs w:val="22"/>
          <w:lang w:val="en-US"/>
        </w:rPr>
        <w:t>C. difficile</w:t>
      </w:r>
      <w:r>
        <w:rPr>
          <w:rStyle w:val="NoneA"/>
          <w:rFonts w:ascii="Arial" w:hAnsi="Arial"/>
          <w:sz w:val="22"/>
          <w:szCs w:val="22"/>
          <w:lang w:val="en-US"/>
        </w:rPr>
        <w:t xml:space="preserve"> couples the oxidation and reduction of proline an glycine to generate ATP (Neumann-Schaal, 2015). Transcription of specifically the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prd</w:t>
      </w:r>
      <w:r>
        <w:rPr>
          <w:rStyle w:val="NoneA"/>
          <w:rFonts w:ascii="Arial" w:hAnsi="Arial"/>
          <w:sz w:val="22"/>
          <w:szCs w:val="22"/>
          <w:lang w:val="en-US"/>
        </w:rPr>
        <w:t xml:space="preserve"> operons indicates that both proline and glycine are present and the associated metabolic pathways have most likely been activated (Bouillaut, 2013). C. difficile as an autotroph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shared metabolite list.</w:t>
      </w:r>
    </w:p>
    <w:p>
      <w:pPr>
        <w:pStyle w:val="Default"/>
        <w:shd w:val="clear" w:color="auto" w:fill="FFFFFF"/>
        <w:spacing w:lineRule="auto" w:line="480"/>
        <w:jc w:val="both"/>
        <w:rPr/>
      </w:pPr>
      <w:r>
        <w:rPr>
          <w:rStyle w:val="NoneA"/>
          <w:rFonts w:ascii="Arial" w:hAnsi="Arial"/>
          <w:sz w:val="22"/>
          <w:szCs w:val="22"/>
          <w:lang w:val="en-US"/>
        </w:rPr>
        <w:t>http://journals.plos.org/plosone/article?id=10.1371/journal.pone.0062157</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rPr>
      </w:pPr>
      <w:r>
        <w:rPr>
          <w:rStyle w:val="NoneA"/>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lang w:val="en-US"/>
        </w:rPr>
        <w:t>C. difficile</w:t>
      </w:r>
      <w:r>
        <w:rPr>
          <w:rStyle w:val="NoneA"/>
          <w:rFonts w:ascii="Arial" w:hAnsi="Arial"/>
          <w:sz w:val="22"/>
          <w:szCs w:val="22"/>
          <w:lang w:val="en-US"/>
        </w:rPr>
        <w:t xml:space="preserve"> (Fig. 3D). These systems have been linked to the lifestyle switch from growth/division to virulence/transmission of </w:t>
      </w:r>
      <w:r>
        <w:rPr>
          <w:rStyle w:val="NoneA"/>
          <w:rFonts w:ascii="Arial" w:hAnsi="Arial"/>
          <w:i/>
          <w:iCs/>
          <w:sz w:val="22"/>
          <w:szCs w:val="22"/>
          <w:lang w:val="en-US"/>
        </w:rPr>
        <w:t>C. difficile</w:t>
      </w:r>
      <w:r>
        <w:rPr>
          <w:rStyle w:val="NoneA"/>
          <w:rFonts w:ascii="Arial" w:hAnsi="Arial"/>
          <w:sz w:val="22"/>
          <w:szCs w:val="22"/>
          <w:lang w:val="en-US"/>
        </w:rPr>
        <w:t xml:space="preserve"> (Darkoh, 2015; Carter, 2005). Transcripts for </w:t>
      </w:r>
      <w:r>
        <w:rPr>
          <w:rStyle w:val="NoneA"/>
          <w:rFonts w:ascii="Arial" w:hAnsi="Arial"/>
          <w:i/>
          <w:iCs/>
          <w:sz w:val="22"/>
          <w:szCs w:val="22"/>
          <w:lang w:val="en-US"/>
        </w:rPr>
        <w:t>agrB</w:t>
      </w:r>
      <w:r>
        <w:rPr>
          <w:rStyle w:val="NoneA"/>
          <w:rFonts w:ascii="Arial" w:hAnsi="Arial"/>
          <w:sz w:val="22"/>
          <w:szCs w:val="22"/>
          <w:lang w:val="en-US"/>
        </w:rPr>
        <w:t xml:space="preserve">, </w:t>
      </w:r>
      <w:r>
        <w:rPr>
          <w:rStyle w:val="NoneA"/>
          <w:rFonts w:ascii="Arial" w:hAnsi="Arial"/>
          <w:i/>
          <w:iCs/>
          <w:sz w:val="22"/>
          <w:szCs w:val="22"/>
          <w:lang w:val="en-US"/>
        </w:rPr>
        <w:t>agrD</w:t>
      </w:r>
      <w:r>
        <w:rPr>
          <w:rStyle w:val="NoneA"/>
          <w:rFonts w:ascii="Arial" w:hAnsi="Arial"/>
          <w:sz w:val="22"/>
          <w:szCs w:val="22"/>
          <w:lang w:val="en-US"/>
        </w:rPr>
        <w:t xml:space="preserve">, and </w:t>
      </w:r>
      <w:r>
        <w:rPr>
          <w:rStyle w:val="NoneA"/>
          <w:rFonts w:ascii="Arial" w:hAnsi="Arial"/>
          <w:i/>
          <w:iCs/>
          <w:sz w:val="22"/>
          <w:szCs w:val="22"/>
          <w:lang w:val="en-US"/>
        </w:rPr>
        <w:t>luxS</w:t>
      </w:r>
      <w:r>
        <w:rPr>
          <w:rStyle w:val="NoneA"/>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A"/>
          <w:rFonts w:ascii="Arial" w:hAnsi="Arial"/>
          <w:i/>
          <w:iCs/>
          <w:sz w:val="22"/>
          <w:szCs w:val="22"/>
          <w:lang w:val="en-US"/>
        </w:rPr>
        <w:t>C. difficile</w:t>
      </w:r>
      <w:r>
        <w:rPr>
          <w:rStyle w:val="NoneA"/>
          <w:rFonts w:ascii="Arial" w:hAnsi="Arial"/>
          <w:sz w:val="22"/>
          <w:szCs w:val="22"/>
          <w:lang w:val="en-US"/>
        </w:rPr>
        <w:t xml:space="preserve"> quorum sensing occurring.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rPr>
      </w:pPr>
      <w:r>
        <w:rPr>
          <w:rStyle w:val="NoneA"/>
          <w:rFonts w:eastAsia="Arial" w:cs="Arial" w:ascii="Arial" w:hAnsi="Arial"/>
          <w:sz w:val="22"/>
          <w:szCs w:val="22"/>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A"/>
          <w:rFonts w:ascii="Arial" w:hAnsi="Arial"/>
          <w:i/>
          <w:iCs/>
          <w:sz w:val="22"/>
          <w:szCs w:val="22"/>
          <w:lang w:val="en-US"/>
        </w:rPr>
        <w:t>C. difficile</w:t>
      </w:r>
      <w:r>
        <w:rPr>
          <w:rStyle w:val="NoneA"/>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germ free distinct metabolites appear to be mostly auxotrohpies, suggests C. diff can skip a lot of biosynthesis in the absence of competition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color="auto"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color="auto"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color="auto" w:fill="FFFFFF"/>
        <w:spacing w:lineRule="auto" w:line="480"/>
        <w:jc w:val="center"/>
        <w:rPr>
          <w:rStyle w:val="NoneA"/>
          <w:sz w:val="22"/>
          <w:szCs w:val="22"/>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aps w:val="false"/>
          <w:smallCaps w:val="false"/>
          <w:color w:val="222222"/>
          <w:spacing w:val="0"/>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w:t>
        <w:tab/>
        <w:tab/>
        <w:tab/>
        <w:t xml:space="preserve">(ii)  </w:t>
      </w:r>
      <w:r>
        <w:rPr>
          <w:rStyle w:val="NoneA"/>
          <w:rFonts w:eastAsia="LM Roman Unslanted 10" w:cs="LM Roman Unslanted 10" w:ascii="LM Roman Unslanted 10" w:hAnsi="LM Roman Unslanted 10"/>
          <w:i/>
          <w:iCs/>
          <w:position w:val="0"/>
          <w:sz w:val="22"/>
          <w:sz w:val="22"/>
          <w:szCs w:val="22"/>
          <w:vertAlign w:val="baseline"/>
          <w:lang w:val="en-US"/>
        </w:rPr>
        <w:t>µ</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 xml:space="preserve"> = </w:t>
      </w:r>
      <w:r>
        <w:rPr>
          <w:rStyle w:val="NoneA"/>
          <w:position w:val="0"/>
          <w:sz w:val="28"/>
          <w:sz w:val="28"/>
          <w:szCs w:val="28"/>
          <w:vertAlign w:val="baseline"/>
          <w:lang w:val="en-US"/>
        </w:rPr>
        <w:t>Σ</w:t>
      </w:r>
      <w:r>
        <w:rPr>
          <w:rStyle w:val="NoneA"/>
          <w:rFonts w:ascii="Arial" w:hAnsi="Arial"/>
          <w:position w:val="0"/>
          <w:sz w:val="22"/>
          <w:sz w:val="22"/>
          <w:szCs w:val="22"/>
          <w:vertAlign w:val="baseline"/>
          <w:lang w:val="en-US"/>
        </w:rPr>
        <w:t>t</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 xml:space="preserve"> </w:t>
      </w:r>
      <w:r>
        <w:rPr>
          <w:rStyle w:val="NoneA"/>
          <w:rFonts w:ascii="Arial" w:hAnsi="Arial"/>
          <w:caps w:val="false"/>
          <w:smallCaps w:val="false"/>
          <w:color w:val="222222"/>
          <w:spacing w:val="0"/>
          <w:position w:val="0"/>
          <w:sz w:val="22"/>
          <w:sz w:val="22"/>
          <w:szCs w:val="22"/>
          <w:u w:val="none" w:color="222222"/>
          <w:vertAlign w:val="baseline"/>
          <w:lang w:val="en-US"/>
        </w:rPr>
        <w:t>÷</w:t>
      </w:r>
      <w:r>
        <w:rPr>
          <w:rStyle w:val="NoneA"/>
          <w:rFonts w:ascii="Arial" w:hAnsi="Arial"/>
          <w:position w:val="0"/>
          <w:sz w:val="22"/>
          <w:sz w:val="22"/>
          <w:szCs w:val="22"/>
          <w:vertAlign w:val="baseline"/>
          <w:lang w:val="en-US"/>
        </w:rPr>
        <w:t xml:space="preserve"> </w:t>
      </w:r>
      <w:r>
        <w:rPr>
          <w:rStyle w:val="NoneA"/>
          <w:rFonts w:eastAsia="LM Roman Unslanted 10" w:cs="LM Roman Unslanted 10" w:ascii="LM Roman Unslanted 10" w:hAnsi="LM Roman Unslanted 10"/>
          <w:i/>
          <w:iCs/>
          <w:position w:val="0"/>
          <w:sz w:val="22"/>
          <w:sz w:val="22"/>
          <w:szCs w:val="22"/>
          <w:vertAlign w:val="baseline"/>
          <w:lang w:val="en-US"/>
        </w:rPr>
        <w:t>n</w:t>
      </w:r>
      <w:r>
        <w:rPr>
          <w:rStyle w:val="NoneA"/>
          <w:rFonts w:ascii="Arial" w:hAnsi="Arial"/>
          <w:position w:val="0"/>
          <w:sz w:val="22"/>
          <w:sz w:val="22"/>
          <w:szCs w:val="22"/>
          <w:vertAlign w:val="baseline"/>
          <w:lang w:val="en-US"/>
        </w:rPr>
        <w:t>(e</w:t>
      </w:r>
      <w:r>
        <w:rPr>
          <w:rStyle w:val="NoneA"/>
          <w:rFonts w:ascii="Arial" w:hAnsi="Arial"/>
          <w:sz w:val="22"/>
          <w:szCs w:val="22"/>
          <w:vertAlign w:val="subscript"/>
          <w:lang w:val="en-US"/>
        </w:rPr>
        <w:t>i</w:t>
      </w:r>
      <w:r>
        <w:rPr>
          <w:rStyle w:val="NoneA"/>
          <w:rFonts w:ascii="Arial" w:hAnsi="Arial"/>
          <w:position w:val="0"/>
          <w:sz w:val="22"/>
          <w:sz w:val="22"/>
          <w:szCs w:val="22"/>
          <w:vertAlign w:val="baseline"/>
          <w:lang w:val="en-US"/>
        </w:rPr>
        <w:t>)</w:t>
      </w:r>
    </w:p>
    <w:p>
      <w:pPr>
        <w:pStyle w:val="Default"/>
        <w:shd w:val="clear" w:color="auto" w:fill="FFFFFF"/>
        <w:spacing w:lineRule="auto" w:line="480"/>
        <w:rPr>
          <w:rStyle w:val="NoneA"/>
          <w:sz w:val="22"/>
          <w:szCs w:val="22"/>
        </w:rPr>
      </w:pPr>
      <w:r>
        <w:rPr>
          <w:rStyle w:val="NoneA"/>
          <w:rFonts w:ascii="Arial" w:hAnsi="Arial"/>
          <w:position w:val="0"/>
          <w:sz w:val="22"/>
          <w:sz w:val="22"/>
          <w:szCs w:val="22"/>
          <w:vertAlign w:val="baseline"/>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Rule="auto" w:line="480"/>
        <w:jc w:val="center"/>
        <w:rPr>
          <w:rStyle w:val="NoneA"/>
          <w:sz w:val="22"/>
          <w:szCs w:val="22"/>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2" w:name="MathJaxElement43Frame1"/>
      <w:r>
        <w:rPr>
          <w:rStyle w:val="NoneA"/>
          <w:rFonts w:ascii="Arial" w:hAnsi="Arial"/>
          <w:sz w:val="22"/>
          <w:szCs w:val="22"/>
          <w:vertAlign w:val="superscript"/>
          <w:lang w:val="en-US"/>
        </w:rPr>
        <w:t>2</w:t>
      </w:r>
      <w:r>
        <w:rPr>
          <w:rStyle w:val="Hyperlink2"/>
          <w:lang w:val="en-US"/>
        </w:rPr>
        <w:t>√(</w:t>
      </w:r>
      <w:bookmarkEnd w:id="2"/>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NoneA"/>
          <w:rFonts w:ascii="Arial" w:hAnsi="Arial"/>
          <w:position w:val="0"/>
          <w:sz w:val="22"/>
          <w:sz w:val="22"/>
          <w:szCs w:val="22"/>
          <w:vertAlign w:val="baseline"/>
          <w:lang w:val="en-US"/>
        </w:rPr>
        <w:t xml:space="preserve"> – </w:t>
      </w:r>
      <w:r>
        <w:rPr>
          <w:rStyle w:val="NoneA"/>
          <w:rFonts w:eastAsia="LM Roman Unslanted 10" w:cs="LM Roman Unslanted 10" w:ascii="LM Roman Unslanted 10" w:hAnsi="LM Roman Unslanted 10"/>
          <w:i/>
          <w:iCs/>
          <w:position w:val="0"/>
          <w:sz w:val="22"/>
          <w:sz w:val="22"/>
          <w:szCs w:val="22"/>
          <w:vertAlign w:val="baseline"/>
          <w:lang w:val="en-US"/>
        </w:rPr>
        <w:t>µ</w:t>
      </w:r>
      <w:r>
        <w:rPr>
          <w:rStyle w:val="NoneA"/>
          <w:rFonts w:ascii="Arial" w:hAnsi="Arial"/>
          <w:sz w:val="22"/>
          <w:szCs w:val="22"/>
          <w:vertAlign w:val="subscript"/>
          <w:lang w:val="en-US"/>
        </w:rPr>
        <w:t>o</w:t>
      </w:r>
      <w:bookmarkStart w:id="3" w:name="MathJaxElement43Frame2"/>
      <w:r>
        <w:rPr>
          <w:rStyle w:val="Hyperlink2"/>
          <w:lang w:val="en-US"/>
        </w:rPr>
        <w:t>)</w:t>
      </w:r>
    </w:p>
    <w:p>
      <w:pPr>
        <w:pStyle w:val="Default"/>
        <w:shd w:val="clear" w:color="auto" w:fill="FFFFFF"/>
        <w:spacing w:lineRule="auto" w:line="480"/>
        <w:rPr/>
      </w:pPr>
      <w:r>
        <w:rPr>
          <w:rStyle w:val="NoneA"/>
          <w:rFonts w:ascii="Arial" w:hAnsi="Arial"/>
          <w:position w:val="0"/>
          <w:sz w:val="22"/>
          <w:sz w:val="22"/>
          <w:szCs w:val="22"/>
          <w:vertAlign w:val="baseline"/>
          <w:lang w:val="en-US"/>
        </w:rPr>
        <w:t>The difference is Log</w:t>
      </w:r>
      <w:r>
        <w:rPr>
          <w:rStyle w:val="NoneA"/>
          <w:rFonts w:ascii="Arial" w:hAnsi="Arial"/>
          <w:sz w:val="22"/>
          <w:szCs w:val="22"/>
          <w:vertAlign w:val="subscript"/>
          <w:lang w:val="en-US"/>
        </w:rPr>
        <w:t>2</w:t>
      </w:r>
      <w:r>
        <w:rPr>
          <w:rStyle w:val="NoneA"/>
          <w:rFonts w:ascii="Arial" w:hAnsi="Arial"/>
          <w:position w:val="0"/>
          <w:sz w:val="22"/>
          <w:sz w:val="22"/>
          <w:szCs w:val="22"/>
          <w:vertAlign w:val="baseline"/>
          <w:lang w:val="en-US"/>
        </w:rPr>
        <w:t xml:space="preserve"> transformed for comparability between scores of individual metabolites. This results in a final value that reflects the likelihood a metabolite is acquired from the environment. </w:t>
      </w:r>
      <w:r>
        <w:rPr>
          <w:rStyle w:val="Hyperlink2"/>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bookmarkStart w:id="4" w:name="MathJaxElement43Frame3"/>
      <w:r>
        <w:rPr>
          <w:rStyle w:val="NoneA"/>
          <w:rFonts w:ascii="Arial" w:hAnsi="Arial"/>
          <w:b/>
          <w:bCs/>
          <w:sz w:val="22"/>
          <w:szCs w:val="22"/>
          <w:lang w:val="en-US"/>
        </w:rPr>
        <w:t>Transcriptome Bootstrapping and Probability Distribution Comparison.</w:t>
      </w:r>
      <w:bookmarkEnd w:id="4"/>
      <w:r>
        <w:rPr>
          <w:rStyle w:val="NoneA"/>
          <w:rFonts w:ascii="Arial" w:hAnsi="Arial"/>
          <w:b/>
          <w:bCs/>
          <w:sz w:val="22"/>
          <w:szCs w:val="22"/>
          <w:lang w:val="en-US"/>
        </w:rPr>
        <w:t xml:space="preserve"> </w:t>
      </w:r>
      <w:bookmarkEnd w:id="3"/>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Rule="auto" w:line="480"/>
        <w:jc w:val="both"/>
        <w:rPr>
          <w:rStyle w:val="Hyperlink2"/>
        </w:rPr>
      </w:pPr>
      <w:bookmarkStart w:id="5" w:name="MathJaxElement43Frame5"/>
      <w:bookmarkStart w:id="6" w:name="MathJaxElement43Frame5"/>
      <w:r>
        <w:rPr/>
      </w:r>
    </w:p>
    <w:p>
      <w:pPr>
        <w:pStyle w:val="Default"/>
        <w:shd w:val="clear" w:color="auto"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Figure Legends</w:t>
      </w:r>
    </w:p>
    <w:p>
      <w:pPr>
        <w:pStyle w:val="Default"/>
        <w:shd w:val="clear" w:color="auto" w:fill="FFFFFF"/>
        <w:spacing w:lineRule="auto" w:line="480"/>
        <w:jc w:val="both"/>
        <w:rPr>
          <w:rStyle w:val="Hyperlink2"/>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A"/>
          <w:rFonts w:ascii="Arial" w:hAnsi="Arial"/>
          <w:i/>
          <w:iCs/>
          <w:sz w:val="22"/>
          <w:szCs w:val="22"/>
          <w:lang w:val="en-US"/>
        </w:rPr>
        <w:t>P</w:t>
      </w:r>
      <w:r>
        <w:rPr>
          <w:rStyle w:val="Hyperlink2"/>
          <w:lang w:val="en-US"/>
        </w:rPr>
        <w:t xml:space="preserve"> &lt; 0.05).</w:t>
      </w:r>
    </w:p>
    <w:p>
      <w:pPr>
        <w:pStyle w:val="Default"/>
        <w:shd w:val="clear" w:color="auto" w:fill="FFFFFF"/>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in each colonized environment. (a) </w:t>
      </w:r>
      <w:r>
        <w:rPr>
          <w:rStyle w:val="Hyperlink2"/>
          <w:lang w:val="en-US"/>
        </w:rPr>
        <w:t xml:space="preserve">Largest component from the bipartite genome-scale metabolic model of </w:t>
      </w:r>
      <w:r>
        <w:rPr>
          <w:rStyle w:val="NoneA"/>
          <w:rFonts w:ascii="Arial" w:hAnsi="Arial"/>
          <w:i/>
          <w:iCs/>
          <w:sz w:val="22"/>
          <w:szCs w:val="22"/>
          <w:lang w:val="en-US"/>
        </w:rPr>
        <w:t>C. difficile</w:t>
      </w:r>
      <w:r>
        <w:rPr>
          <w:rStyle w:val="Hyperlink2"/>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A"/>
          <w:rFonts w:ascii="Arial" w:hAnsi="Arial"/>
          <w:i/>
          <w:iCs/>
          <w:sz w:val="22"/>
          <w:szCs w:val="22"/>
          <w:lang w:val="en-US"/>
        </w:rPr>
        <w:t>C. difficile</w:t>
      </w:r>
      <w:r>
        <w:rPr>
          <w:rStyle w:val="Hyperlink2"/>
          <w:lang w:val="en-US"/>
        </w:rPr>
        <w:t xml:space="preserve"> str. 630 during infection of cefoperazone-treated mice. The expanded window displays metabolite importance algorithm and an example of a single importance calculation based on local gene transcription. </w:t>
      </w:r>
      <w:r>
        <w:rPr>
          <w:rStyle w:val="NoneA"/>
          <w:rFonts w:ascii="Arial" w:hAnsi="Arial"/>
          <w:b/>
          <w:bCs/>
          <w:sz w:val="22"/>
          <w:szCs w:val="22"/>
          <w:lang w:val="en-US"/>
        </w:rPr>
        <w:t>(b)</w:t>
      </w:r>
      <w:r>
        <w:rPr>
          <w:rStyle w:val="Hyperlink2"/>
          <w:lang w:val="en-US"/>
        </w:rPr>
        <w:t xml:space="preserve"> Most highly scoring distinctly important metabolites from each treatment group. The top 25 scoring metabolites from each group was cross-referenced against all others to arrive at metabolites differentially important between environments. </w:t>
      </w:r>
      <w:r>
        <w:rPr>
          <w:rStyle w:val="NoneA"/>
          <w:rFonts w:ascii="Arial" w:hAnsi="Arial"/>
          <w:b/>
          <w:bCs/>
          <w:sz w:val="22"/>
          <w:szCs w:val="22"/>
          <w:lang w:val="en-US"/>
        </w:rPr>
        <w:t>(c)</w:t>
      </w:r>
      <w:r>
        <w:rPr>
          <w:rStyle w:val="Hyperlink2"/>
          <w:lang w:val="en-US"/>
        </w:rPr>
        <w:t xml:space="preserve"> Metabolites shared among the 50 highest scoring between all conditions. Points in </w:t>
      </w:r>
      <w:r>
        <w:rPr>
          <w:rStyle w:val="NoneA"/>
          <w:rFonts w:ascii="Arial" w:hAnsi="Arial"/>
          <w:b/>
          <w:bCs/>
          <w:sz w:val="22"/>
          <w:szCs w:val="22"/>
          <w:lang w:val="en-US"/>
        </w:rPr>
        <w:t>b</w:t>
      </w:r>
      <w:r>
        <w:rPr>
          <w:rStyle w:val="Hyperlink2"/>
          <w:lang w:val="en-US"/>
        </w:rPr>
        <w:t xml:space="preserve"> &amp; </w:t>
      </w:r>
      <w:r>
        <w:rPr>
          <w:rStyle w:val="NoneA"/>
          <w:rFonts w:ascii="Arial" w:hAnsi="Arial"/>
          <w:b/>
          <w:bCs/>
          <w:sz w:val="22"/>
          <w:szCs w:val="22"/>
          <w:lang w:val="en-US"/>
        </w:rPr>
        <w:t>c</w:t>
      </w:r>
      <w:r>
        <w:rPr>
          <w:rStyle w:val="Hyperlink2"/>
          <w:lang w:val="en-US"/>
        </w:rPr>
        <w:t xml:space="preserve"> are the calculated metabolite importance scores based on the given sequenced transcriptome. Gray vertical lines in</w:t>
      </w:r>
      <w:bookmarkStart w:id="7" w:name="Bookmark"/>
      <w:bookmarkEnd w:id="6"/>
      <w:r>
        <w:rPr>
          <w:rStyle w:val="Hyperlink2"/>
          <w:lang w:val="en-US"/>
        </w:rPr>
        <w:t xml:space="preserve"> </w:t>
      </w:r>
      <w:r>
        <w:rPr>
          <w:rStyle w:val="NoneA"/>
          <w:rFonts w:ascii="Arial" w:hAnsi="Arial"/>
          <w:b/>
          <w:bCs/>
          <w:sz w:val="22"/>
          <w:szCs w:val="22"/>
          <w:lang w:val="en-US"/>
        </w:rPr>
        <w:t>b</w:t>
      </w:r>
      <w:r>
        <w:rPr>
          <w:rStyle w:val="Hyperlink2"/>
          <w:lang w:val="en-US"/>
        </w:rPr>
        <w:t xml:space="preserve"> &amp; </w:t>
      </w:r>
      <w:r>
        <w:rPr>
          <w:rStyle w:val="NoneA"/>
          <w:rFonts w:ascii="Arial" w:hAnsi="Arial"/>
          <w:b/>
          <w:bCs/>
          <w:sz w:val="22"/>
          <w:szCs w:val="22"/>
          <w:lang w:val="en-US"/>
        </w:rPr>
        <w:t>c</w:t>
      </w:r>
      <w:bookmarkEnd w:id="7"/>
      <w:r>
        <w:rPr>
          <w:rStyle w:val="Hyperlink2"/>
          <w:lang w:val="en-US"/>
        </w:rPr>
        <w:t xml:space="preserve"> indicate the median and 95% confidence interval from bootstrapped probability distributions for each metabolite. Closed black points are distinct from the majority of their respective probability. </w:t>
      </w:r>
      <w:r>
        <w:rPr>
          <w:rStyle w:val="NoneA"/>
          <w:rFonts w:ascii="Arial" w:hAnsi="Arial"/>
          <w:b/>
          <w:bCs/>
          <w:sz w:val="22"/>
          <w:szCs w:val="22"/>
          <w:lang w:val="en-US"/>
        </w:rPr>
        <w:t xml:space="preserve">(d) </w:t>
      </w:r>
      <w:r>
        <w:rPr>
          <w:rStyle w:val="NoneA"/>
          <w:rFonts w:ascii="Arial" w:hAnsi="Arial"/>
          <w:i/>
          <w:iCs/>
          <w:sz w:val="22"/>
          <w:szCs w:val="22"/>
          <w:lang w:val="en-US"/>
        </w:rPr>
        <w:t>In vitro</w:t>
      </w:r>
      <w:r>
        <w:rPr>
          <w:rStyle w:val="Hyperlink2"/>
          <w:lang w:val="en-US"/>
        </w:rPr>
        <w:t xml:space="preserve"> growth curves validating identified growth nutrients from network analysis. In black are CDMM controls variations with the indicated constituents. At least one experimental metabolite indicated as uniquely important from each group supports </w:t>
      </w:r>
      <w:r>
        <w:rPr>
          <w:rStyle w:val="NoneA"/>
          <w:rFonts w:ascii="Arial" w:hAnsi="Arial"/>
          <w:i/>
          <w:iCs/>
          <w:sz w:val="22"/>
          <w:szCs w:val="22"/>
          <w:lang w:val="en-US"/>
        </w:rPr>
        <w:t>C. difficile</w:t>
      </w:r>
      <w:r>
        <w:rPr>
          <w:rStyle w:val="Hyperlink2"/>
          <w:lang w:val="en-US"/>
        </w:rPr>
        <w:t xml:space="preserve"> growth significantly more (</w:t>
      </w:r>
      <w:r>
        <w:rPr>
          <w:rStyle w:val="NoneA"/>
          <w:rFonts w:ascii="Arial" w:hAnsi="Arial"/>
          <w:i/>
          <w:iCs/>
          <w:sz w:val="22"/>
          <w:szCs w:val="22"/>
          <w:lang w:val="en-US"/>
        </w:rPr>
        <w:t>P</w:t>
      </w:r>
      <w:r>
        <w:rPr>
          <w:rStyle w:val="Hyperlink2"/>
          <w:lang w:val="en-US"/>
        </w:rPr>
        <w:t xml:space="preserve"> &lt;&lt; 0.001) than No Carbohydrates control (- Glucose + Amino acids).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A"/>
          <w:rFonts w:ascii="Arial" w:hAnsi="Arial"/>
          <w:b/>
          <w:bCs/>
          <w:sz w:val="22"/>
          <w:szCs w:val="22"/>
          <w:lang w:val="en-US"/>
        </w:rPr>
        <w:t xml:space="preserve">Supplementary Figure 1 |  Spore % of total C.f.u. and toxin to spore correlations. </w:t>
      </w:r>
      <w:r>
        <w:rPr>
          <w:rStyle w:val="Hyperlink2"/>
          <w:lang w:val="en-US"/>
        </w:rPr>
        <w:t xml:space="preserve">Continued analysis of wetlab phenotypic data. </w:t>
      </w:r>
      <w:r>
        <w:rPr>
          <w:rStyle w:val="NoneA"/>
          <w:rFonts w:ascii="Arial" w:hAnsi="Arial"/>
          <w:b/>
          <w:bCs/>
          <w:sz w:val="22"/>
          <w:szCs w:val="22"/>
          <w:lang w:val="en-US"/>
        </w:rPr>
        <w:t>A)</w:t>
      </w:r>
      <w:r>
        <w:rPr>
          <w:rStyle w:val="Hyperlink2"/>
          <w:lang w:val="en-US"/>
        </w:rPr>
        <w:t xml:space="preserve"> Spore %. </w:t>
      </w:r>
      <w:r>
        <w:rPr>
          <w:rStyle w:val="NoneA"/>
          <w:rFonts w:ascii="Arial" w:hAnsi="Arial"/>
          <w:b/>
          <w:bCs/>
          <w:sz w:val="22"/>
          <w:szCs w:val="22"/>
          <w:lang w:val="en-US"/>
        </w:rPr>
        <w:t>B)</w:t>
      </w:r>
      <w:r>
        <w:rPr>
          <w:rStyle w:val="Hyperlink2"/>
          <w:lang w:val="en-US"/>
        </w:rPr>
        <w:t xml:space="preserve"> Spore toxin correlation w/o GF. </w:t>
      </w:r>
      <w:r>
        <w:rPr>
          <w:rStyle w:val="NoneA"/>
          <w:rFonts w:ascii="Arial" w:hAnsi="Arial"/>
          <w:b/>
          <w:bCs/>
          <w:sz w:val="22"/>
          <w:szCs w:val="22"/>
          <w:lang w:val="en-US"/>
        </w:rPr>
        <w:t>C)</w:t>
      </w:r>
      <w:r>
        <w:rPr>
          <w:rStyle w:val="Hyperlink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A"/>
          <w:rFonts w:ascii="Arial" w:hAnsi="Arial"/>
          <w:i/>
          <w:iCs/>
          <w:sz w:val="22"/>
          <w:szCs w:val="22"/>
          <w:lang w:val="en-US"/>
        </w:rPr>
        <w:t>C. difficile</w:t>
      </w:r>
      <w:r>
        <w:rPr>
          <w:rStyle w:val="Hyperlink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Supplementary Figure  |  </w:t>
      </w:r>
      <w:r>
        <w:rPr>
          <w:rStyle w:val="NoneA"/>
          <w:rFonts w:ascii="Arial" w:hAnsi="Arial"/>
          <w:b/>
          <w:bCs/>
          <w:i/>
          <w:iCs/>
          <w:sz w:val="22"/>
          <w:szCs w:val="22"/>
          <w:lang w:val="en-US"/>
        </w:rPr>
        <w:t>cdtR expression</w:t>
      </w:r>
      <w:r>
        <w:rPr>
          <w:rStyle w:val="NoneA"/>
          <w:rFonts w:ascii="Arial" w:hAnsi="Arial"/>
          <w:b/>
          <w:bCs/>
          <w:sz w:val="22"/>
          <w:szCs w:val="22"/>
          <w:lang w:val="en-US"/>
        </w:rPr>
        <w:t xml:space="preserve"> </w:t>
      </w:r>
      <w:r>
        <w:rPr>
          <w:rStyle w:val="Hyperlink2"/>
          <w:lang w:val="en-US"/>
        </w:rPr>
        <w:t xml:space="preserve">High expression of </w:t>
      </w:r>
      <w:r>
        <w:rPr>
          <w:rStyle w:val="NoneA"/>
          <w:rFonts w:ascii="Arial" w:hAnsi="Arial"/>
          <w:i/>
          <w:iCs/>
          <w:sz w:val="22"/>
          <w:szCs w:val="22"/>
          <w:lang w:val="en-US"/>
        </w:rPr>
        <w:t>cdtR</w:t>
      </w:r>
      <w:r>
        <w:rPr>
          <w:rStyle w:val="Hyperlink2"/>
          <w:lang w:val="en-US"/>
        </w:rPr>
        <w:t xml:space="preserve">, the positive regulator of binary toxin production, was detected in cefoperazone and to a smaller degree in streptomycin-treated mice. This is in spite of </w:t>
      </w:r>
      <w:r>
        <w:rPr>
          <w:rStyle w:val="NoneA"/>
          <w:rFonts w:ascii="Arial" w:hAnsi="Arial"/>
          <w:i/>
          <w:iCs/>
          <w:sz w:val="22"/>
          <w:szCs w:val="22"/>
          <w:lang w:val="en-US"/>
        </w:rPr>
        <w:t>C. difficile</w:t>
      </w:r>
      <w:r>
        <w:rPr>
          <w:rStyle w:val="Hyperlink2"/>
          <w:lang w:val="en-US"/>
        </w:rPr>
        <w:t xml:space="preserve"> str. 630 possessing neither </w:t>
      </w:r>
      <w:r>
        <w:rPr>
          <w:rStyle w:val="NoneA"/>
          <w:rFonts w:ascii="Arial" w:hAnsi="Arial"/>
          <w:i/>
          <w:iCs/>
          <w:sz w:val="22"/>
          <w:szCs w:val="22"/>
          <w:lang w:val="en-US"/>
        </w:rPr>
        <w:t>cdtA</w:t>
      </w:r>
      <w:r>
        <w:rPr>
          <w:rStyle w:val="Hyperlink2"/>
          <w:lang w:val="en-US"/>
        </w:rPr>
        <w:t xml:space="preserve"> nor </w:t>
      </w:r>
      <w:r>
        <w:rPr>
          <w:rStyle w:val="NoneA"/>
          <w:rFonts w:ascii="Arial" w:hAnsi="Arial"/>
          <w:i/>
          <w:iCs/>
          <w:sz w:val="22"/>
          <w:szCs w:val="22"/>
          <w:lang w:val="en-US"/>
        </w:rPr>
        <w:t>cdtB</w:t>
      </w:r>
      <w:r>
        <w:rPr>
          <w:rStyle w:val="Hyperlink2"/>
          <w:lang w:val="en-US"/>
        </w:rPr>
        <w:t xml:space="preserve"> genes.</w:t>
      </w:r>
    </w:p>
    <w:p>
      <w:pPr>
        <w:pStyle w:val="Default"/>
        <w:shd w:val="clear" w:color="auto" w:fill="FFFFFF"/>
        <w:spacing w:lineRule="auto" w:line="480"/>
        <w:jc w:val="both"/>
        <w:rPr>
          <w:rStyle w:val="Hyperlink2"/>
          <w:lang w:val="en-US"/>
        </w:rPr>
      </w:pPr>
      <w:r>
        <w:rPr/>
      </w:r>
    </w:p>
    <w:p>
      <w:pPr>
        <w:pStyle w:val="Default"/>
        <w:shd w:val="clear" w:color="auto" w:fill="FFFFFF"/>
        <w:spacing w:lineRule="auto" w:line="480"/>
        <w:jc w:val="both"/>
        <w:rPr>
          <w:rStyle w:val="Hyperlink2"/>
        </w:rPr>
      </w:pPr>
      <w:r>
        <w:rPr>
          <w:rStyle w:val="NoneA"/>
          <w:rFonts w:ascii="Arial" w:hAnsi="Arial"/>
          <w:b/>
          <w:bCs/>
          <w:sz w:val="22"/>
          <w:szCs w:val="22"/>
          <w:lang w:val="en-US"/>
        </w:rPr>
        <w:t xml:space="preserve">Supplementary Figure 3 |  Expression of specific KEGG gene families.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A"/>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5 |  Additional growth curves. </w:t>
      </w:r>
      <w:r>
        <w:rPr>
          <w:rStyle w:val="Hyperlink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7 |  Acetate data supporting network output. </w:t>
      </w:r>
      <w:r>
        <w:rPr>
          <w:rStyle w:val="Hyperlink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Hyperlink2"/>
        </w:rPr>
      </w:pPr>
      <w:r>
        <w:rPr>
          <w:rStyle w:val="NoneA"/>
          <w:rFonts w:ascii="Arial" w:hAnsi="Arial"/>
          <w:b/>
          <w:bCs/>
          <w:sz w:val="22"/>
          <w:szCs w:val="22"/>
          <w:lang w:val="en-US"/>
        </w:rPr>
        <w:t>Acknowledgments</w:t>
      </w:r>
    </w:p>
    <w:p>
      <w:pPr>
        <w:pStyle w:val="Default"/>
        <w:shd w:val="clear" w:color="auto" w:fill="FFFFFF"/>
        <w:spacing w:lineRule="auto" w:line="480"/>
        <w:jc w:val="both"/>
        <w:rPr/>
      </w:pPr>
      <w:r>
        <w:rPr>
          <w:rStyle w:val="Hyperlink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A"/>
          <w:rFonts w:ascii="Arial" w:hAnsi="Arial"/>
          <w:b/>
          <w:bCs/>
          <w:sz w:val="22"/>
          <w:szCs w:val="22"/>
          <w:lang w:val="en-US"/>
        </w:rPr>
        <w:t>Conflict of Interest</w:t>
      </w:r>
    </w:p>
    <w:p>
      <w:pPr>
        <w:pStyle w:val="Default"/>
        <w:shd w:val="clear" w:color="auto" w:fill="FFFFFF"/>
        <w:spacing w:lineRule="auto" w:line="480"/>
        <w:jc w:val="both"/>
        <w:rPr>
          <w:rStyle w:val="Hyperlink2"/>
        </w:rPr>
      </w:pPr>
      <w:r>
        <w:rPr>
          <w:rStyle w:val="Hyperlink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18"/>
          <w:szCs w:val="18"/>
        </w:rPr>
      </w:pPr>
      <w:r>
        <w:rPr>
          <w:rStyle w:val="NoneA"/>
          <w:rFonts w:ascii="Arial" w:hAnsi="Arial"/>
          <w:b/>
          <w:bCs/>
          <w:sz w:val="22"/>
          <w:szCs w:val="22"/>
          <w:lang w:val="en-US"/>
        </w:rPr>
        <w:t>References</w:t>
      </w:r>
    </w:p>
    <w:p>
      <w:pPr>
        <w:pStyle w:val="Textbody1"/>
        <w:shd w:val="clear" w:color="auto" w:fill="FFFFFF"/>
        <w:ind w:left="480" w:right="0" w:hanging="480"/>
        <w:rPr/>
      </w:pPr>
      <w:r>
        <w:rPr>
          <w:rStyle w:val="NoneA"/>
          <w:rFonts w:ascii="Arial" w:hAnsi="Arial"/>
          <w:sz w:val="18"/>
          <w:szCs w:val="18"/>
          <w:lang w:val="en-US"/>
        </w:rPr>
        <w:t xml:space="preserve">1. </w:t>
      </w:r>
      <w:r>
        <w:rPr>
          <w:rStyle w:val="NoneA"/>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color="auto" w:fill="FFFFFF"/>
        <w:ind w:left="480" w:right="0" w:hanging="480"/>
        <w:rPr/>
      </w:pPr>
      <w:r>
        <w:rPr>
          <w:rStyle w:val="NoneA"/>
          <w:rFonts w:ascii="Arial" w:hAnsi="Arial"/>
          <w:sz w:val="18"/>
          <w:szCs w:val="18"/>
          <w:lang w:val="en-US"/>
        </w:rPr>
        <w:t xml:space="preserve">2. </w:t>
      </w:r>
      <w:r>
        <w:rPr>
          <w:rStyle w:val="NoneA"/>
          <w:rFonts w:ascii="Arial" w:hAnsi="Arial"/>
          <w:sz w:val="18"/>
          <w:szCs w:val="18"/>
          <w:lang w:val="en-US"/>
        </w:rPr>
        <w:t xml:space="preserve">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color="auto" w:fill="FFFFFF"/>
        <w:ind w:left="480" w:right="0" w:hanging="480"/>
        <w:rPr/>
      </w:pPr>
      <w:r>
        <w:rPr>
          <w:rStyle w:val="NoneA"/>
          <w:rFonts w:ascii="Arial" w:hAnsi="Arial"/>
          <w:sz w:val="18"/>
          <w:szCs w:val="18"/>
          <w:lang w:val="en-US"/>
        </w:rPr>
        <w:t xml:space="preserve">3. </w:t>
      </w: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 </w:t>
      </w: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 </w:t>
      </w:r>
      <w:r>
        <w:rPr>
          <w:rStyle w:val="NoneA"/>
          <w:rFonts w:ascii="Arial" w:hAnsi="Arial"/>
          <w:sz w:val="18"/>
          <w:szCs w:val="18"/>
          <w:lang w:val="en-US"/>
        </w:rPr>
        <w:t xml:space="preserve">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 </w:t>
      </w:r>
      <w:r>
        <w:rPr>
          <w:rStyle w:val="NoneA"/>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7. </w:t>
      </w: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8. </w:t>
      </w: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9. </w:t>
      </w: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pPr>
      <w:r>
        <w:rPr>
          <w:rStyle w:val="NoneA"/>
          <w:rFonts w:ascii="Arial" w:hAnsi="Arial"/>
          <w:sz w:val="18"/>
          <w:szCs w:val="18"/>
          <w:lang w:val="en-US"/>
        </w:rPr>
        <w:t xml:space="preserve">10. </w:t>
      </w:r>
      <w:r>
        <w:rPr>
          <w:rStyle w:val="NoneA"/>
          <w:rFonts w:ascii="Arial" w:hAnsi="Arial"/>
          <w:sz w:val="18"/>
          <w:szCs w:val="18"/>
          <w:lang w:val="en-US"/>
        </w:rPr>
        <w:t xml:space="preserve">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11. </w:t>
      </w:r>
      <w:r>
        <w:rPr>
          <w:rStyle w:val="NoneA"/>
          <w:rFonts w:ascii="Arial" w:hAnsi="Arial"/>
          <w:sz w:val="18"/>
          <w:szCs w:val="18"/>
          <w:lang w:val="en-US"/>
        </w:rPr>
        <w:t xml:space="preserve">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12. </w:t>
      </w:r>
      <w:r>
        <w:rPr>
          <w:rStyle w:val="NoneA"/>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13. </w:t>
      </w:r>
      <w:r>
        <w:rPr>
          <w:rStyle w:val="NoneA"/>
          <w:rFonts w:ascii="Arial" w:hAnsi="Arial"/>
          <w:sz w:val="18"/>
          <w:szCs w:val="18"/>
          <w:lang w:val="en-US"/>
        </w:rPr>
        <w:t xml:space="preserve">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14. </w:t>
      </w:r>
      <w:r>
        <w:rPr>
          <w:rStyle w:val="NoneA"/>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15. </w:t>
      </w:r>
      <w:r>
        <w:rPr>
          <w:rStyle w:val="NoneA"/>
          <w:rFonts w:ascii="Arial" w:hAnsi="Arial"/>
          <w:sz w:val="18"/>
          <w:szCs w:val="18"/>
          <w:lang w:val="en-US"/>
        </w:rPr>
        <w:t xml:space="preserve">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16. </w:t>
      </w:r>
      <w:r>
        <w:rPr>
          <w:rStyle w:val="NoneA"/>
          <w:rFonts w:ascii="Arial" w:hAnsi="Arial"/>
          <w:sz w:val="18"/>
          <w:szCs w:val="18"/>
          <w:lang w:val="en-US"/>
        </w:rPr>
        <w:t xml:space="preserve">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17. </w:t>
      </w:r>
      <w:r>
        <w:rPr>
          <w:rStyle w:val="NoneA"/>
          <w:rFonts w:ascii="Arial" w:hAnsi="Arial"/>
          <w:sz w:val="18"/>
          <w:szCs w:val="18"/>
          <w:lang w:val="en-US"/>
        </w:rPr>
        <w:t xml:space="preserve">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18. </w:t>
      </w:r>
      <w:r>
        <w:rPr>
          <w:rStyle w:val="NoneA"/>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19. </w:t>
      </w:r>
      <w:r>
        <w:rPr>
          <w:rStyle w:val="NoneA"/>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20. </w:t>
      </w: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21. </w:t>
      </w: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22. </w:t>
      </w:r>
      <w:r>
        <w:rPr>
          <w:rStyle w:val="NoneA"/>
          <w:rFonts w:ascii="Arial" w:hAnsi="Arial"/>
          <w:sz w:val="18"/>
          <w:szCs w:val="18"/>
          <w:lang w:val="en-US"/>
        </w:rPr>
        <w:t xml:space="preserve">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i/>
          <w:i/>
          <w:iCs/>
          <w:sz w:val="18"/>
          <w:szCs w:val="18"/>
        </w:rPr>
      </w:pPr>
      <w:r>
        <w:rPr>
          <w:rStyle w:val="NoneA"/>
          <w:rFonts w:ascii="Arial" w:hAnsi="Arial"/>
          <w:sz w:val="18"/>
          <w:szCs w:val="18"/>
          <w:lang w:val="en-US"/>
        </w:rPr>
        <w:t xml:space="preserve">23. </w:t>
      </w:r>
      <w:r>
        <w:rPr>
          <w:rStyle w:val="NoneA"/>
          <w:rFonts w:ascii="Arial" w:hAnsi="Arial"/>
          <w:sz w:val="18"/>
          <w:szCs w:val="18"/>
          <w:lang w:val="en-US"/>
        </w:rPr>
        <w:t xml:space="preserve">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w:t>
      </w:r>
      <w:r>
        <w:rPr>
          <w:rStyle w:val="NoneA"/>
          <w:rFonts w:ascii="Arial" w:hAnsi="Arial"/>
          <w:sz w:val="18"/>
          <w:szCs w:val="18"/>
          <w:lang w:val="en-US"/>
        </w:rPr>
        <w:t xml:space="preserve">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w:t>
      </w:r>
      <w:r>
        <w:rPr>
          <w:rStyle w:val="NoneA"/>
          <w:rFonts w:ascii="Arial" w:hAnsi="Arial"/>
          <w:sz w:val="18"/>
          <w:szCs w:val="18"/>
          <w:lang w:val="de-DE"/>
        </w:rPr>
        <w:t xml:space="preserve">Hundsberger, T., Braun, V., Weidmann, M., Leukel, P., Sauerborn, M., &amp; von Eichel-Streiber, C. (1997). Transcription </w:t>
        <w:tab/>
        <w:t xml:space="preserve">analysis </w:t>
      </w:r>
      <w:r>
        <w:rPr>
          <w:rStyle w:val="NoneA"/>
          <w:rFonts w:eastAsia="Arial" w:cs="Arial"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 xml:space="preserve">26. </w:t>
      </w:r>
      <w:r>
        <w:rPr>
          <w:rStyle w:val="NoneA"/>
          <w:rFonts w:ascii="Arial" w:hAnsi="Arial"/>
          <w:sz w:val="18"/>
          <w:szCs w:val="18"/>
          <w:lang w:val="fr-FR"/>
        </w:rPr>
        <w:t>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en-US"/>
        </w:rPr>
        <w:t xml:space="preserve">27. </w:t>
      </w:r>
      <w:r>
        <w:rPr>
          <w:rStyle w:val="NoneA"/>
          <w:rFonts w:ascii="Arial" w:hAnsi="Arial"/>
          <w:sz w:val="18"/>
          <w:szCs w:val="18"/>
          <w:lang w:val="en-US"/>
        </w:rPr>
        <w:t xml:space="preserve">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28. </w:t>
      </w: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color w:val="000000"/>
          <w:sz w:val="18"/>
          <w:szCs w:val="18"/>
          <w:lang w:val="en-US"/>
        </w:rPr>
        <w:t xml:space="preserve">29. </w:t>
      </w:r>
      <w:r>
        <w:rPr>
          <w:rStyle w:val="NoneA"/>
          <w:rFonts w:ascii="Arial" w:hAnsi="Arial"/>
          <w:color w:val="000000"/>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color w:val="000000"/>
          <w:sz w:val="18"/>
          <w:szCs w:val="18"/>
          <w:lang w:val="en-US"/>
        </w:rPr>
        <w:t>PLoS ONE</w:t>
      </w:r>
      <w:r>
        <w:rPr>
          <w:rStyle w:val="NoneA"/>
          <w:rFonts w:ascii="Arial" w:hAnsi="Arial"/>
          <w:color w:val="000000"/>
          <w:sz w:val="18"/>
          <w:szCs w:val="18"/>
          <w:lang w:val="en-US"/>
        </w:rPr>
        <w:t xml:space="preserve">, </w:t>
      </w:r>
      <w:r>
        <w:rPr>
          <w:rStyle w:val="NoneA"/>
          <w:rFonts w:ascii="Arial" w:hAnsi="Arial"/>
          <w:i/>
          <w:iCs/>
          <w:color w:val="000000"/>
          <w:sz w:val="18"/>
          <w:szCs w:val="18"/>
          <w:lang w:val="en-US"/>
        </w:rPr>
        <w:t>9</w:t>
      </w:r>
      <w:r>
        <w:rPr>
          <w:rStyle w:val="NoneA"/>
          <w:rFonts w:ascii="Arial" w:hAnsi="Arial"/>
          <w:color w:val="000000"/>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color w:val="000000"/>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color w:val="000000"/>
          <w:sz w:val="18"/>
          <w:szCs w:val="18"/>
          <w:u w:val="none" w:color="323232"/>
          <w:lang w:val="en-US"/>
        </w:rPr>
        <w:t xml:space="preserve">30. </w:t>
      </w:r>
      <w:r>
        <w:rPr>
          <w:rStyle w:val="NoneA"/>
          <w:rFonts w:ascii="Arial" w:hAnsi="Arial"/>
          <w:color w:val="000000"/>
          <w:sz w:val="18"/>
          <w:szCs w:val="18"/>
          <w:u w:val="none" w:color="323232"/>
          <w:lang w:val="en-US"/>
        </w:rPr>
        <w:t xml:space="preserve">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color w:val="000000"/>
          <w:sz w:val="18"/>
          <w:szCs w:val="18"/>
          <w:u w:val="none" w:color="323232"/>
          <w:lang w:val="de-DE"/>
        </w:rPr>
        <w:t>PLoS ONE</w:t>
      </w:r>
      <w:r>
        <w:rPr>
          <w:rStyle w:val="NoneA"/>
          <w:rFonts w:ascii="Arial" w:hAnsi="Arial"/>
          <w:color w:val="000000"/>
          <w:sz w:val="18"/>
          <w:szCs w:val="18"/>
          <w:u w:val="none" w:color="323232"/>
          <w:lang w:val="en-US"/>
        </w:rPr>
        <w:t xml:space="preserve">, 11(6). </w:t>
      </w:r>
      <w:r>
        <w:rPr>
          <w:rStyle w:val="NoneA"/>
          <w:rFonts w:eastAsia="Arial" w:cs="Arial" w:ascii="Arial" w:hAnsi="Arial"/>
          <w:color w:val="000000"/>
          <w:sz w:val="18"/>
          <w:szCs w:val="18"/>
          <w:u w:val="none" w:color="323232"/>
          <w:lang w:val="en-US"/>
        </w:rPr>
        <w:tab/>
      </w:r>
      <w:r>
        <w:rPr>
          <w:rStyle w:val="NoneA"/>
          <w:rFonts w:ascii="Arial" w:hAnsi="Arial"/>
          <w:color w:val="000000"/>
          <w:sz w:val="18"/>
          <w:szCs w:val="18"/>
          <w:u w:val="none" w:color="323232"/>
          <w:lang w:val="en-US"/>
        </w:rPr>
        <w:t>http://dx.doi.org/10.1371/journal.pone.0158204</w:t>
      </w:r>
    </w:p>
    <w:p>
      <w:pPr>
        <w:pStyle w:val="Textbody1"/>
        <w:shd w:val="clear" w:color="auto" w:fill="FFFFFF"/>
        <w:ind w:left="480" w:right="0" w:hanging="480"/>
        <w:rPr>
          <w:rFonts w:ascii="Arial" w:hAnsi="Arial" w:eastAsia="Arial" w:cs="Arial"/>
          <w:color w:val="000000"/>
          <w:sz w:val="18"/>
          <w:szCs w:val="18"/>
        </w:rPr>
      </w:pPr>
      <w:r>
        <w:rPr>
          <w:rFonts w:eastAsia="Arial" w:cs="Arial" w:ascii="Arial" w:hAnsi="Arial"/>
          <w:color w:val="000000"/>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color w:val="000000"/>
          <w:sz w:val="18"/>
          <w:szCs w:val="18"/>
          <w:lang w:val="en-US"/>
        </w:rPr>
        <w:t xml:space="preserve">31. </w:t>
      </w:r>
      <w:r>
        <w:rPr>
          <w:rStyle w:val="NoneA"/>
          <w:rFonts w:ascii="Arial" w:hAnsi="Arial"/>
          <w:color w:val="000000"/>
          <w:sz w:val="18"/>
          <w:szCs w:val="18"/>
          <w:lang w:val="en-US"/>
        </w:rPr>
        <w:t xml:space="preserve">Karasawa, T., Maegawa, T., Nojiri, T., Yamakawa, K., &amp; Nakamura, S. (1997). Effect of arginine on toxin production by </w:t>
      </w:r>
      <w:r>
        <w:rPr>
          <w:rStyle w:val="NoneA"/>
          <w:rFonts w:ascii="Arial" w:hAnsi="Arial"/>
          <w:sz w:val="18"/>
          <w:szCs w:val="18"/>
          <w:lang w:val="en-US"/>
        </w:rPr>
        <w:t xml:space="preserve">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32. </w:t>
      </w:r>
      <w:r>
        <w:rPr>
          <w:rStyle w:val="NoneA"/>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33. </w:t>
      </w:r>
      <w:r>
        <w:rPr>
          <w:rStyle w:val="NoneA"/>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34. </w:t>
      </w:r>
      <w:r>
        <w:rPr>
          <w:rStyle w:val="NoneA"/>
          <w:rFonts w:ascii="Arial" w:hAnsi="Arial"/>
          <w:sz w:val="18"/>
          <w:szCs w:val="18"/>
          <w:lang w:val="en-US"/>
        </w:rPr>
        <w:t xml:space="preserve">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35. </w:t>
      </w:r>
      <w:r>
        <w:rPr>
          <w:rStyle w:val="NoneA"/>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36. </w:t>
      </w:r>
      <w:r>
        <w:rPr>
          <w:rStyle w:val="NoneA"/>
          <w:rFonts w:ascii="Arial" w:hAnsi="Arial"/>
          <w:sz w:val="18"/>
          <w:szCs w:val="18"/>
          <w:lang w:val="en-US"/>
        </w:rPr>
        <w:t xml:space="preserve">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37. </w:t>
      </w:r>
      <w:r>
        <w:rPr>
          <w:rStyle w:val="NoneA"/>
          <w:rFonts w:ascii="Arial" w:hAnsi="Arial"/>
          <w:sz w:val="18"/>
          <w:szCs w:val="18"/>
          <w:lang w:val="en-US"/>
        </w:rPr>
        <w:t xml:space="preserve">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38. </w:t>
      </w:r>
      <w:r>
        <w:rPr>
          <w:rStyle w:val="NoneA"/>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39. </w:t>
      </w:r>
      <w:r>
        <w:rPr>
          <w:rStyle w:val="NoneA"/>
          <w:rFonts w:ascii="Arial" w:hAnsi="Arial"/>
          <w:sz w:val="18"/>
          <w:szCs w:val="18"/>
          <w:lang w:val="en-US"/>
        </w:rPr>
        <w:t xml:space="preserve">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color="auto" w:fill="FFFFFF"/>
        <w:ind w:left="480" w:right="0" w:hanging="480"/>
        <w:rPr/>
      </w:pPr>
      <w:r>
        <w:rPr>
          <w:rStyle w:val="NoneA"/>
          <w:rFonts w:ascii="Arial" w:hAnsi="Arial"/>
          <w:sz w:val="18"/>
          <w:szCs w:val="18"/>
          <w:lang w:val="en-US"/>
        </w:rPr>
        <w:t xml:space="preserve">40. </w:t>
      </w:r>
      <w:r>
        <w:rPr>
          <w:rStyle w:val="NoneA"/>
          <w:rFonts w:ascii="Arial" w:hAnsi="Arial"/>
          <w:sz w:val="18"/>
          <w:szCs w:val="18"/>
          <w:lang w:val="en-US"/>
        </w:rPr>
        <w:t xml:space="preserve">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41. </w:t>
      </w:r>
      <w:r>
        <w:rPr>
          <w:rStyle w:val="NoneA"/>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42. </w:t>
      </w:r>
      <w:r>
        <w:rPr>
          <w:rStyle w:val="NoneA"/>
          <w:rFonts w:ascii="Arial" w:hAnsi="Arial"/>
          <w:sz w:val="18"/>
          <w:szCs w:val="18"/>
          <w:lang w:val="en-US"/>
        </w:rPr>
        <w:t xml:space="preserve">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43. </w:t>
      </w: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44. </w:t>
      </w: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45. </w:t>
      </w:r>
      <w:r>
        <w:rPr>
          <w:rStyle w:val="NoneA"/>
          <w:rFonts w:ascii="Arial" w:hAnsi="Arial"/>
          <w:sz w:val="18"/>
          <w:szCs w:val="18"/>
          <w:lang w:val="en-US"/>
        </w:rPr>
        <w:t xml:space="preserve">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46. </w:t>
      </w:r>
      <w:r>
        <w:rPr>
          <w:rStyle w:val="NoneA"/>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47. </w:t>
      </w: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48. </w:t>
      </w: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49. </w:t>
      </w:r>
      <w:r>
        <w:rPr>
          <w:rStyle w:val="NoneA"/>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50. </w:t>
      </w:r>
      <w:r>
        <w:rPr>
          <w:rStyle w:val="NoneA"/>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pPr>
      <w:r>
        <w:rPr>
          <w:rStyle w:val="NoneA"/>
          <w:rFonts w:ascii="Arial" w:hAnsi="Arial"/>
          <w:sz w:val="18"/>
          <w:szCs w:val="18"/>
          <w:lang w:val="en-US"/>
        </w:rPr>
        <w:t xml:space="preserve">51. </w:t>
      </w:r>
      <w:r>
        <w:rPr>
          <w:rStyle w:val="NoneA"/>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52. </w:t>
      </w:r>
      <w:r>
        <w:rPr>
          <w:rStyle w:val="NoneA"/>
          <w:rFonts w:ascii="Arial" w:hAnsi="Arial"/>
          <w:sz w:val="18"/>
          <w:szCs w:val="18"/>
          <w:lang w:val="en-US"/>
        </w:rPr>
        <w:t xml:space="preserve">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53. </w:t>
      </w:r>
      <w:r>
        <w:rPr>
          <w:rStyle w:val="NoneA"/>
          <w:rFonts w:ascii="Arial" w:hAnsi="Arial"/>
          <w:sz w:val="18"/>
          <w:szCs w:val="18"/>
          <w:lang w:val="en-US"/>
        </w:rPr>
        <w:t xml:space="preserve">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54. </w:t>
      </w:r>
      <w:r>
        <w:rPr>
          <w:rStyle w:val="NoneA"/>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55. </w:t>
      </w:r>
      <w:r>
        <w:rPr>
          <w:rStyle w:val="NoneA"/>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56. </w:t>
      </w: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57. </w:t>
      </w: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58. </w:t>
      </w:r>
      <w:r>
        <w:rPr>
          <w:rStyle w:val="NoneA"/>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59. </w:t>
      </w:r>
      <w:r>
        <w:rPr>
          <w:rStyle w:val="NoneA"/>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60. </w:t>
      </w:r>
      <w:r>
        <w:rPr>
          <w:rStyle w:val="NoneA"/>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61. </w:t>
      </w:r>
      <w:r>
        <w:rPr>
          <w:rStyle w:val="NoneA"/>
          <w:rFonts w:ascii="Arial" w:hAnsi="Arial"/>
          <w:sz w:val="18"/>
          <w:szCs w:val="18"/>
          <w:lang w:val="en-US"/>
        </w:rPr>
        <w:t xml:space="preserve">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62. </w:t>
      </w:r>
      <w:r>
        <w:rPr>
          <w:rStyle w:val="NoneA"/>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63. </w:t>
      </w:r>
      <w:r>
        <w:rPr>
          <w:rStyle w:val="NoneA"/>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64. </w:t>
      </w:r>
      <w:r>
        <w:rPr>
          <w:rStyle w:val="NoneA"/>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65. </w:t>
      </w:r>
      <w:r>
        <w:rPr>
          <w:rStyle w:val="NoneA"/>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66. </w:t>
      </w:r>
      <w:r>
        <w:rPr>
          <w:rStyle w:val="NoneA"/>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67. </w:t>
      </w:r>
      <w:r>
        <w:rPr>
          <w:rStyle w:val="NoneA"/>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68. </w:t>
      </w:r>
      <w:r>
        <w:rPr>
          <w:rStyle w:val="NoneA"/>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69. </w:t>
      </w:r>
      <w:r>
        <w:rPr>
          <w:rStyle w:val="NoneA"/>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70. </w:t>
      </w:r>
      <w:r>
        <w:rPr>
          <w:rStyle w:val="NoneA"/>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71. </w:t>
      </w:r>
      <w:r>
        <w:rPr>
          <w:rStyle w:val="NoneA"/>
          <w:rFonts w:ascii="Arial" w:hAnsi="Arial"/>
          <w:sz w:val="18"/>
          <w:szCs w:val="18"/>
          <w:lang w:val="en-US"/>
        </w:rPr>
        <w:t xml:space="preserve">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color="auto" w:fill="FFFFFF"/>
        <w:spacing w:lineRule="atLeast" w:line="100"/>
        <w:ind w:left="480" w:right="0" w:hanging="480"/>
        <w:jc w:val="both"/>
        <w:rPr>
          <w:rStyle w:val="NoneA"/>
          <w:rFonts w:ascii="Arial" w:hAnsi="Arial" w:eastAsia="Arial" w:cs="Arial"/>
          <w:sz w:val="18"/>
          <w:szCs w:val="18"/>
        </w:rPr>
      </w:pPr>
      <w:r>
        <w:rPr>
          <w:rStyle w:val="NoneA"/>
          <w:rFonts w:ascii="Arial" w:hAnsi="Arial"/>
          <w:sz w:val="18"/>
          <w:szCs w:val="18"/>
          <w:lang w:val="en-US"/>
        </w:rPr>
        <w:t xml:space="preserve">72. </w:t>
      </w:r>
      <w:r>
        <w:rPr>
          <w:rStyle w:val="NoneA"/>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A"/>
          <w:rFonts w:ascii="Arial" w:hAnsi="Arial"/>
          <w:sz w:val="18"/>
          <w:szCs w:val="18"/>
          <w:lang w:val="en-US"/>
        </w:rPr>
        <w:t xml:space="preserve">73. </w:t>
      </w:r>
      <w:r>
        <w:rPr>
          <w:rStyle w:val="NoneA"/>
          <w:rFonts w:ascii="Arial" w:hAnsi="Arial"/>
          <w:sz w:val="18"/>
          <w:szCs w:val="18"/>
          <w:lang w:val="en-US"/>
        </w:rPr>
        <w:t xml:space="preserve">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150</TotalTime>
  <Application>LibreOffice/5.1.4.2$Linux_X86_64 LibreOffice_project/10m0$Build-2</Application>
  <Pages>39</Pages>
  <Words>11874</Words>
  <Characters>71156</Characters>
  <CharactersWithSpaces>82884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2016-10-28T19:52:48Z</dcterms:modified>
  <cp:revision>9</cp:revision>
  <dc:subject/>
  <dc:title/>
</cp:coreProperties>
</file>