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Target Journal:</w:t>
      </w:r>
      <w:r>
        <w:rPr>
          <w:rStyle w:val="None A"/>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ceca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adapted its nutrient utilization profile to colonize to high levels and express its virulence factors.</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antibiotic-treated specific pathogen free and germ free mice.</w:t>
      </w:r>
    </w:p>
    <w:p>
      <w:pPr>
        <w:pStyle w:val="Default"/>
        <w:shd w:val="clear" w:color="auto" w:fill="ffffff"/>
        <w:spacing w:line="480" w:lineRule="auto"/>
        <w:jc w:val="both"/>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&gt; 0.05; Fig. 2a). All antibiotic treated specific pathogen free (SPF) and germ free (GF)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SPF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GF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GF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GF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GF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0"/>
      <w:r>
        <w:rPr>
          <w:rStyle w:val="None A"/>
          <w:rFonts w:ascii="Arial" w:hAnsi="Arial"/>
          <w:i w:val="1"/>
          <w:iCs w:val="1"/>
          <w:sz w:val="22"/>
          <w:szCs w:val="22"/>
          <w:rtl w:val="0"/>
          <w:lang w:val="en-US"/>
        </w:rPr>
        <w:t>adhE</w:t>
      </w:r>
      <w:bookmarkEnd w:id="0"/>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Style w:val="None A"/>
          <w:rFonts w:ascii="Arial" w:hAnsi="Arial"/>
          <w:sz w:val="22"/>
          <w:szCs w:val="22"/>
          <w:shd w:val="clear" w:color="auto" w:fill="ffffff"/>
          <w:rtl w:val="0"/>
          <w:lang w:val="en-US"/>
        </w:rPr>
        <w:t xml:space="preserve">Moving beyond a strictly topological analysis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sought to utilize transcriptomic data to infer which metabolites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nutrient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network-based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most effective negative control is growth in media lacking carbohydrates but containing amino acids. </w:t>
      </w:r>
    </w:p>
    <w:p>
      <w:pPr>
        <w:pStyle w:val="Default"/>
        <w:shd w:val="clear" w:color="auto" w:fill="ffffff"/>
        <w:spacing w:line="480" w:lineRule="auto"/>
        <w:ind w:firstLine="709"/>
        <w:jc w:val="both"/>
      </w:pPr>
      <w:r>
        <w:rPr>
          <w:rStyle w:val="None A"/>
          <w:rFonts w:ascii="Arial" w:hAnsi="Arial"/>
          <w:sz w:val="22"/>
          <w:szCs w:val="22"/>
          <w:rtl w:val="0"/>
          <w:lang w:val="en-US"/>
        </w:rPr>
        <w:t>Shared metabolites tested for growth</w:t>
      </w:r>
      <w:r>
        <w:rPr>
          <w:rStyle w:val="None A"/>
          <w:rFonts w:ascii="Arial" w:hAnsi="Arial" w:hint="default"/>
          <w:sz w:val="22"/>
          <w:szCs w:val="22"/>
          <w:rtl w:val="0"/>
          <w:lang w:val="en-US"/>
        </w:rPr>
        <w:t>…</w:t>
      </w:r>
      <w:r>
        <w:rPr>
          <w:rStyle w:val="None A"/>
          <w:rFonts w:ascii="Arial" w:hAnsi="Arial"/>
          <w:sz w:val="22"/>
          <w:szCs w:val="22"/>
          <w:rtl w:val="0"/>
          <w:lang w:val="en-US"/>
        </w:rPr>
        <w:t>need a new color for shared (purple?)</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6b).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(GF;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if preference and not just availability could play a role in which carbon source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at a given time, we also grew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combinations of carbon sources from Fig. 5d. (Fig. 6c)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pPr>
      <w:r>
        <w:rPr>
          <w:rStyle w:val="None A"/>
          <w:rFonts w:ascii="Arial" w:cs="Arial" w:hAnsi="Arial" w:eastAsia="Arial"/>
          <w:sz w:val="22"/>
          <w:szCs w:val="22"/>
          <w:rtl w:val="0"/>
        </w:rPr>
        <w:tab/>
        <w:t xml:space="preserve">Collectively, our results support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This trend is also true in streptomycin and clindamycin pretreatments, as well as in GF mice with different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growth substrates enriched in each. Together, these results provide evidence that our network-based approach accurately predicts which metabolites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in a given environments and that these changes are most likely due to nutrient availability.</w:t>
      </w:r>
    </w:p>
    <w:p>
      <w:pPr>
        <w:pStyle w:val="Default"/>
        <w:shd w:val="clear" w:color="auto" w:fill="ffffff"/>
        <w:spacing w:line="480" w:lineRule="auto"/>
        <w:jc w:val="both"/>
      </w:pPr>
      <w:r>
        <w:rPr>
          <w:rStyle w:val="None A"/>
          <w:rFonts w:ascii="Arial" w:hAnsi="Arial"/>
          <w:sz w:val="22"/>
          <w:szCs w:val="22"/>
          <w:rtl w:val="0"/>
          <w:lang w:val="en-US"/>
        </w:rPr>
        <w:t xml:space="preserve">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 xml:space="preserve">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i w:val="1"/>
          <w:iCs w:val="1"/>
          <w:sz w:val="22"/>
          <w:szCs w:val="22"/>
          <w:rtl w:val="0"/>
          <w:lang w:val="en-US"/>
        </w:rPr>
        <w:t>Makes sense with alyx</w:t>
      </w:r>
      <w:r>
        <w:rPr>
          <w:rStyle w:val="None A"/>
          <w:rFonts w:ascii="Arial" w:hAnsi="Arial" w:hint="default"/>
          <w:i w:val="1"/>
          <w:iCs w:val="1"/>
          <w:sz w:val="22"/>
          <w:szCs w:val="22"/>
          <w:rtl w:val="0"/>
          <w:lang w:val="en-US"/>
        </w:rPr>
        <w:t>’</w:t>
      </w:r>
      <w:r>
        <w:rPr>
          <w:rStyle w:val="None A"/>
          <w:rFonts w:ascii="Arial" w:hAnsi="Arial"/>
          <w:i w:val="1"/>
          <w:iCs w:val="1"/>
          <w:sz w:val="22"/>
          <w:szCs w:val="22"/>
          <w:rtl w:val="0"/>
          <w:lang w:val="en-US"/>
        </w:rPr>
        <w:t xml:space="preserve">s clearance data </w:t>
      </w:r>
      <w:r>
        <w:rPr>
          <w:rStyle w:val="None A"/>
          <w:rFonts w:ascii="Arial" w:hAnsi="Arial" w:hint="default"/>
          <w:i w:val="1"/>
          <w:iCs w:val="1"/>
          <w:sz w:val="22"/>
          <w:szCs w:val="22"/>
          <w:rtl w:val="0"/>
          <w:lang w:val="en-US"/>
        </w:rPr>
        <w:t xml:space="preserve">– </w:t>
      </w:r>
      <w:r>
        <w:rPr>
          <w:rStyle w:val="None A"/>
          <w:rFonts w:ascii="Arial" w:hAnsi="Arial"/>
          <w:i w:val="1"/>
          <w:iCs w:val="1"/>
          <w:sz w:val="22"/>
          <w:szCs w:val="22"/>
          <w:rtl w:val="0"/>
          <w:lang w:val="en-US"/>
        </w:rPr>
        <w:t>clinda sporulation gene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GF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 C. difficile as an autotroph could explain the appearance of CO2 in the shared metabolite list.</w:t>
      </w:r>
    </w:p>
    <w:p>
      <w:pPr>
        <w:pStyle w:val="Default"/>
        <w:shd w:val="clear" w:color="auto" w:fill="ffffff"/>
        <w:spacing w:line="480" w:lineRule="auto"/>
        <w:jc w:val="both"/>
      </w:pPr>
      <w:r>
        <w:rPr>
          <w:rStyle w:val="None A"/>
          <w:rFonts w:ascii="Arial" w:hAnsi="Arial"/>
          <w:sz w:val="22"/>
          <w:szCs w:val="22"/>
          <w:rtl w:val="0"/>
          <w:lang w:val="en-US"/>
        </w:rPr>
        <w:t>http://journals.plos.org/plosone/article?id=10.1371/journal.pone.0062157</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rPr>
      </w:pPr>
      <w:r>
        <w:rPr>
          <w:rStyle w:val="None A"/>
          <w:rFonts w:ascii="Arial" w:cs="Arial" w:hAnsi="Arial" w:eastAsia="Arial"/>
          <w:sz w:val="22"/>
          <w:szCs w:val="22"/>
          <w:rtl w:val="0"/>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Because of this, these scores aren</w:t>
      </w:r>
      <w:r>
        <w:rPr>
          <w:rStyle w:val="None A"/>
          <w:rFonts w:ascii="Arial" w:hAnsi="Arial" w:hint="default"/>
          <w:sz w:val="22"/>
          <w:szCs w:val="22"/>
          <w:rtl w:val="0"/>
          <w:lang w:val="en-US"/>
        </w:rPr>
        <w:t>’</w:t>
      </w:r>
      <w:r>
        <w:rPr>
          <w:rStyle w:val="None A"/>
          <w:rFonts w:ascii="Arial" w:hAnsi="Arial"/>
          <w:sz w:val="22"/>
          <w:szCs w:val="22"/>
          <w:rtl w:val="0"/>
          <w:lang w:val="en-US"/>
        </w:rPr>
        <w:t>t subject to the effect of subtle differences in metabolism across small groups within the entire collection of activity within the species.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b w:val="0"/>
          <w:bCs w:val="0"/>
          <w:i w:val="0"/>
          <w:iCs w:val="0"/>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center"/>
        <w:rPr>
          <w:rStyle w:val="None A"/>
          <w:rFonts w:ascii="Arial" w:cs="Arial" w:hAnsi="Arial" w:eastAsia="Arial"/>
          <w:sz w:val="22"/>
          <w:szCs w:val="22"/>
        </w:rPr>
      </w:pPr>
      <w:r>
        <w:rPr>
          <w:rStyle w:val="None A"/>
          <w:rFonts w:ascii="Arial" w:hAnsi="Arial"/>
          <w:sz w:val="22"/>
          <w:szCs w:val="22"/>
          <w:rtl w:val="0"/>
          <w:lang w:val="en-US"/>
        </w:rPr>
        <w:t>*Equation</w:t>
      </w:r>
    </w:p>
    <w:p>
      <w:pPr>
        <w:pStyle w:val="Default"/>
        <w:shd w:val="clear" w:color="auto" w:fill="ffffff"/>
        <w:spacing w:line="480" w:lineRule="auto"/>
        <w:jc w:val="both"/>
      </w:pPr>
      <w:r>
        <w:rPr>
          <w:rStyle w:val="None A"/>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Automated Bipartite Network Construction.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w:t>
      </w:r>
    </w:p>
    <w:p>
      <w:pPr>
        <w:pStyle w:val="Default"/>
        <w:shd w:val="clear" w:color="auto" w:fill="ffffff"/>
        <w:spacing w:line="480" w:lineRule="auto"/>
        <w:jc w:val="both"/>
      </w:pPr>
      <w:r>
        <w:rPr>
          <w:rStyle w:val="None A"/>
          <w:rFonts w:ascii="Arial" w:hAnsi="Arial"/>
          <w:sz w:val="22"/>
          <w:szCs w:val="22"/>
          <w:rtl w:val="0"/>
          <w:lang w:val="en-US"/>
        </w:rPr>
        <w:t>KO to reactions first</w:t>
      </w:r>
    </w:p>
    <w:p>
      <w:pPr>
        <w:pStyle w:val="Default"/>
        <w:shd w:val="clear" w:color="auto" w:fill="ffffff"/>
        <w:spacing w:line="480" w:lineRule="auto"/>
        <w:jc w:val="both"/>
      </w:pPr>
      <w:r>
        <w:rPr>
          <w:rStyle w:val="None A"/>
          <w:rFonts w:ascii="Arial" w:hAnsi="Arial"/>
          <w:sz w:val="22"/>
          <w:szCs w:val="22"/>
          <w:rtl w:val="0"/>
          <w:lang w:val="en-US"/>
        </w:rPr>
        <w:t xml:space="preserve">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with enzymes that catalyze multiple reactions represented as single nodes.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and overall closeness centralization indeces were calculated using the igraph R package. (citation)</w:t>
      </w:r>
    </w:p>
    <w:p>
      <w:pPr>
        <w:pStyle w:val="Default"/>
        <w:shd w:val="clear" w:color="auto" w:fill="ffffff"/>
        <w:spacing w:line="480" w:lineRule="auto"/>
        <w:jc w:val="both"/>
      </w:pPr>
      <w:r>
        <w:rPr>
          <w:rStyle w:val="None A"/>
          <w:rFonts w:ascii="Arial" w:cs="Arial" w:hAnsi="Arial" w:eastAsia="Arial"/>
          <w:sz w:val="22"/>
          <w:szCs w:val="22"/>
        </w:rPr>
        <w:tab/>
      </w:r>
    </w:p>
    <w:p>
      <w:pPr>
        <w:pStyle w:val="Default"/>
        <w:shd w:val="clear" w:color="auto" w:fill="ffffff"/>
        <w:spacing w:line="480" w:lineRule="auto"/>
        <w:jc w:val="both"/>
      </w:pPr>
      <w:r>
        <w:rPr>
          <w:rStyle w:val="None A"/>
          <w:rFonts w:ascii="Arial" w:hAnsi="Arial"/>
          <w:b w:val="1"/>
          <w:bCs w:val="1"/>
          <w:sz w:val="22"/>
          <w:szCs w:val="22"/>
          <w:rtl w:val="0"/>
          <w:lang w:val="en-US"/>
        </w:rPr>
        <w:t>Metabolite Importance Calculation.</w:t>
      </w:r>
      <w:r>
        <w:rPr>
          <w:rStyle w:val="None A"/>
          <w:rFonts w:ascii="Arial" w:hAnsi="Arial"/>
          <w:sz w:val="22"/>
          <w:szCs w:val="22"/>
          <w:rtl w:val="0"/>
          <w:lang w:val="en-US"/>
        </w:rPr>
        <w:t xml:space="preserve"> 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Calculating overall metabolite importance is accomplished by first calculating the relative importance of compounds as both inputs and outputs of reactions in the network and then subtracting the output score from the input score (Fig. 5a). If a compound is more likely to be produced, the more negative the resulting score will be. To calculate </w:t>
      </w:r>
      <w:r>
        <w:rPr>
          <w:rStyle w:val="None A"/>
          <w:rFonts w:ascii="Arial" w:hAnsi="Arial"/>
          <w:sz w:val="22"/>
          <w:szCs w:val="22"/>
          <w:rtl w:val="0"/>
          <w:lang w:val="en-US"/>
        </w:rPr>
        <w:t>the i</w:t>
      </w:r>
      <w:r>
        <w:rPr>
          <w:rStyle w:val="None A"/>
          <w:rFonts w:ascii="Arial" w:hAnsi="Arial"/>
          <w:sz w:val="22"/>
          <w:szCs w:val="22"/>
          <w:rtl w:val="0"/>
          <w:lang w:val="en-US"/>
        </w:rPr>
        <w:t>mportance</w:t>
      </w:r>
      <w:r>
        <w:rPr>
          <w:rStyle w:val="None A"/>
          <w:rFonts w:ascii="Arial" w:hAnsi="Arial"/>
          <w:sz w:val="22"/>
          <w:szCs w:val="22"/>
          <w:rtl w:val="0"/>
          <w:lang w:val="en-US"/>
        </w:rPr>
        <w:t xml:space="preserve"> of a given metabolite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m</w:t>
      </w:r>
      <w:r>
        <w:rPr>
          <w:rStyle w:val="None A"/>
          <w:rFonts w:ascii="Arial" w:hAnsi="Arial"/>
          <w:sz w:val="22"/>
          <w:szCs w:val="22"/>
          <w:rtl w:val="0"/>
          <w:lang w:val="en-US"/>
        </w:rPr>
        <w:t>), we used rarefied transcript abundances mapped to respective enzyme</w:t>
      </w:r>
      <w:r>
        <w:rPr>
          <w:rStyle w:val="None A"/>
          <w:rFonts w:ascii="Arial" w:hAnsi="Arial"/>
          <w:sz w:val="22"/>
          <w:szCs w:val="22"/>
          <w:rtl w:val="0"/>
          <w:lang w:val="en-US"/>
        </w:rPr>
        <w:t xml:space="preserve"> nodes.  This is r</w:t>
      </w:r>
      <w:r>
        <w:rPr>
          <w:rStyle w:val="None A"/>
          <w:rFonts w:ascii="Arial" w:hAnsi="Arial"/>
          <w:sz w:val="22"/>
          <w:szCs w:val="22"/>
          <w:rtl w:val="0"/>
          <w:lang w:val="en-US"/>
        </w:rPr>
        <w:t xml:space="preserve">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xml:space="preserve"> to designate if an enzyme creates or utilizes </w:t>
      </w:r>
      <w:r>
        <w:rPr>
          <w:rStyle w:val="None A"/>
          <w:rFonts w:ascii="Arial" w:hAnsi="Arial"/>
          <w:b w:val="1"/>
          <w:bCs w:val="1"/>
          <w:sz w:val="22"/>
          <w:szCs w:val="22"/>
          <w:rtl w:val="0"/>
          <w:lang w:val="en-US"/>
        </w:rPr>
        <w:t>m</w:t>
      </w:r>
      <w:r>
        <w:rPr>
          <w:rStyle w:val="None A"/>
          <w:rFonts w:ascii="Arial" w:hAnsi="Arial"/>
          <w:sz w:val="22"/>
          <w:szCs w:val="22"/>
          <w:rtl w:val="0"/>
          <w:lang w:val="en-US"/>
        </w:rPr>
        <w:t>.</w:t>
      </w:r>
    </w:p>
    <w:p>
      <w:pPr>
        <w:pStyle w:val="Default"/>
        <w:shd w:val="clear" w:color="auto" w:fill="ffffff"/>
        <w:spacing w:line="480" w:lineRule="auto"/>
        <w:rPr>
          <w:rStyle w:val="None A"/>
          <w:sz w:val="22"/>
          <w:szCs w:val="22"/>
        </w:rPr>
      </w:pPr>
      <w:r>
        <w:tab/>
      </w:r>
      <w:r>
        <w:rPr>
          <w:rStyle w:val="None A"/>
          <w:rFonts w:ascii="Arial" w:hAnsi="Arial"/>
          <w:sz w:val="22"/>
          <w:szCs w:val="22"/>
          <w:rtl w:val="0"/>
          <w:lang w:val="en-US"/>
        </w:rPr>
        <w:t>The f</w:t>
      </w:r>
      <w:r>
        <w:rPr>
          <w:rStyle w:val="None A"/>
          <w:rFonts w:ascii="Arial" w:hAnsi="Arial"/>
          <w:sz w:val="22"/>
          <w:szCs w:val="22"/>
          <w:rtl w:val="0"/>
          <w:lang w:val="en-US"/>
        </w:rPr>
        <w:t xml:space="preserve">irst </w:t>
      </w:r>
      <w:r>
        <w:rPr>
          <w:rStyle w:val="None A"/>
          <w:rFonts w:ascii="Arial" w:hAnsi="Arial"/>
          <w:sz w:val="22"/>
          <w:szCs w:val="22"/>
          <w:rtl w:val="0"/>
          <w:lang w:val="en-US"/>
        </w:rPr>
        <w:t xml:space="preserve">step is to calculate </w:t>
      </w:r>
      <w:r>
        <w:rPr>
          <w:rStyle w:val="None A"/>
          <w:rFonts w:ascii="Arial" w:hAnsi="Arial"/>
          <w:sz w:val="22"/>
          <w:szCs w:val="22"/>
          <w:rtl w:val="0"/>
          <w:lang w:val="en-US"/>
        </w:rPr>
        <w:t xml:space="preserve">the average expression of enzymes for reactions that either create a given metabolite (i) and consume that metabolite (ii). </w:t>
      </w:r>
      <w:r>
        <w:rPr>
          <w:rStyle w:val="None A"/>
          <w:rFonts w:ascii="Arial" w:hAnsi="Arial"/>
          <w:sz w:val="22"/>
          <w:szCs w:val="22"/>
          <w:rtl w:val="0"/>
          <w:lang w:val="en-US"/>
        </w:rPr>
        <w:t>For each direction, the s</w:t>
      </w:r>
      <w:r>
        <w:rPr>
          <w:rStyle w:val="None A"/>
          <w:rFonts w:ascii="Arial" w:hAnsi="Arial"/>
          <w:sz w:val="22"/>
          <w:szCs w:val="22"/>
          <w:rtl w:val="0"/>
          <w:lang w:val="en-US"/>
        </w:rPr>
        <w:t>um of transcripts for enzymes connecting to a metabolite are divided by the number of</w:t>
      </w:r>
      <w:r>
        <w:rPr>
          <w:rStyle w:val="None A"/>
          <w:rFonts w:ascii="Arial" w:hAnsi="Arial"/>
          <w:sz w:val="22"/>
          <w:szCs w:val="22"/>
          <w:rtl w:val="0"/>
          <w:lang w:val="en-US"/>
        </w:rPr>
        <w:t xml:space="preserve"> contributing</w:t>
      </w:r>
      <w:r>
        <w:rPr>
          <w:rStyle w:val="None A"/>
          <w:rFonts w:ascii="Arial" w:hAnsi="Arial"/>
          <w:sz w:val="22"/>
          <w:szCs w:val="22"/>
          <w:rtl w:val="0"/>
          <w:lang w:val="en-US"/>
        </w:rPr>
        <w:t xml:space="preserve"> </w:t>
      </w:r>
      <w:r>
        <w:rPr>
          <w:rStyle w:val="None A"/>
          <w:rFonts w:ascii="Arial" w:hAnsi="Arial"/>
          <w:sz w:val="22"/>
          <w:szCs w:val="22"/>
          <w:rtl w:val="0"/>
          <w:lang w:val="en-US"/>
        </w:rPr>
        <w:t xml:space="preserve">edges </w:t>
      </w:r>
      <w:bookmarkStart w:name="MathJaxElement43Frame" w:id="1"/>
      <w:r>
        <w:rPr>
          <w:rStyle w:val="None A"/>
          <w:rFonts w:ascii="Arial" w:hAnsi="Arial"/>
          <w:sz w:val="22"/>
          <w:szCs w:val="22"/>
          <w:rtl w:val="0"/>
          <w:lang w:val="en-US"/>
        </w:rPr>
        <w:t>(</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w:t>
      </w:r>
      <w:bookmarkEnd w:id="1"/>
      <w:r>
        <w:rPr>
          <w:rStyle w:val="None A"/>
          <w:rFonts w:ascii="Arial" w:hAnsi="Arial"/>
          <w:sz w:val="22"/>
          <w:szCs w:val="22"/>
          <w:rtl w:val="0"/>
          <w:lang w:val="en-US"/>
        </w:rPr>
        <w:t xml:space="preserve"> </w:t>
      </w:r>
      <w:r>
        <w:rPr>
          <w:rStyle w:val="None A"/>
          <w:rFonts w:ascii="Arial" w:hAnsi="Arial"/>
          <w:sz w:val="22"/>
          <w:szCs w:val="22"/>
          <w:rtl w:val="0"/>
          <w:lang w:val="en-US"/>
        </w:rPr>
        <w:t>to normalize for highly connected metabolite nodes:</w:t>
      </w:r>
    </w:p>
    <w:p>
      <w:pPr>
        <w:pStyle w:val="Default"/>
        <w:shd w:val="clear" w:color="auto" w:fill="ffffff"/>
        <w:spacing w:line="480" w:lineRule="auto"/>
        <w:jc w:val="center"/>
        <w:rPr>
          <w:sz w:val="22"/>
          <w:szCs w:val="22"/>
        </w:rPr>
      </w:pPr>
      <w:r>
        <w:rPr>
          <w:rStyle w:val="None A"/>
          <w:rFonts w:ascii="Arial" w:hAnsi="Arial"/>
          <w:sz w:val="22"/>
          <w:szCs w:val="22"/>
          <w:rtl w:val="0"/>
          <w:lang w:val="en-US"/>
        </w:rPr>
        <w:t xml:space="preserve">(i)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None A"/>
          <w:rFonts w:ascii="Arial" w:hAnsi="Arial"/>
          <w:sz w:val="22"/>
          <w:szCs w:val="22"/>
          <w:rtl w:val="0"/>
          <w:lang w:val="en-US"/>
        </w:rPr>
        <w:t xml:space="preserve"> = </w:t>
      </w:r>
      <w:r>
        <w:rPr>
          <w:rStyle w:val="None A"/>
          <w:sz w:val="28"/>
          <w:szCs w:val="28"/>
          <w:rtl w:val="0"/>
          <w:lang w:val="en-US"/>
        </w:rPr>
        <w:t>Σ</w:t>
      </w:r>
      <w:r>
        <w:rPr>
          <w:rStyle w:val="None A"/>
          <w:rFonts w:ascii="Arial" w:hAnsi="Arial"/>
          <w:sz w:val="22"/>
          <w:szCs w:val="22"/>
          <w:rtl w:val="0"/>
          <w:lang w:val="en-US"/>
        </w:rPr>
        <w:t>t</w:t>
      </w:r>
      <w:r>
        <w:rPr>
          <w:rStyle w:val="None A"/>
          <w:rFonts w:ascii="Arial" w:hAnsi="Arial"/>
          <w:sz w:val="22"/>
          <w:szCs w:val="22"/>
          <w:vertAlign w:val="subscript"/>
          <w:rtl w:val="0"/>
          <w:lang w:val="en-US"/>
        </w:rPr>
        <w:t>i</w:t>
      </w:r>
      <w:r>
        <w:rPr>
          <w:rStyle w:val="None A"/>
          <w:rFonts w:ascii="Arial" w:hAnsi="Arial"/>
          <w:sz w:val="22"/>
          <w:szCs w:val="22"/>
          <w:rtl w:val="0"/>
          <w:lang w:val="en-US"/>
        </w:rPr>
        <w:t xml:space="preserve"> </w:t>
      </w:r>
      <w:r>
        <w:rPr>
          <w:rStyle w:val="None A"/>
          <w:rFonts w:ascii="Arial" w:hAnsi="Arial" w:hint="default"/>
          <w:caps w:val="0"/>
          <w:smallCaps w:val="0"/>
          <w:color w:val="222222"/>
          <w:spacing w:val="0"/>
          <w:sz w:val="22"/>
          <w:szCs w:val="22"/>
          <w:u w:color="222222"/>
          <w:rtl w:val="0"/>
          <w:lang w:val="en-US"/>
        </w:rPr>
        <w:t>÷</w:t>
      </w:r>
      <w:r>
        <w:rPr>
          <w:rStyle w:val="None A"/>
          <w:rFonts w:ascii="Arial" w:hAnsi="Arial"/>
          <w:sz w:val="22"/>
          <w:szCs w:val="22"/>
          <w:rtl w:val="0"/>
          <w:lang w:val="en-US"/>
        </w:rPr>
        <w:t xml:space="preserve"> </w:t>
      </w:r>
      <w:r>
        <w:rPr>
          <w:rStyle w:val="None A"/>
          <w:rFonts w:ascii="LM Roman Unslanted 10" w:cs="LM Roman Unslanted 10" w:hAnsi="LM Roman Unslanted 10" w:eastAsia="LM Roman Unslanted 10"/>
          <w:i w:val="1"/>
          <w:iCs w:val="1"/>
          <w:sz w:val="22"/>
          <w:szCs w:val="22"/>
          <w:rtl w:val="0"/>
          <w:lang w:val="en-US"/>
        </w:rPr>
        <w:t>n</w:t>
      </w:r>
      <w:r>
        <w:rPr>
          <w:rStyle w:val="None A"/>
          <w:rFonts w:ascii="Arial" w:hAnsi="Arial"/>
          <w:sz w:val="22"/>
          <w:szCs w:val="22"/>
          <w:rtl w:val="0"/>
          <w:lang w:val="en-US"/>
        </w:rPr>
        <w:t>(</w:t>
      </w:r>
      <w:r>
        <w:rPr>
          <w:rStyle w:val="None A"/>
          <w:rFonts w:ascii="Arial" w:hAnsi="Arial"/>
          <w:sz w:val="22"/>
          <w:szCs w:val="22"/>
          <w:rtl w:val="0"/>
          <w:lang w:val="en-US"/>
        </w:rPr>
        <w:t>e</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w:t>
        <w:tab/>
        <w:tab/>
        <w:tab/>
        <w:t xml:space="preserve">(ii)  </w:t>
      </w:r>
      <w:r>
        <w:rPr>
          <w:rStyle w:val="None A"/>
          <w:rFonts w:ascii="LM Roman Unslanted 10" w:cs="LM Roman Unslanted 10" w:hAnsi="LM Roman Unslanted 10" w:eastAsia="LM Roman Unslanted 10"/>
          <w:i w:val="1"/>
          <w:iCs w:val="1"/>
          <w:position w:val="0"/>
          <w:sz w:val="22"/>
          <w:szCs w:val="22"/>
          <w:vertAlign w:val="baseline"/>
          <w:rtl w:val="0"/>
          <w:lang w:val="en-US"/>
        </w:rPr>
        <w:t>µ</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 xml:space="preserve"> = </w:t>
      </w:r>
      <w:r>
        <w:rPr>
          <w:rStyle w:val="None A"/>
          <w:position w:val="0"/>
          <w:sz w:val="28"/>
          <w:szCs w:val="28"/>
          <w:vertAlign w:val="baseline"/>
          <w:rtl w:val="0"/>
          <w:lang w:val="en-US"/>
        </w:rPr>
        <w:t>Σ</w:t>
      </w:r>
      <w:r>
        <w:rPr>
          <w:rStyle w:val="None A"/>
          <w:rFonts w:ascii="Arial" w:hAnsi="Arial"/>
          <w:position w:val="0"/>
          <w:sz w:val="22"/>
          <w:szCs w:val="22"/>
          <w:vertAlign w:val="baseline"/>
          <w:rtl w:val="0"/>
          <w:lang w:val="en-US"/>
        </w:rPr>
        <w:t>t</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 xml:space="preserve"> </w:t>
      </w:r>
      <w:r>
        <w:rPr>
          <w:rStyle w:val="None A"/>
          <w:rFonts w:ascii="Arial" w:hAnsi="Arial" w:hint="default"/>
          <w:caps w:val="0"/>
          <w:smallCaps w:val="0"/>
          <w:color w:val="222222"/>
          <w:spacing w:val="0"/>
          <w:position w:val="0"/>
          <w:sz w:val="22"/>
          <w:szCs w:val="22"/>
          <w:u w:color="222222"/>
          <w:vertAlign w:val="baseline"/>
          <w:rtl w:val="0"/>
          <w:lang w:val="en-US"/>
        </w:rPr>
        <w:t>÷</w:t>
      </w:r>
      <w:r>
        <w:rPr>
          <w:rStyle w:val="None A"/>
          <w:rFonts w:ascii="Arial" w:hAnsi="Arial"/>
          <w:position w:val="0"/>
          <w:sz w:val="22"/>
          <w:szCs w:val="22"/>
          <w:vertAlign w:val="baseline"/>
          <w:rtl w:val="0"/>
          <w:lang w:val="en-US"/>
        </w:rPr>
        <w:t xml:space="preserve"> </w:t>
      </w:r>
      <w:r>
        <w:rPr>
          <w:rStyle w:val="None A"/>
          <w:rFonts w:ascii="LM Roman Unslanted 10" w:cs="LM Roman Unslanted 10" w:hAnsi="LM Roman Unslanted 10" w:eastAsia="LM Roman Unslanted 10"/>
          <w:i w:val="1"/>
          <w:iCs w:val="1"/>
          <w:position w:val="0"/>
          <w:sz w:val="22"/>
          <w:szCs w:val="22"/>
          <w:vertAlign w:val="baseline"/>
          <w:rtl w:val="0"/>
          <w:lang w:val="en-US"/>
        </w:rPr>
        <w:t>n</w:t>
      </w:r>
      <w:r>
        <w:rPr>
          <w:rStyle w:val="None A"/>
          <w:rFonts w:ascii="Arial" w:hAnsi="Arial"/>
          <w:position w:val="0"/>
          <w:sz w:val="22"/>
          <w:szCs w:val="22"/>
          <w:vertAlign w:val="baseline"/>
          <w:rtl w:val="0"/>
          <w:lang w:val="en-US"/>
        </w:rPr>
        <w:t>(</w:t>
      </w:r>
      <w:r>
        <w:rPr>
          <w:rStyle w:val="None A"/>
          <w:rFonts w:ascii="Arial" w:hAnsi="Arial"/>
          <w:position w:val="0"/>
          <w:sz w:val="22"/>
          <w:szCs w:val="22"/>
          <w:vertAlign w:val="baseline"/>
          <w:rtl w:val="0"/>
          <w:lang w:val="en-US"/>
        </w:rPr>
        <w:t>e</w:t>
      </w:r>
      <w:r>
        <w:rPr>
          <w:rStyle w:val="None A"/>
          <w:rFonts w:ascii="Arial" w:hAnsi="Arial"/>
          <w:sz w:val="22"/>
          <w:szCs w:val="22"/>
          <w:vertAlign w:val="subscript"/>
          <w:rtl w:val="0"/>
          <w:lang w:val="en-US"/>
        </w:rPr>
        <w:t>i</w:t>
      </w:r>
      <w:r>
        <w:rPr>
          <w:rStyle w:val="None A"/>
          <w:rFonts w:ascii="Arial" w:hAnsi="Arial"/>
          <w:position w:val="0"/>
          <w:sz w:val="22"/>
          <w:szCs w:val="22"/>
          <w:vertAlign w:val="baseline"/>
          <w:rtl w:val="0"/>
          <w:lang w:val="en-US"/>
        </w:rPr>
        <w:t>)</w:t>
      </w:r>
    </w:p>
    <w:p>
      <w:pPr>
        <w:pStyle w:val="Default"/>
        <w:shd w:val="clear" w:color="auto" w:fill="ffffff"/>
        <w:spacing w:line="480" w:lineRule="auto"/>
        <w:rPr>
          <w:sz w:val="22"/>
          <w:szCs w:val="22"/>
        </w:rPr>
      </w:pPr>
      <w:r>
        <w:rPr>
          <w:rStyle w:val="None A"/>
          <w:rFonts w:ascii="Arial" w:hAnsi="Arial"/>
          <w:position w:val="0"/>
          <w:sz w:val="22"/>
          <w:szCs w:val="22"/>
          <w:vertAlign w:val="baseline"/>
          <w:rtl w:val="0"/>
          <w:lang w:val="en-US"/>
        </w:rPr>
        <w:t>Next the raw metabolite importance score is calculated by subtracting the creation value from the consumption value to weight for metabolites that are likely acquired exogenously:</w:t>
      </w:r>
    </w:p>
    <w:p>
      <w:pPr>
        <w:pStyle w:val="Default"/>
        <w:shd w:val="clear" w:color="auto" w:fill="ffffff"/>
        <w:spacing w:line="480" w:lineRule="auto"/>
        <w:jc w:val="center"/>
        <w:rPr>
          <w:sz w:val="22"/>
          <w:szCs w:val="22"/>
        </w:rPr>
      </w:pPr>
      <w:r>
        <w:rPr>
          <w:rStyle w:val="None A"/>
          <w:rFonts w:ascii="Arial" w:hAnsi="Arial"/>
          <w:sz w:val="22"/>
          <w:szCs w:val="22"/>
          <w:rtl w:val="0"/>
          <w:lang w:val="en-US"/>
        </w:rPr>
        <w:t xml:space="preserve">(iii)  </w:t>
      </w:r>
      <w:r>
        <w:rPr>
          <w:rStyle w:val="None A"/>
          <w:rFonts w:ascii="Arial" w:hAnsi="Arial"/>
          <w:sz w:val="22"/>
          <w:szCs w:val="22"/>
          <w:rtl w:val="0"/>
          <w:lang w:val="en-US"/>
        </w:rPr>
        <w:t>m</w:t>
      </w:r>
      <w:r>
        <w:rPr>
          <w:rStyle w:val="None A"/>
          <w:rFonts w:ascii="Arial" w:hAnsi="Arial"/>
          <w:sz w:val="22"/>
          <w:szCs w:val="22"/>
          <w:vertAlign w:val="subscript"/>
          <w:rtl w:val="0"/>
          <w:lang w:val="en-US"/>
        </w:rPr>
        <w:t>i</w:t>
      </w:r>
      <w:r>
        <w:rPr>
          <w:rStyle w:val="None A"/>
          <w:rFonts w:ascii="Arial" w:hAnsi="Arial"/>
          <w:sz w:val="22"/>
          <w:szCs w:val="22"/>
          <w:rtl w:val="0"/>
          <w:lang w:val="en-US"/>
        </w:rPr>
        <w:t xml:space="preserve"> = </w:t>
      </w:r>
      <w:bookmarkStart w:name="MathJaxElement43Frame" w:id="2"/>
      <w:r>
        <w:rPr>
          <w:rStyle w:val="None A"/>
          <w:rFonts w:ascii="Arial" w:hAnsi="Arial"/>
          <w:sz w:val="22"/>
          <w:szCs w:val="22"/>
          <w:vertAlign w:val="superscript"/>
          <w:rtl w:val="0"/>
          <w:lang w:val="en-US"/>
        </w:rPr>
        <w:t>2</w:t>
      </w:r>
      <w:r>
        <w:rPr>
          <w:rStyle w:val="None A"/>
          <w:rFonts w:ascii="Arial" w:hAnsi="Arial" w:hint="default"/>
          <w:sz w:val="22"/>
          <w:szCs w:val="22"/>
          <w:rtl w:val="0"/>
          <w:lang w:val="en-US"/>
        </w:rPr>
        <w:t>√</w:t>
      </w:r>
      <w:r>
        <w:rPr>
          <w:rStyle w:val="None A"/>
          <w:rFonts w:ascii="Arial" w:hAnsi="Arial"/>
          <w:sz w:val="22"/>
          <w:szCs w:val="22"/>
          <w:rtl w:val="0"/>
          <w:lang w:val="en-US"/>
        </w:rPr>
        <w:t>(</w:t>
      </w:r>
      <w:bookmarkEnd w:id="2"/>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None A"/>
          <w:rFonts w:ascii="Arial" w:hAnsi="Arial" w:hint="default"/>
          <w:position w:val="0"/>
          <w:sz w:val="22"/>
          <w:szCs w:val="22"/>
          <w:vertAlign w:val="baseline"/>
          <w:rtl w:val="0"/>
          <w:lang w:val="en-US"/>
        </w:rPr>
        <w:t xml:space="preserve"> – </w:t>
      </w:r>
      <w:r>
        <w:rPr>
          <w:rStyle w:val="None A"/>
          <w:rFonts w:ascii="LM Roman Unslanted 10" w:cs="LM Roman Unslanted 10" w:hAnsi="LM Roman Unslanted 10" w:eastAsia="LM Roman Unslanted 10"/>
          <w:i w:val="1"/>
          <w:iCs w:val="1"/>
          <w:position w:val="0"/>
          <w:sz w:val="22"/>
          <w:szCs w:val="22"/>
          <w:vertAlign w:val="baseline"/>
          <w:rtl w:val="0"/>
          <w:lang w:val="en-US"/>
        </w:rPr>
        <w:t>µ</w:t>
      </w:r>
      <w:r>
        <w:rPr>
          <w:rStyle w:val="None A"/>
          <w:rFonts w:ascii="Arial" w:hAnsi="Arial"/>
          <w:sz w:val="22"/>
          <w:szCs w:val="22"/>
          <w:vertAlign w:val="subscript"/>
          <w:rtl w:val="0"/>
          <w:lang w:val="en-US"/>
        </w:rPr>
        <w:t>o</w:t>
      </w:r>
      <w:bookmarkStart w:name="MathJaxElement43Frame" w:id="3"/>
      <w:r>
        <w:rPr>
          <w:rStyle w:val="None A"/>
          <w:rFonts w:ascii="Arial" w:hAnsi="Arial"/>
          <w:sz w:val="22"/>
          <w:szCs w:val="22"/>
          <w:rtl w:val="0"/>
          <w:lang w:val="en-US"/>
        </w:rPr>
        <w:t>)</w:t>
      </w:r>
      <w:bookmarkEnd w:id="3"/>
    </w:p>
    <w:p>
      <w:pPr>
        <w:pStyle w:val="Default"/>
        <w:shd w:val="clear" w:color="auto" w:fill="ffffff"/>
        <w:spacing w:line="480" w:lineRule="auto"/>
      </w:pPr>
      <w:r>
        <w:rPr>
          <w:rStyle w:val="None A"/>
          <w:rFonts w:ascii="Arial" w:hAnsi="Arial"/>
          <w:position w:val="0"/>
          <w:sz w:val="22"/>
          <w:szCs w:val="22"/>
          <w:vertAlign w:val="baseline"/>
          <w:rtl w:val="0"/>
          <w:lang w:val="en-US"/>
        </w:rPr>
        <w:t>T</w:t>
      </w:r>
      <w:bookmarkStart w:name="MathJaxElement43Frame" w:id="4"/>
      <w:r>
        <w:rPr>
          <w:rStyle w:val="None A"/>
          <w:rFonts w:ascii="Arial" w:hAnsi="Arial"/>
          <w:position w:val="0"/>
          <w:sz w:val="22"/>
          <w:szCs w:val="22"/>
          <w:vertAlign w:val="baseline"/>
          <w:rtl w:val="0"/>
          <w:lang w:val="en-US"/>
        </w:rPr>
        <w:t xml:space="preserve">he </w:t>
      </w:r>
      <w:r>
        <w:rPr>
          <w:rStyle w:val="None A"/>
          <w:rFonts w:ascii="Arial" w:hAnsi="Arial"/>
          <w:position w:val="0"/>
          <w:sz w:val="22"/>
          <w:szCs w:val="22"/>
          <w:vertAlign w:val="baseline"/>
          <w:rtl w:val="0"/>
          <w:lang w:val="en-US"/>
        </w:rPr>
        <w:t>difference is Log</w:t>
      </w:r>
      <w:r>
        <w:rPr>
          <w:rStyle w:val="None A"/>
          <w:rFonts w:ascii="Arial" w:hAnsi="Arial"/>
          <w:position w:val="0"/>
          <w:sz w:val="22"/>
          <w:szCs w:val="22"/>
          <w:vertAlign w:val="subscript"/>
          <w:rtl w:val="0"/>
          <w:lang w:val="en-US"/>
        </w:rPr>
        <w:t>2</w:t>
      </w:r>
      <w:r>
        <w:rPr>
          <w:rStyle w:val="None A"/>
          <w:rFonts w:ascii="Arial" w:hAnsi="Arial"/>
          <w:position w:val="0"/>
          <w:sz w:val="22"/>
          <w:szCs w:val="22"/>
          <w:vertAlign w:val="baseline"/>
          <w:rtl w:val="0"/>
          <w:lang w:val="en-US"/>
        </w:rPr>
        <w:t xml:space="preserve"> transformed</w:t>
      </w:r>
      <w:r>
        <w:rPr>
          <w:rStyle w:val="None A"/>
          <w:rFonts w:ascii="Arial" w:hAnsi="Arial"/>
          <w:position w:val="0"/>
          <w:sz w:val="22"/>
          <w:szCs w:val="22"/>
          <w:vertAlign w:val="baseline"/>
          <w:rtl w:val="0"/>
          <w:lang w:val="en-US"/>
        </w:rPr>
        <w:t xml:space="preserve"> for comparability between </w:t>
      </w:r>
      <w:r>
        <w:rPr>
          <w:rStyle w:val="None A"/>
          <w:rFonts w:ascii="Arial" w:hAnsi="Arial"/>
          <w:position w:val="0"/>
          <w:sz w:val="22"/>
          <w:szCs w:val="22"/>
          <w:vertAlign w:val="baseline"/>
          <w:rtl w:val="0"/>
          <w:lang w:val="en-US"/>
        </w:rPr>
        <w:t xml:space="preserve">scores of </w:t>
      </w:r>
      <w:r>
        <w:rPr>
          <w:rStyle w:val="None A"/>
          <w:rFonts w:ascii="Arial" w:hAnsi="Arial"/>
          <w:position w:val="0"/>
          <w:sz w:val="22"/>
          <w:szCs w:val="22"/>
          <w:vertAlign w:val="baseline"/>
          <w:rtl w:val="0"/>
          <w:lang w:val="en-US"/>
        </w:rPr>
        <w:t>individual metabolites</w:t>
      </w:r>
      <w:r>
        <w:rPr>
          <w:rStyle w:val="None A"/>
          <w:rFonts w:ascii="Arial" w:hAnsi="Arial"/>
          <w:position w:val="0"/>
          <w:sz w:val="22"/>
          <w:szCs w:val="22"/>
          <w:vertAlign w:val="baseline"/>
          <w:rtl w:val="0"/>
          <w:lang w:val="en-US"/>
        </w:rPr>
        <w:t xml:space="preserve">. </w:t>
      </w:r>
      <w:r>
        <w:rPr>
          <w:rStyle w:val="None A"/>
          <w:rFonts w:ascii="Arial" w:hAnsi="Arial"/>
          <w:position w:val="0"/>
          <w:sz w:val="22"/>
          <w:szCs w:val="22"/>
          <w:vertAlign w:val="baseline"/>
          <w:rtl w:val="0"/>
          <w:lang w:val="en-US"/>
        </w:rPr>
        <w:t xml:space="preserve">This results in a final </w:t>
      </w:r>
      <w:r>
        <w:rPr>
          <w:rStyle w:val="None A"/>
          <w:rFonts w:ascii="Arial" w:hAnsi="Arial"/>
          <w:position w:val="0"/>
          <w:sz w:val="22"/>
          <w:szCs w:val="22"/>
          <w:vertAlign w:val="baseline"/>
          <w:rtl w:val="0"/>
          <w:lang w:val="en-US"/>
        </w:rPr>
        <w:t>value</w:t>
      </w:r>
      <w:r>
        <w:rPr>
          <w:rStyle w:val="None A"/>
          <w:rFonts w:ascii="Arial" w:hAnsi="Arial"/>
          <w:position w:val="0"/>
          <w:sz w:val="22"/>
          <w:szCs w:val="22"/>
          <w:vertAlign w:val="baseline"/>
          <w:rtl w:val="0"/>
          <w:lang w:val="en-US"/>
        </w:rPr>
        <w:t xml:space="preserve"> that reflects the likelihood a metabolite is acquired from the environment.</w:t>
      </w:r>
      <w:r>
        <w:rPr>
          <w:rStyle w:val="None A"/>
          <w:rFonts w:ascii="Arial" w:hAnsi="Arial"/>
          <w:position w:val="0"/>
          <w:sz w:val="22"/>
          <w:szCs w:val="22"/>
          <w:vertAlign w:val="baseline"/>
          <w:rtl w:val="0"/>
          <w:lang w:val="en-US"/>
        </w:rPr>
        <w:t xml:space="preserve"> </w:t>
      </w:r>
      <w:r>
        <w:rPr>
          <w:rStyle w:val="None A"/>
          <w:rFonts w:ascii="Arial" w:hAnsi="Arial"/>
          <w:sz w:val="22"/>
          <w:szCs w:val="22"/>
          <w:rtl w:val="0"/>
          <w:lang w:val="en-US"/>
        </w:rPr>
        <w:t>Untransformed scores that already equal to 0 are ignored</w:t>
      </w:r>
      <w:r>
        <w:rPr>
          <w:rStyle w:val="None A"/>
          <w:rFonts w:ascii="Arial" w:hAnsi="Arial"/>
          <w:sz w:val="22"/>
          <w:szCs w:val="22"/>
          <w:rtl w:val="0"/>
          <w:lang w:val="en-US"/>
        </w:rPr>
        <w:t xml:space="preserve"> and negative values are accounted for </w:t>
      </w:r>
      <w:r>
        <w:rPr>
          <w:rStyle w:val="None A"/>
          <w:rFonts w:ascii="Arial" w:hAnsi="Arial"/>
          <w:sz w:val="22"/>
          <w:szCs w:val="22"/>
          <w:rtl w:val="0"/>
          <w:lang w:val="en-US"/>
        </w:rPr>
        <w:t>by</w:t>
      </w:r>
      <w:r>
        <w:rPr>
          <w:rStyle w:val="None A"/>
          <w:rFonts w:ascii="Arial" w:hAnsi="Arial"/>
          <w:sz w:val="22"/>
          <w:szCs w:val="22"/>
          <w:rtl w:val="0"/>
          <w:lang w:val="en-US"/>
        </w:rPr>
        <w:t xml:space="preserve"> transformation </w:t>
      </w:r>
      <w:r>
        <w:rPr>
          <w:rStyle w:val="None A"/>
          <w:rFonts w:ascii="Arial" w:hAnsi="Arial"/>
          <w:sz w:val="22"/>
          <w:szCs w:val="22"/>
          <w:rtl w:val="0"/>
          <w:lang w:val="en-US"/>
        </w:rPr>
        <w:t>of the</w:t>
      </w:r>
      <w:r>
        <w:rPr>
          <w:rStyle w:val="None A"/>
          <w:rFonts w:ascii="Arial" w:hAnsi="Arial"/>
          <w:sz w:val="22"/>
          <w:szCs w:val="22"/>
          <w:rtl w:val="0"/>
          <w:lang w:val="en-US"/>
        </w:rPr>
        <w:t xml:space="preserve"> absolute value</w:t>
      </w:r>
      <w:r>
        <w:rPr>
          <w:rStyle w:val="None A"/>
          <w:rFonts w:ascii="Arial" w:hAnsi="Arial"/>
          <w:sz w:val="22"/>
          <w:szCs w:val="22"/>
          <w:rtl w:val="0"/>
          <w:lang w:val="en-US"/>
        </w:rPr>
        <w:t xml:space="preserve"> then multiplication by -1. </w:t>
      </w:r>
      <w:r>
        <w:rPr>
          <w:rStyle w:val="None A"/>
          <w:rFonts w:ascii="Arial" w:hAnsi="Arial"/>
          <w:sz w:val="22"/>
          <w:szCs w:val="22"/>
          <w:rtl w:val="0"/>
          <w:lang w:val="en-US"/>
        </w:rPr>
        <w:t xml:space="preserve">These methods have been written into a single python </w:t>
      </w:r>
      <w:r>
        <w:rPr>
          <w:rStyle w:val="None A"/>
          <w:rFonts w:ascii="Arial" w:hAnsi="Arial"/>
          <w:sz w:val="22"/>
          <w:szCs w:val="22"/>
          <w:rtl w:val="0"/>
          <w:lang w:val="en-US"/>
        </w:rPr>
        <w:t>workflow</w:t>
      </w:r>
      <w:r>
        <w:rPr>
          <w:rStyle w:val="None A"/>
          <w:rFonts w:ascii="Arial" w:hAnsi="Arial"/>
          <w:sz w:val="22"/>
          <w:szCs w:val="22"/>
          <w:rtl w:val="0"/>
          <w:lang w:val="en-US"/>
        </w:rPr>
        <w:t xml:space="preserve">,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bookmarkStart w:name="MathJaxElement43Frame" w:id="5"/>
      <w:r>
        <w:rPr>
          <w:rStyle w:val="None A"/>
          <w:rFonts w:ascii="Arial" w:hAnsi="Arial"/>
          <w:b w:val="1"/>
          <w:bCs w:val="1"/>
          <w:sz w:val="22"/>
          <w:szCs w:val="22"/>
          <w:rtl w:val="0"/>
          <w:lang w:val="en-US"/>
        </w:rPr>
        <w:t>Transcriptome Randomization and Probability Distribution Comparison.</w:t>
      </w:r>
      <w:bookmarkEnd w:id="5"/>
      <w:bookmarkStart w:name="MathJaxElement43Frame" w:id="6"/>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appl</w:t>
      </w:r>
      <w:r>
        <w:rPr>
          <w:rStyle w:val="None A"/>
          <w:rFonts w:ascii="Arial" w:hAnsi="Arial"/>
          <w:sz w:val="22"/>
          <w:szCs w:val="22"/>
          <w:rtl w:val="0"/>
          <w:lang w:val="en-US"/>
        </w:rPr>
        <w:t>ied</w:t>
      </w:r>
      <w:r>
        <w:rPr>
          <w:rStyle w:val="None A"/>
          <w:rFonts w:ascii="Arial" w:hAnsi="Arial"/>
          <w:sz w:val="22"/>
          <w:szCs w:val="22"/>
          <w:rtl w:val="0"/>
          <w:lang w:val="en-US"/>
        </w:rPr>
        <w:t xml:space="preserve"> a Monte-Carlo </w:t>
      </w:r>
      <w:r>
        <w:rPr>
          <w:rStyle w:val="None A"/>
          <w:rFonts w:ascii="Arial" w:hAnsi="Arial"/>
          <w:sz w:val="22"/>
          <w:szCs w:val="22"/>
          <w:rtl w:val="0"/>
          <w:lang w:val="en-US"/>
        </w:rPr>
        <w:t xml:space="preserve">style </w:t>
      </w:r>
      <w:r>
        <w:rPr>
          <w:rStyle w:val="None A"/>
          <w:rFonts w:ascii="Arial" w:hAnsi="Arial"/>
          <w:sz w:val="22"/>
          <w:szCs w:val="22"/>
          <w:rtl w:val="0"/>
          <w:lang w:val="en-US"/>
        </w:rPr>
        <w:t xml:space="preserve">simulation to distinguish calculated metabolite importances due to </w:t>
      </w:r>
      <w:r>
        <w:rPr>
          <w:rStyle w:val="None A"/>
          <w:rFonts w:ascii="Arial" w:hAnsi="Arial"/>
          <w:sz w:val="22"/>
          <w:szCs w:val="22"/>
          <w:rtl w:val="0"/>
          <w:lang w:val="en-US"/>
        </w:rPr>
        <w:t xml:space="preserve">distinct </w:t>
      </w:r>
      <w:r>
        <w:rPr>
          <w:rStyle w:val="None A"/>
          <w:rFonts w:ascii="Arial" w:hAnsi="Arial"/>
          <w:sz w:val="22"/>
          <w:szCs w:val="22"/>
          <w:rtl w:val="0"/>
          <w:lang w:val="en-US"/>
        </w:rPr>
        <w:t xml:space="preserve">transcriptional </w:t>
      </w:r>
      <w:r>
        <w:rPr>
          <w:rStyle w:val="None A"/>
          <w:rFonts w:ascii="Arial" w:hAnsi="Arial"/>
          <w:sz w:val="22"/>
          <w:szCs w:val="22"/>
          <w:rtl w:val="0"/>
          <w:lang w:val="en-US"/>
        </w:rPr>
        <w:t>patterns for the environment measured</w:t>
      </w:r>
      <w:r>
        <w:rPr>
          <w:rStyle w:val="None A"/>
          <w:rFonts w:ascii="Arial" w:hAnsi="Arial"/>
          <w:sz w:val="22"/>
          <w:szCs w:val="22"/>
          <w:rtl w:val="0"/>
          <w:lang w:val="en-US"/>
        </w:rPr>
        <w:t xml:space="preserve"> from </w:t>
      </w:r>
      <w:r>
        <w:rPr>
          <w:rStyle w:val="None A"/>
          <w:rFonts w:ascii="Arial" w:hAnsi="Arial"/>
          <w:sz w:val="22"/>
          <w:szCs w:val="22"/>
          <w:rtl w:val="0"/>
          <w:lang w:val="en-US"/>
        </w:rPr>
        <w:t>those metabolites that are constitutively important</w:t>
      </w:r>
      <w:r>
        <w:rPr>
          <w:rStyle w:val="None A"/>
          <w:rFonts w:ascii="Arial" w:hAnsi="Arial"/>
          <w:sz w:val="22"/>
          <w:szCs w:val="22"/>
          <w:rtl w:val="0"/>
          <w:lang w:val="en-US"/>
        </w:rPr>
        <w:t>. With this in mind we took an iterative approach of</w:t>
      </w:r>
      <w:r>
        <w:rPr>
          <w:rStyle w:val="None A"/>
          <w:rFonts w:ascii="Arial" w:hAnsi="Arial"/>
          <w:i w:val="1"/>
          <w:iCs w:val="1"/>
          <w:sz w:val="22"/>
          <w:szCs w:val="22"/>
          <w:rtl w:val="0"/>
          <w:lang w:val="en-US"/>
        </w:rPr>
        <w:t xml:space="preserve"> de novo</w:t>
      </w:r>
      <w:r>
        <w:rPr>
          <w:rStyle w:val="None A"/>
          <w:rFonts w:ascii="Arial" w:hAnsi="Arial"/>
          <w:sz w:val="22"/>
          <w:szCs w:val="22"/>
          <w:rtl w:val="0"/>
          <w:lang w:val="en-US"/>
        </w:rPr>
        <w:t xml:space="preserve"> generation of negative binomial distributions of transcript abundance for enzyme nodes and recalculating metabolite importances. Each substrate node accumulated a distribution of importance scores which were then used to calculate an interquartile range and 9</w:t>
      </w:r>
      <w:r>
        <w:rPr>
          <w:rStyle w:val="None A"/>
          <w:rFonts w:ascii="Arial" w:hAnsi="Arial"/>
          <w:sz w:val="22"/>
          <w:szCs w:val="22"/>
          <w:rtl w:val="0"/>
          <w:lang w:val="en-US"/>
        </w:rPr>
        <w:t>9</w:t>
      </w:r>
      <w:r>
        <w:rPr>
          <w:rStyle w:val="None A"/>
          <w:rFonts w:ascii="Arial" w:hAnsi="Arial"/>
          <w:sz w:val="22"/>
          <w:szCs w:val="22"/>
          <w:rtl w:val="0"/>
          <w:lang w:val="en-US"/>
        </w:rPr>
        <w:t>% confidence interval. Scores from measured values were then compared against simulated ranges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comparisons.</w:t>
      </w:r>
    </w:p>
    <w:p>
      <w:pPr>
        <w:pStyle w:val="Default"/>
        <w:shd w:val="clear" w:color="auto" w:fill="ffffff"/>
        <w:spacing w:line="480" w:lineRule="auto"/>
        <w:jc w:val="both"/>
        <w:rPr>
          <w:rStyle w:val="None A"/>
          <w:rFonts w:ascii="Arial" w:cs="Arial" w:hAnsi="Arial" w:eastAsia="Arial"/>
          <w:sz w:val="22"/>
          <w:szCs w:val="22"/>
        </w:rPr>
      </w:pPr>
      <w:bookmarkStart w:name="MathJaxElement43Frame" w:id="7"/>
      <w:r>
        <w:rPr>
          <w:rStyle w:val="None A"/>
          <w:rFonts w:ascii="Arial" w:hAnsi="Arial"/>
          <w:sz w:val="22"/>
          <w:szCs w:val="22"/>
          <w:rtl w:val="0"/>
          <w:lang w:val="en-US"/>
        </w:rPr>
        <w:t>This method also allowed us to infer which metabolite scores were less likely to be the result of random chance by comparing the to th probability distribution</w:t>
      </w:r>
      <w:r>
        <w:rPr>
          <w:rStyle w:val="None A"/>
          <w:rFonts w:ascii="Arial" w:hAnsi="Arial" w:hint="default"/>
          <w:sz w:val="22"/>
          <w:szCs w:val="22"/>
          <w:rtl w:val="0"/>
          <w:lang w:val="en-US"/>
        </w:rPr>
        <w:t>…</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bookmarkStart w:name="MathJaxElement43Frame" w:id="8"/>
    </w:p>
    <w:p>
      <w:pPr>
        <w:pStyle w:val="Default"/>
        <w:shd w:val="clear" w:color="auto" w:fill="ffffff"/>
        <w:spacing w:line="480" w:lineRule="auto"/>
        <w:jc w:val="both"/>
      </w:pPr>
      <w:bookmarkStart w:name="MathJaxElement43Frame" w:id="9"/>
      <w:r>
        <w:rPr>
          <w:rStyle w:val="None A"/>
          <w:rFonts w:ascii="Arial" w:hAnsi="Arial"/>
          <w:sz w:val="22"/>
          <w:szCs w:val="22"/>
          <w:rtl w:val="0"/>
          <w:lang w:val="en-US"/>
        </w:rPr>
        <w:t>By comparing the calculated scores to their simulated median and standard deviation from iterative randomization, we were able to detect which substrate scores were most likely not from consistent high scoring.</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bookmarkStart w:name="MathJaxElement43Frame" w:id="10"/>
      <w:r>
        <w:rPr>
          <w:rStyle w:val="None A"/>
          <w:rFonts w:ascii="Arial" w:hAnsi="Arial"/>
          <w:sz w:val="22"/>
          <w:szCs w:val="22"/>
          <w:rtl w:val="0"/>
          <w:lang w:val="en-US"/>
        </w:rPr>
        <w:t xml:space="preserve">These </w:t>
      </w:r>
      <w:r>
        <w:rPr>
          <w:rStyle w:val="None A"/>
          <w:rFonts w:ascii="Arial" w:hAnsi="Arial"/>
          <w:sz w:val="22"/>
          <w:szCs w:val="22"/>
          <w:rtl w:val="0"/>
          <w:lang w:val="en-US"/>
        </w:rPr>
        <w:t>methods are included</w:t>
      </w:r>
      <w:r>
        <w:rPr>
          <w:rStyle w:val="None A"/>
          <w:rFonts w:ascii="Arial" w:hAnsi="Arial"/>
          <w:sz w:val="22"/>
          <w:szCs w:val="22"/>
          <w:rtl w:val="0"/>
          <w:lang w:val="en-US"/>
        </w:rPr>
        <w:t xml:space="preserve"> within the standard BIGsmall workflow presented above.</w:t>
      </w:r>
      <w:bookmarkEnd w:id="10"/>
      <w:bookmarkStart w:name="MathJaxElement43Frame" w:id="11"/>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 mg/mL,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w:t>
      </w:r>
    </w:p>
    <w:p>
      <w:pPr>
        <w:pStyle w:val="Default"/>
        <w:shd w:val="clear" w:color="auto" w:fill="ffffff"/>
        <w:spacing w:line="480" w:lineRule="auto"/>
        <w:jc w:val="both"/>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in 3 ml BHI + 0.5% cysteine. Cultures were then centrifuged at 2000 rpm for 5 minutes and resulting pellets were then washed twice with sterile, anaerobic 1</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1 | Experimental time lines for mouse model pretreatments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w:t>
      </w:r>
      <w:r>
        <w:rPr>
          <w:rStyle w:val="None A"/>
          <w:rFonts w:ascii="Arial" w:hAnsi="Arial"/>
          <w:sz w:val="22"/>
          <w:szCs w:val="22"/>
          <w:rtl w:val="0"/>
          <w:lang w:val="en-US"/>
        </w:rPr>
        <w:t xml:space="preserve"> Nine wild-type C57BL/6 mice were included in each pretreatment group.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Streptomycin or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cefoperazone administered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in drinking water for 5 days, with 2 days recovery with untreated drinking water before infection,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a single clindamycin intraperitoneal injection on Day -1 prior to infection, or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spores at the time of infection. Sacrifice and necropsy was done 18 hours post-challenge and cecal content was then collected.</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sporulation and toxin activity quantification after 18 hours of infection. (a)</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per gram of cecal content (n=9 mice per group). No significant differences were observed in between any group colonized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 xml:space="preserve">(b)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per gram of cecal content. Significantly more spores were detectable in GF mice compared to any of the antibiotic-treated SPF groups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0.05).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0.05). UD* in </w:t>
      </w:r>
      <w:r>
        <w:rPr>
          <w:rStyle w:val="None A"/>
          <w:rFonts w:ascii="Arial" w:hAnsi="Arial"/>
          <w:b w:val="1"/>
          <w:bCs w:val="1"/>
          <w:sz w:val="22"/>
          <w:szCs w:val="22"/>
          <w:rtl w:val="0"/>
          <w:lang w:val="en-US"/>
        </w:rPr>
        <w:t>a</w:t>
      </w:r>
      <w:r>
        <w:rPr>
          <w:rStyle w:val="None A"/>
          <w:rFonts w:ascii="Arial" w:hAnsi="Arial"/>
          <w:sz w:val="22"/>
          <w:szCs w:val="22"/>
          <w:rtl w:val="0"/>
          <w:lang w:val="en-US"/>
        </w:rPr>
        <w:t>,</w:t>
      </w:r>
      <w:r>
        <w:rPr>
          <w:rStyle w:val="None A"/>
          <w:rFonts w:ascii="Arial" w:hAnsi="Arial"/>
          <w:b w:val="1"/>
          <w:bCs w:val="1"/>
          <w:sz w:val="22"/>
          <w:szCs w:val="22"/>
          <w:rtl w:val="0"/>
          <w:lang w:val="en-US"/>
        </w:rPr>
        <w:t>b</w:t>
      </w:r>
      <w:r>
        <w:rPr>
          <w:rStyle w:val="None A"/>
          <w:rFonts w:ascii="Arial" w:hAnsi="Arial"/>
          <w:sz w:val="22"/>
          <w:szCs w:val="22"/>
          <w:rtl w:val="0"/>
          <w:lang w:val="en-US"/>
        </w:rPr>
        <w:t>,</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indicate that all points in this groups were undetectable and are significantly different from all other groups in each assay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480" w:lineRule="auto"/>
        <w:jc w:val="both"/>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Relative abundances of rarefied transcript data for each gene from pooled transcriptomic sequencing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condition.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Genes for effector proteins included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pathogenicity locus.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A"/>
          <w:rFonts w:ascii="Arial" w:hAnsi="Arial"/>
          <w:b w:val="1"/>
          <w:bCs w:val="1"/>
          <w:sz w:val="22"/>
          <w:szCs w:val="22"/>
          <w:rtl w:val="0"/>
          <w:lang w:val="en-US"/>
        </w:rPr>
        <w:t>a</w:t>
      </w:r>
      <w:r>
        <w:rPr>
          <w:rStyle w:val="None A"/>
          <w:rFonts w:ascii="Arial" w:hAnsi="Arial"/>
          <w:sz w:val="22"/>
          <w:szCs w:val="22"/>
          <w:rtl w:val="0"/>
          <w:lang w:val="en-US"/>
        </w:rPr>
        <w:t>-</w:t>
      </w:r>
      <w:r>
        <w:rPr>
          <w:rStyle w:val="None A"/>
          <w:rFonts w:ascii="Arial" w:hAnsi="Arial"/>
          <w:b w:val="1"/>
          <w:bCs w:val="1"/>
          <w:sz w:val="22"/>
          <w:szCs w:val="22"/>
          <w:rtl w:val="0"/>
          <w:lang w:val="en-US"/>
        </w:rPr>
        <w:t>d</w:t>
      </w:r>
      <w:r>
        <w:rPr>
          <w:rStyle w:val="None A"/>
          <w:rFonts w:ascii="Arial" w:hAnsi="Arial"/>
          <w:sz w:val="22"/>
          <w:szCs w:val="22"/>
          <w:rtl w:val="0"/>
          <w:lang w:val="en-US"/>
        </w:rPr>
        <w:t>. UD indicates genes from which transcript was undetectable.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A"/>
          <w:rFonts w:ascii="Arial" w:hAnsi="Arial"/>
          <w:b w:val="1"/>
          <w:bCs w:val="1"/>
          <w:sz w:val="22"/>
          <w:szCs w:val="22"/>
          <w:rtl w:val="0"/>
          <w:lang w:val="en-US"/>
        </w:rPr>
        <w:t xml:space="preserve">(a) </w:t>
      </w:r>
      <w:r>
        <w:rPr>
          <w:rStyle w:val="None A"/>
          <w:rFonts w:ascii="Arial" w:hAnsi="Arial"/>
          <w:sz w:val="22"/>
          <w:szCs w:val="2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A"/>
          <w:rFonts w:ascii="Arial" w:hAnsi="Arial"/>
          <w:b w:val="1"/>
          <w:bCs w:val="1"/>
          <w:sz w:val="22"/>
          <w:szCs w:val="22"/>
          <w:rtl w:val="0"/>
          <w:lang w:val="en-US"/>
        </w:rPr>
        <w:t xml:space="preserve">(b </w:t>
      </w:r>
      <w:r>
        <w:rPr>
          <w:rStyle w:val="None A"/>
          <w:rFonts w:ascii="Arial" w:hAnsi="Arial" w:hint="default"/>
          <w:sz w:val="22"/>
          <w:szCs w:val="22"/>
          <w:rtl w:val="0"/>
          <w:lang w:val="en-US"/>
        </w:rPr>
        <w:t>–</w:t>
      </w:r>
      <w:r>
        <w:rPr>
          <w:rStyle w:val="None A"/>
          <w:rFonts w:ascii="Arial" w:hAnsi="Arial"/>
          <w:b w:val="1"/>
          <w:bCs w:val="1"/>
          <w:sz w:val="22"/>
          <w:szCs w:val="22"/>
          <w:rtl w:val="0"/>
          <w:lang w:val="en-US"/>
        </w:rPr>
        <w:t xml:space="preserve"> i) </w:t>
      </w:r>
      <w:r>
        <w:rPr>
          <w:rStyle w:val="None A"/>
          <w:rFonts w:ascii="Arial" w:hAnsi="Arial"/>
          <w:sz w:val="22"/>
          <w:szCs w:val="22"/>
          <w:rtl w:val="0"/>
          <w:lang w:val="en-US"/>
        </w:rPr>
        <w:t xml:space="preserve">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for calrity. Genes included in each group and transcript abundances can be found in Table S2. Colored asterisks refer to groups that display significantly different distributions by factorial MANOVA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0.05).</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genes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Metabolites shared among the 50 highest scoring between all conditions.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Most highly scoring distinctly important metabolites from each treatment group. The top 25 scoring metabolites from each group was cross-referenced against all others to arrive at metabolites differentially important between environments. Points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are the calculated metabolite importance scores based on the given sequenced transcriptome. Gray vertical lines in</w:t>
      </w:r>
      <w:bookmarkEnd w:id="11"/>
      <w:bookmarkEnd w:id="-1"/>
      <w:r>
        <w:rPr>
          <w:rStyle w:val="None A"/>
          <w:rFonts w:ascii="Arial" w:hAnsi="Arial"/>
          <w:sz w:val="22"/>
          <w:szCs w:val="22"/>
          <w:rtl w:val="0"/>
          <w:lang w:val="en-US"/>
        </w:rPr>
        <w:t xml:space="preserve"> </w:t>
      </w:r>
      <w:bookmarkStart w:name="_DdeLink__1505_1075328573" w:id="12"/>
      <w:r>
        <w:rPr>
          <w:rStyle w:val="None A"/>
          <w:rFonts w:ascii="Arial" w:hAnsi="Arial"/>
          <w:b w:val="1"/>
          <w:bCs w:val="1"/>
          <w:sz w:val="22"/>
          <w:szCs w:val="22"/>
          <w:rtl w:val="0"/>
          <w:lang w:val="en-US"/>
        </w:rPr>
        <w:t>b</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c</w:t>
      </w:r>
      <w:bookmarkEnd w:id="12"/>
      <w:bookmarkEnd w:id="-1"/>
      <w:r>
        <w:rPr>
          <w:rStyle w:val="None A"/>
          <w:rFonts w:ascii="Arial" w:hAnsi="Arial"/>
          <w:sz w:val="22"/>
          <w:szCs w:val="22"/>
          <w:rtl w:val="0"/>
          <w:lang w:val="en-US"/>
        </w:rPr>
        <w:t xml:space="preserve"> display the median and 99% confidence interval from 10000-fold iterative transcript abundance randomization. Measured scores of the most important metabolites are shown to be greater than the ranges associated with random noise, supporting a valid biological signal. Points in red have a &lt;5% probability of being a part of the random probability distribution.</w:t>
      </w:r>
    </w:p>
    <w:p>
      <w:pPr>
        <w:pStyle w:val="Default"/>
        <w:shd w:val="clear" w:color="auto" w:fill="ffffff"/>
        <w:spacing w:line="480" w:lineRule="auto"/>
        <w:jc w:val="both"/>
      </w:pPr>
    </w:p>
    <w:p>
      <w:pPr>
        <w:pStyle w:val="Default"/>
        <w:shd w:val="clear" w:color="auto" w:fill="ffffff"/>
        <w:spacing w:line="480" w:lineRule="auto"/>
        <w:jc w:val="both"/>
      </w:pPr>
      <w:bookmarkEnd w:id="-1"/>
      <w:r>
        <w:rPr>
          <w:rStyle w:val="None A"/>
          <w:rFonts w:ascii="Arial" w:hAnsi="Arial"/>
          <w:b w:val="1"/>
          <w:bCs w:val="1"/>
          <w:sz w:val="22"/>
          <w:szCs w:val="22"/>
          <w:rtl w:val="0"/>
          <w:lang w:val="en-US"/>
        </w:rPr>
        <w:t xml:space="preserve">Figure 6 |  C. difficile growth curves using metabolites predicted from network approach. (a) </w:t>
      </w:r>
      <w:bookmarkEnd w:id="-1"/>
      <w:r>
        <w:rPr>
          <w:rStyle w:val="None A"/>
          <w:rFonts w:ascii="Arial" w:hAnsi="Arial"/>
          <w:sz w:val="22"/>
          <w:szCs w:val="22"/>
          <w:rtl w:val="0"/>
          <w:lang w:val="en-US"/>
        </w:rPr>
        <w:t xml:space="preserve"> </w:t>
      </w:r>
      <w:bookmarkEnd w:id="-1"/>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shared analysis.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Glucose + Amino Acids controls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F-values &gt;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distinct metabolites from each group.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GF.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GF</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Supplementary Figure  |  </w:t>
      </w:r>
      <w:r>
        <w:rPr>
          <w:rStyle w:val="None A"/>
          <w:rFonts w:ascii="Arial" w:hAnsi="Arial"/>
          <w:b w:val="1"/>
          <w:bCs w:val="1"/>
          <w:i w:val="1"/>
          <w:iCs w:val="1"/>
          <w:sz w:val="22"/>
          <w:szCs w:val="22"/>
          <w:rtl w:val="0"/>
          <w:lang w:val="en-US"/>
        </w:rPr>
        <w:t>cdtR expression</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High expression of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possessing neither </w:t>
      </w:r>
      <w:r>
        <w:rPr>
          <w:rStyle w:val="None A"/>
          <w:rFonts w:ascii="Arial" w:hAnsi="Arial"/>
          <w:i w:val="1"/>
          <w:iCs w:val="1"/>
          <w:sz w:val="22"/>
          <w:szCs w:val="22"/>
          <w:rtl w:val="0"/>
          <w:lang w:val="en-US"/>
        </w:rPr>
        <w:t>cdtA</w:t>
      </w:r>
      <w:r>
        <w:rPr>
          <w:rStyle w:val="None A"/>
          <w:rFonts w:ascii="Arial" w:hAnsi="Arial"/>
          <w:sz w:val="22"/>
          <w:szCs w:val="22"/>
          <w:rtl w:val="0"/>
          <w:lang w:val="en-US"/>
        </w:rPr>
        <w:t xml:space="preserve"> nor </w:t>
      </w:r>
      <w:r>
        <w:rPr>
          <w:rStyle w:val="None A"/>
          <w:rFonts w:ascii="Arial" w:hAnsi="Arial"/>
          <w:i w:val="1"/>
          <w:iCs w:val="1"/>
          <w:sz w:val="22"/>
          <w:szCs w:val="22"/>
          <w:rtl w:val="0"/>
          <w:lang w:val="en-US"/>
        </w:rPr>
        <w:t>cdtB</w:t>
      </w:r>
      <w:r>
        <w:rPr>
          <w:rStyle w:val="None A"/>
          <w:rFonts w:ascii="Arial" w:hAnsi="Arial"/>
          <w:sz w:val="22"/>
          <w:szCs w:val="22"/>
          <w:rtl w:val="0"/>
          <w:lang w:val="en-US"/>
        </w:rPr>
        <w:t xml:space="preserve"> genes.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