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Target Journal:</w:t>
      </w:r>
      <w:r>
        <w:rPr>
          <w:rStyle w:val="None A"/>
          <w:rFonts w:ascii="Arial" w:hAnsi="Arial"/>
          <w:sz w:val="22"/>
          <w:szCs w:val="22"/>
          <w:rtl w:val="0"/>
          <w:lang w:val="en-US"/>
        </w:rPr>
        <w:t xml:space="preserve"> Nature Microbiology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i w:val="1"/>
          <w:iCs w:val="1"/>
          <w:color w:val="2c2d30"/>
          <w:sz w:val="22"/>
          <w:szCs w:val="22"/>
          <w:u w:val="none" w:color="2c2d30"/>
        </w:rPr>
      </w:pPr>
      <w:r>
        <w:rPr>
          <w:rStyle w:val="None A"/>
          <w:rFonts w:ascii="Arial" w:hAnsi="Arial"/>
          <w:b w:val="1"/>
          <w:bCs w:val="1"/>
          <w:sz w:val="22"/>
          <w:szCs w:val="22"/>
          <w:rtl w:val="0"/>
          <w:lang w:val="en-US"/>
        </w:rPr>
        <w:t>Title</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i w:val="1"/>
          <w:iCs w:val="1"/>
          <w:color w:val="2c2d30"/>
          <w:sz w:val="22"/>
          <w:szCs w:val="22"/>
          <w:u w:val="none" w:color="2c2d30"/>
          <w:rtl w:val="0"/>
          <w:lang w:val="en-US"/>
        </w:rPr>
        <w:t>Clostridium difficile</w:t>
      </w:r>
      <w:r>
        <w:rPr>
          <w:rStyle w:val="None A"/>
          <w:rFonts w:ascii="Arial" w:hAnsi="Arial"/>
          <w:color w:val="2c2d30"/>
          <w:sz w:val="22"/>
          <w:szCs w:val="22"/>
          <w:u w:val="none" w:color="2c2d30"/>
          <w:rtl w:val="0"/>
          <w:lang w:val="en-US"/>
        </w:rPr>
        <w:t xml:space="preserve"> colonizes alternative nutrient niches during infection across distinct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Authors</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sz w:val="22"/>
          <w:szCs w:val="22"/>
          <w:rtl w:val="0"/>
          <w:lang w:val="en-US"/>
        </w:rPr>
        <w:t>Jenior ML</w:t>
      </w:r>
      <w:r>
        <w:rPr>
          <w:rStyle w:val="None A"/>
          <w:rFonts w:ascii="Arial" w:hAnsi="Arial"/>
          <w:sz w:val="22"/>
          <w:szCs w:val="22"/>
          <w:vertAlign w:val="superscript"/>
          <w:rtl w:val="0"/>
          <w:lang w:val="en-US"/>
        </w:rPr>
        <w:t>1</w:t>
      </w:r>
      <w:r>
        <w:rPr>
          <w:rStyle w:val="None A"/>
          <w:rFonts w:ascii="Arial" w:hAnsi="Arial"/>
          <w:sz w:val="22"/>
          <w:szCs w:val="22"/>
          <w:rtl w:val="0"/>
          <w:lang w:val="en-US"/>
        </w:rPr>
        <w:t>, Leslie JL</w:t>
      </w:r>
      <w:r>
        <w:rPr>
          <w:rStyle w:val="None A"/>
          <w:rFonts w:ascii="Arial" w:hAnsi="Arial"/>
          <w:sz w:val="22"/>
          <w:szCs w:val="22"/>
          <w:vertAlign w:val="superscript"/>
          <w:rtl w:val="0"/>
          <w:lang w:val="en-US"/>
        </w:rPr>
        <w:t>1</w:t>
      </w:r>
      <w:r>
        <w:rPr>
          <w:rStyle w:val="None A"/>
          <w:rFonts w:ascii="Arial" w:hAnsi="Arial"/>
          <w:sz w:val="22"/>
          <w:szCs w:val="22"/>
          <w:rtl w:val="0"/>
          <w:lang w:val="en-US"/>
        </w:rPr>
        <w:t>, and Schloss PD</w:t>
      </w:r>
      <w:r>
        <w:rPr>
          <w:rStyle w:val="None A"/>
          <w:rFonts w:ascii="Arial" w:hAnsi="Arial"/>
          <w:sz w:val="22"/>
          <w:szCs w:val="22"/>
          <w:vertAlign w:val="superscript"/>
          <w:rtl w:val="0"/>
          <w:lang w:val="en-US"/>
        </w:rPr>
        <w:t>1</w:t>
      </w:r>
      <w:r>
        <w:rPr>
          <w:rStyle w:val="None A"/>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Affiliations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Abstract</w:t>
      </w:r>
    </w:p>
    <w:p>
      <w:pPr>
        <w:pStyle w:val="Default"/>
        <w:shd w:val="clear" w:color="auto" w:fill="ffffff"/>
        <w:spacing w:line="480" w:lineRule="auto"/>
        <w:jc w:val="both"/>
      </w:pPr>
      <w:r>
        <w:rPr>
          <w:rStyle w:val="None A"/>
          <w:rFonts w:ascii="Arial" w:cs="Arial" w:hAnsi="Arial" w:eastAsia="Arial"/>
          <w:sz w:val="22"/>
          <w:szCs w:val="22"/>
        </w:rPr>
        <w:tab/>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it colonizes the ceca of mice, we performed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-focused RNA-Seq analysis from cecal content of infected mice. This approach revealed numerous variations between condition in metabolic pathways associated with carbohydrate and amino acid catabolism, indicating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likely colonizes alternative nutrient niches across the environments it colonizes. In order to assess which aspects of the gut environment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exploiting during infection, we used a reverse ecology approach and developed a novel substrate scoring algorithm within the genome-scale bipartite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This work has implications for elucidating specifics of the nutrient niche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and may lead to the discovery of targeted measures for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Introduction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colonization (Chen, 2008; Theriot, 2013; Schubert, 2015). Additionally, 18 hours after initially colonizing a cefoperazone treated mouse,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Building upon these results, others have shown that many of these antibiotic classes also alter the gut metabolome, increasing the concentrations of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limitation of substrates it needs to grow. The ability of a healthy gut community to exclude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Style w:val="None A"/>
          <w:rFonts w:ascii="Arial" w:hAnsi="Arial"/>
          <w:sz w:val="22"/>
          <w:szCs w:val="22"/>
          <w:rtl w:val="0"/>
          <w:lang w:val="en-US"/>
        </w:rPr>
        <w:t xml:space="preserve">Based on its genome sequence and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characteristics,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appears to be able to fill multiple nutrient niches.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 xml:space="preserve">s pathogenesis. For example,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Style w:val="None A"/>
          <w:rFonts w:ascii="Arial" w:cs="Arial" w:hAnsi="Arial" w:eastAsia="Arial"/>
          <w:sz w:val="22"/>
          <w:szCs w:val="22"/>
          <w:rtl w:val="0"/>
        </w:rPr>
        <w:tab/>
        <w:t xml:space="preserve">Previous transcriptomic studies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have mainly focused on transcription of virulence factors,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up-regulated several phosphotransferase systems (PTS) and ABC transporters in germ free mice, alluding to metabolic adaptation to nutrient availability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specifically and more closely exhibit echoes of metabolism, not currently active processes. In contrast to these methods,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and which substrates are preferred by the organism (Patil, 2005; Borenstein, 2008; Suthers, 2009). Apply these methods to study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Based on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would encounter a unique subset of nutrients and competitors in each environment, which would necessitate distinct adaptive responses. To determine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expression data. In each of the three antibiotic conditions we challenged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well as in germ free mice, we observed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adapted its nutrient utilization profile to colonize to high levels and express its virulence factors.</w:t>
      </w:r>
    </w:p>
    <w:p>
      <w:pPr>
        <w:pStyle w:val="Default"/>
        <w:shd w:val="clear" w:color="auto" w:fill="ffffff"/>
        <w:spacing w:line="480" w:lineRule="auto"/>
        <w:ind w:firstLine="709"/>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Results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Levels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sporulation and toxin activity vary between antibiotic-treated specific pathogen free and germ free mice.</w:t>
      </w:r>
    </w:p>
    <w:p>
      <w:pPr>
        <w:pStyle w:val="Default"/>
        <w:shd w:val="clear" w:color="auto" w:fill="ffffff"/>
        <w:spacing w:line="480" w:lineRule="auto"/>
        <w:jc w:val="both"/>
      </w:pPr>
      <w:r>
        <w:rPr>
          <w:rStyle w:val="None A"/>
          <w:rFonts w:ascii="Arial" w:cs="Arial" w:hAnsi="Arial" w:eastAsia="Arial"/>
          <w:sz w:val="22"/>
          <w:szCs w:val="22"/>
          <w:rtl w:val="0"/>
        </w:rPr>
        <w:tab/>
        <w:t xml:space="preserve">Due to the connection between metabolism and sporulation and toxin production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&gt; 0.05; Fig. 2a). All antibiotic treated specific pathogen free (SPF) and germ free (GF) animals were colonized to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 per gram of content, while untreated SPF mice maintained colonization resistance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Despite having the same number of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cells, large differences were detected in the density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Significantly more spores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more closely investigate the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colonizing distinct susceptible gut environments, we performed whole transcriptome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spoVS.</w:t>
      </w:r>
      <w:r>
        <w:rPr>
          <w:rStyle w:val="None A"/>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Style w:val="None A"/>
          <w:rFonts w:ascii="Arial" w:hAnsi="Arial"/>
          <w:i w:val="1"/>
          <w:iCs w:val="1"/>
          <w:sz w:val="22"/>
          <w:szCs w:val="22"/>
          <w:rtl w:val="0"/>
          <w:lang w:val="en-US"/>
        </w:rPr>
        <w:t>spoIIAB</w:t>
      </w:r>
      <w:r>
        <w:rPr>
          <w:rStyle w:val="None A"/>
          <w:rFonts w:ascii="Arial" w:hAnsi="Arial"/>
          <w:sz w:val="22"/>
          <w:szCs w:val="22"/>
          <w:rtl w:val="0"/>
          <w:lang w:val="en-US"/>
        </w:rPr>
        <w:t>/</w:t>
      </w:r>
      <w:r>
        <w:rPr>
          <w:rStyle w:val="None A"/>
          <w:rFonts w:ascii="Arial" w:hAnsi="Arial"/>
          <w:i w:val="1"/>
          <w:iCs w:val="1"/>
          <w:sz w:val="22"/>
          <w:szCs w:val="22"/>
          <w:rtl w:val="0"/>
          <w:lang w:val="en-US"/>
        </w:rPr>
        <w:t>spoIIE</w:t>
      </w:r>
      <w:r>
        <w:rPr>
          <w:rStyle w:val="None A"/>
          <w:rFonts w:ascii="Arial" w:hAnsi="Arial"/>
          <w:sz w:val="22"/>
          <w:szCs w:val="22"/>
          <w:rtl w:val="0"/>
          <w:lang w:val="en-US"/>
        </w:rPr>
        <w:t xml:space="preserve">), but they also had relatively high levels of expression of </w:t>
      </w:r>
      <w:r>
        <w:rPr>
          <w:rStyle w:val="None A"/>
          <w:rFonts w:ascii="Arial" w:hAnsi="Arial"/>
          <w:i w:val="1"/>
          <w:iCs w:val="1"/>
          <w:sz w:val="22"/>
          <w:szCs w:val="22"/>
          <w:rtl w:val="0"/>
          <w:lang w:val="en-US"/>
        </w:rPr>
        <w:t xml:space="preserve">sspA </w:t>
      </w:r>
      <w:r>
        <w:rPr>
          <w:rStyle w:val="None A"/>
          <w:rFonts w:ascii="Arial" w:hAnsi="Arial"/>
          <w:sz w:val="22"/>
          <w:szCs w:val="22"/>
          <w:rtl w:val="0"/>
          <w:lang w:val="en-US"/>
        </w:rPr>
        <w:t xml:space="preserve">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which are genes that code for effectors that protect DNA from damage during dormancy. Next, mice treated with clindamycin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expressed genes associated with late stages of sporulation, including those for spore coat components (</w:t>
      </w:r>
      <w:r>
        <w:rPr>
          <w:rStyle w:val="None A"/>
          <w:rFonts w:ascii="Arial" w:hAnsi="Arial"/>
          <w:i w:val="1"/>
          <w:iCs w:val="1"/>
          <w:sz w:val="22"/>
          <w:szCs w:val="22"/>
          <w:rtl w:val="0"/>
          <w:lang w:val="en-US"/>
        </w:rPr>
        <w:t>cdeC</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cotJB2</w:t>
      </w:r>
      <w:r>
        <w:rPr>
          <w:rStyle w:val="None A"/>
          <w:rFonts w:ascii="Arial" w:hAnsi="Arial"/>
          <w:sz w:val="22"/>
          <w:szCs w:val="22"/>
          <w:rtl w:val="0"/>
          <w:lang w:val="en-US"/>
        </w:rPr>
        <w:t>), spore formation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spoVB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spoVFB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sspA</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Finally, GF mice harbored the highest density of spores and those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primarily expressed the dormancy genes linked with the latest stages sporulation. Together these data demonstrate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expresses stages of sporulation between the gut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Style w:val="None A"/>
          <w:rFonts w:ascii="Arial" w:hAnsi="Arial"/>
          <w:sz w:val="22"/>
          <w:szCs w:val="22"/>
          <w:rtl w:val="0"/>
          <w:lang w:val="en-US"/>
        </w:rPr>
        <w:t xml:space="preserve">Expression of genes for quorum sensing and pathogenicity have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Both the </w:t>
      </w:r>
      <w:r>
        <w:rPr>
          <w:rStyle w:val="None A"/>
          <w:rFonts w:ascii="Arial" w:hAnsi="Arial"/>
          <w:i w:val="1"/>
          <w:iCs w:val="1"/>
          <w:sz w:val="22"/>
          <w:szCs w:val="22"/>
          <w:rtl w:val="0"/>
          <w:lang w:val="en-US"/>
        </w:rPr>
        <w:t>agr</w:t>
      </w:r>
      <w:r>
        <w:rPr>
          <w:rStyle w:val="None A"/>
          <w:rFonts w:ascii="Arial" w:hAnsi="Arial"/>
          <w:sz w:val="22"/>
          <w:szCs w:val="22"/>
          <w:rtl w:val="0"/>
          <w:lang w:val="en-US"/>
        </w:rPr>
        <w:t xml:space="preserve"> locus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gene are thought to be associated with inducing the expression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Style w:val="None A"/>
          <w:rFonts w:ascii="Arial" w:hAnsi="Arial"/>
          <w:i w:val="1"/>
          <w:iCs w:val="1"/>
          <w:sz w:val="22"/>
          <w:szCs w:val="22"/>
          <w:rtl w:val="0"/>
          <w:lang w:val="en-US"/>
        </w:rPr>
        <w:t xml:space="preserve">tcdA </w:t>
      </w:r>
      <w:r>
        <w:rPr>
          <w:rStyle w:val="None A"/>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Style w:val="None A"/>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is responsive to intracellular concentrations of GTP and certain amino acids, which are </w:t>
      </w:r>
      <w:r>
        <w:rPr>
          <w:rStyle w:val="None A"/>
          <w:rFonts w:ascii="Arial" w:hAnsi="Arial"/>
          <w:i w:val="1"/>
          <w:iCs w:val="1"/>
          <w:sz w:val="22"/>
          <w:szCs w:val="22"/>
          <w:rtl w:val="0"/>
          <w:lang w:val="en-US"/>
        </w:rPr>
        <w:t>C. difficile</w:t>
      </w:r>
      <w:r>
        <w:rPr>
          <w:rtl w:val="0"/>
          <w:lang w:val="en-US"/>
        </w:rPr>
        <w:t xml:space="preserve"> </w:t>
      </w:r>
      <w:r>
        <w:rPr>
          <w:rStyle w:val="None A"/>
          <w:rFonts w:ascii="Arial" w:hAnsi="Arial"/>
          <w:sz w:val="22"/>
          <w:szCs w:val="22"/>
          <w:rtl w:val="0"/>
          <w:lang w:val="en-US"/>
        </w:rPr>
        <w:t xml:space="preserve">energy sources (Fig 3d). Highest transcription for this gene was found in cefoperazone-treated and GF mice. Expression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is dependent on relief of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but the GF condition did not follow the same pattern. CcpA acts directly on </w:t>
      </w:r>
      <w:r>
        <w:rPr>
          <w:rStyle w:val="None A"/>
          <w:rFonts w:ascii="Arial" w:hAnsi="Arial"/>
          <w:i w:val="1"/>
          <w:iCs w:val="1"/>
          <w:sz w:val="22"/>
          <w:szCs w:val="22"/>
          <w:rtl w:val="0"/>
          <w:lang w:val="en-US"/>
        </w:rPr>
        <w:t xml:space="preserve">spoA0 </w:t>
      </w:r>
      <w:r>
        <w:rPr>
          <w:rStyle w:val="None A"/>
          <w:rFonts w:ascii="Arial" w:hAnsi="Arial"/>
          <w:sz w:val="22"/>
          <w:szCs w:val="22"/>
          <w:rtl w:val="0"/>
          <w:lang w:val="en-US"/>
        </w:rPr>
        <w:t xml:space="preserve">(Fig. 3d), which positively regulates initiation of the sporulation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Transcripts for </w:t>
      </w:r>
      <w:r>
        <w:rPr>
          <w:rStyle w:val="None A"/>
          <w:rFonts w:ascii="Arial" w:hAnsi="Arial"/>
          <w:i w:val="1"/>
          <w:iCs w:val="1"/>
          <w:sz w:val="22"/>
          <w:szCs w:val="22"/>
          <w:rtl w:val="0"/>
          <w:lang w:val="en-US"/>
        </w:rPr>
        <w:t>spoA0</w:t>
      </w:r>
      <w:r>
        <w:rPr>
          <w:rStyle w:val="None A"/>
          <w:rFonts w:ascii="Arial" w:hAnsi="Arial"/>
          <w:sz w:val="22"/>
          <w:szCs w:val="22"/>
          <w:rtl w:val="0"/>
          <w:lang w:val="en-US"/>
        </w:rPr>
        <w:t xml:space="preserve"> were highly abundant in all conditions tested except for clindamycin-treated mice, where it was still moderately detectable. The </w:t>
      </w:r>
      <w:r>
        <w:rPr>
          <w:rStyle w:val="None A"/>
          <w:rFonts w:ascii="Arial" w:hAnsi="Arial"/>
          <w:i w:val="1"/>
          <w:iCs w:val="1"/>
          <w:sz w:val="22"/>
          <w:szCs w:val="22"/>
          <w:rtl w:val="0"/>
          <w:lang w:val="en-US"/>
        </w:rPr>
        <w:t>sig</w:t>
      </w:r>
      <w:r>
        <w:rPr>
          <w:rStyle w:val="None A"/>
          <w:rFonts w:ascii="Arial" w:hAnsi="Arial"/>
          <w:sz w:val="22"/>
          <w:szCs w:val="22"/>
          <w:rtl w:val="0"/>
          <w:lang w:val="en-US"/>
        </w:rPr>
        <w:t>-family of sigma factors is under the control of SpoA0 and regulate different stages of sporulation. The genes from this family with the highest total transcription (</w:t>
      </w:r>
      <w:r>
        <w:rPr>
          <w:rStyle w:val="None A"/>
          <w:rFonts w:ascii="Arial" w:hAnsi="Arial"/>
          <w:i w:val="1"/>
          <w:iCs w:val="1"/>
          <w:sz w:val="22"/>
          <w:szCs w:val="22"/>
          <w:rtl w:val="0"/>
          <w:lang w:val="en-US"/>
        </w:rPr>
        <w:t>sigA1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sigF</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sigH</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sigK</w:t>
      </w:r>
      <w:r>
        <w:rPr>
          <w:rStyle w:val="None A"/>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Style w:val="None A"/>
          <w:rFonts w:ascii="Arial" w:hAnsi="Arial"/>
          <w:i w:val="1"/>
          <w:iCs w:val="1"/>
          <w:sz w:val="22"/>
          <w:szCs w:val="22"/>
          <w:rtl w:val="0"/>
          <w:lang w:val="en-US"/>
        </w:rPr>
        <w:t>tcdC</w:t>
      </w:r>
      <w:r>
        <w:rPr>
          <w:rStyle w:val="None A"/>
          <w:rFonts w:ascii="Arial" w:hAnsi="Arial"/>
          <w:sz w:val="22"/>
          <w:szCs w:val="22"/>
          <w:rtl w:val="0"/>
          <w:lang w:val="en-US"/>
        </w:rPr>
        <w:t>/</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(Fig. 3d). We found expression of the toxin negative regulator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in all of the antibiotic-treated groups, but no detectable transcripts for the positive toxin A/B regulator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as needed.  These targets include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(general fermentation regulator) and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(Stickland fermentation regulator)</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 xml:space="preserve">(Fig. 3d). Although the expression of both has been shown to be linked to environmental proline concentrations,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integrates additional signals from the intracellular NADH/NAD+ ratio to also control carbohydrate fermentation. Low-level transcription of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was found across all conditions, however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the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gene highly in both cefoperazone-treated and GF mice. Combined, the variable expression of these sigma factors support the hypothesis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adapts expression metabolism to fit its needs between colonized environments.</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Genes sets from multiple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Style w:val="None A"/>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Style w:val="None A"/>
          <w:rFonts w:ascii="Arial" w:hAnsi="Arial"/>
          <w:sz w:val="22"/>
          <w:szCs w:val="22"/>
          <w:rtl w:val="0"/>
          <w:lang w:val="en-US"/>
        </w:rPr>
        <w:t>(Fig. 4a), but lacking functional labels isn</w:t>
      </w:r>
      <w:r>
        <w:rPr>
          <w:rStyle w:val="None A"/>
          <w:rFonts w:ascii="Arial" w:hAnsi="Arial" w:hint="default"/>
          <w:sz w:val="22"/>
          <w:szCs w:val="22"/>
          <w:rtl w:val="0"/>
          <w:lang w:val="en-US"/>
        </w:rPr>
        <w:t>’</w:t>
      </w:r>
      <w:r>
        <w:rPr>
          <w:rStyle w:val="None A"/>
          <w:rFonts w:ascii="Arial" w:hAnsi="Arial"/>
          <w:sz w:val="22"/>
          <w:szCs w:val="22"/>
          <w:rtl w:val="0"/>
          <w:lang w:val="en-US"/>
        </w:rPr>
        <w:t xml:space="preserve">t informative for uncovering differences in metabolic strategy. We then identified gene sets based on established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amino acids for energy as a central part of its metabolism</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during infection under any condition.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 A"/>
          <w:rFonts w:ascii="Arial" w:hAnsi="Arial"/>
          <w:i w:val="1"/>
          <w:iCs w:val="1"/>
          <w:sz w:val="22"/>
          <w:szCs w:val="22"/>
          <w:rtl w:val="0"/>
          <w:lang w:val="en-US"/>
        </w:rPr>
        <w:t>mtl</w:t>
      </w:r>
      <w:r>
        <w:rPr>
          <w:rStyle w:val="None A"/>
          <w:rFonts w:ascii="Arial" w:hAnsi="Arial"/>
          <w:sz w:val="22"/>
          <w:szCs w:val="22"/>
          <w:rtl w:val="0"/>
          <w:lang w:val="en-US"/>
        </w:rPr>
        <w:t xml:space="preserve"> operon) were overrepresented in cefoparazone-treated mice and expression of genes for sorbitol utilization (</w:t>
      </w:r>
      <w:r>
        <w:rPr>
          <w:rStyle w:val="None A"/>
          <w:rFonts w:ascii="Arial" w:hAnsi="Arial"/>
          <w:i w:val="1"/>
          <w:iCs w:val="1"/>
          <w:sz w:val="22"/>
          <w:szCs w:val="22"/>
          <w:rtl w:val="0"/>
          <w:lang w:val="en-US"/>
        </w:rPr>
        <w:t>srl</w:t>
      </w:r>
      <w:r>
        <w:rPr>
          <w:rStyle w:val="None A"/>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separate pathways with shared terminal steps. Transcripts for genes involved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butyrate/butanol metabolism (</w:t>
      </w:r>
      <w:r>
        <w:rPr>
          <w:rStyle w:val="None A"/>
          <w:rFonts w:ascii="Arial" w:hAnsi="Arial"/>
          <w:i w:val="1"/>
          <w:iCs w:val="1"/>
          <w:sz w:val="22"/>
          <w:szCs w:val="22"/>
          <w:rtl w:val="0"/>
          <w:lang w:val="en-US"/>
        </w:rPr>
        <w:t>ptb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buk1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cat2</w:t>
      </w:r>
      <w:r>
        <w:rPr>
          <w:rStyle w:val="None A"/>
          <w:rFonts w:ascii="Arial" w:hAnsi="Arial"/>
          <w:sz w:val="22"/>
          <w:szCs w:val="22"/>
          <w:rtl w:val="0"/>
          <w:lang w:val="en-US"/>
        </w:rPr>
        <w:t xml:space="preserve">, and </w:t>
      </w:r>
      <w:bookmarkStart w:name="_DdeLink__1230_954670323" w:id="0"/>
      <w:r>
        <w:rPr>
          <w:rStyle w:val="None A"/>
          <w:rFonts w:ascii="Arial" w:hAnsi="Arial"/>
          <w:i w:val="1"/>
          <w:iCs w:val="1"/>
          <w:sz w:val="22"/>
          <w:szCs w:val="22"/>
          <w:rtl w:val="0"/>
          <w:lang w:val="en-US"/>
        </w:rPr>
        <w:t>adhE</w:t>
      </w:r>
      <w:bookmarkEnd w:id="0"/>
      <w:r>
        <w:rPr>
          <w:rStyle w:val="None A"/>
          <w:rFonts w:ascii="Arial" w:hAnsi="Arial"/>
          <w:sz w:val="22"/>
          <w:szCs w:val="22"/>
          <w:rtl w:val="0"/>
          <w:lang w:val="en-US"/>
        </w:rPr>
        <w:t>) were more abundant in  clindamycin-treated mice. Additionally, alpha/beta-galactosidase genes (</w:t>
      </w:r>
      <w:r>
        <w:rPr>
          <w:rStyle w:val="None A"/>
          <w:rFonts w:ascii="Arial" w:hAnsi="Arial"/>
          <w:i w:val="1"/>
          <w:iCs w:val="1"/>
          <w:sz w:val="22"/>
          <w:szCs w:val="22"/>
          <w:rtl w:val="0"/>
          <w:lang w:val="en-US"/>
        </w:rPr>
        <w:t>aglB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bglA</w:t>
      </w:r>
      <w:r>
        <w:rPr>
          <w:rStyle w:val="None A"/>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Style w:val="None A"/>
          <w:rFonts w:ascii="Arial" w:hAnsi="Arial"/>
          <w:i w:val="1"/>
          <w:iCs w:val="1"/>
          <w:sz w:val="22"/>
          <w:szCs w:val="22"/>
          <w:rtl w:val="0"/>
          <w:lang w:val="en-US"/>
        </w:rPr>
        <w:t>eno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gpmI</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tpi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pyk</w:t>
      </w:r>
      <w:r>
        <w:rPr>
          <w:rStyle w:val="None A"/>
          <w:rFonts w:ascii="Arial" w:hAnsi="Arial"/>
          <w:sz w:val="22"/>
          <w:szCs w:val="22"/>
          <w:rtl w:val="0"/>
          <w:lang w:val="en-US"/>
        </w:rPr>
        <w:t xml:space="preserve">) were overrepresented in cefoparazone-treated mice, however </w:t>
      </w:r>
      <w:r>
        <w:rPr>
          <w:rStyle w:val="None A"/>
          <w:rFonts w:ascii="Arial" w:hAnsi="Arial"/>
          <w:i w:val="1"/>
          <w:iCs w:val="1"/>
          <w:sz w:val="22"/>
          <w:szCs w:val="22"/>
          <w:rtl w:val="0"/>
          <w:lang w:val="en-US"/>
        </w:rPr>
        <w:t>fruK</w:t>
      </w:r>
      <w:r>
        <w:rPr>
          <w:rStyle w:val="None A"/>
          <w:rFonts w:ascii="Arial" w:hAnsi="Arial"/>
          <w:sz w:val="22"/>
          <w:szCs w:val="22"/>
          <w:rtl w:val="0"/>
          <w:lang w:val="en-US"/>
        </w:rPr>
        <w:t xml:space="preserve"> is overrepresented in streptomycin-treated mice which catalyzes the committed step of glycolysis. Overall, these results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pPr>
      <w:r>
        <w:tab/>
      </w:r>
      <w:r>
        <w:rPr>
          <w:rStyle w:val="None A"/>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 A"/>
          <w:rFonts w:ascii="Arial" w:hAnsi="Arial"/>
          <w:i w:val="1"/>
          <w:iCs w:val="1"/>
          <w:sz w:val="22"/>
          <w:szCs w:val="22"/>
          <w:rtl w:val="0"/>
          <w:lang w:val="en-US"/>
        </w:rPr>
        <w:t>arg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fdh</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prd </w:t>
      </w:r>
      <w:r>
        <w:rPr>
          <w:rStyle w:val="None A"/>
          <w:rFonts w:ascii="Arial" w:hAnsi="Arial"/>
          <w:sz w:val="22"/>
          <w:szCs w:val="22"/>
          <w:rtl w:val="0"/>
          <w:lang w:val="en-US"/>
        </w:rPr>
        <w:t>loci) as well as several general peptidases (</w:t>
      </w:r>
      <w:r>
        <w:rPr>
          <w:rStyle w:val="None A"/>
          <w:rFonts w:ascii="Arial" w:hAnsi="Arial"/>
          <w:i w:val="1"/>
          <w:iCs w:val="1"/>
          <w:sz w:val="22"/>
          <w:szCs w:val="22"/>
          <w:rtl w:val="0"/>
          <w:lang w:val="en-US"/>
        </w:rPr>
        <w:t>pep</w:t>
      </w:r>
      <w:r>
        <w:rPr>
          <w:rStyle w:val="None A"/>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Style w:val="None A"/>
          <w:rFonts w:ascii="Arial" w:hAnsi="Arial"/>
          <w:i w:val="1"/>
          <w:iCs w:val="1"/>
          <w:sz w:val="22"/>
          <w:szCs w:val="22"/>
          <w:rtl w:val="0"/>
          <w:lang w:val="en-US"/>
        </w:rPr>
        <w:t>glm</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nan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mur</w:t>
      </w:r>
      <w:r>
        <w:rPr>
          <w:rStyle w:val="None A"/>
          <w:rFonts w:ascii="Arial" w:hAnsi="Arial"/>
          <w:sz w:val="22"/>
          <w:szCs w:val="22"/>
          <w:rtl w:val="0"/>
          <w:lang w:val="en-US"/>
        </w:rPr>
        <w:t>, and</w:t>
      </w:r>
      <w:r>
        <w:rPr>
          <w:rStyle w:val="None A"/>
          <w:rFonts w:ascii="Arial" w:hAnsi="Arial"/>
          <w:i w:val="1"/>
          <w:iCs w:val="1"/>
          <w:sz w:val="22"/>
          <w:szCs w:val="22"/>
          <w:rtl w:val="0"/>
          <w:lang w:val="en-US"/>
        </w:rPr>
        <w:t xml:space="preserve"> acd</w:t>
      </w:r>
      <w:r>
        <w:rPr>
          <w:rStyle w:val="None A"/>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 A"/>
          <w:rFonts w:ascii="Arial" w:hAnsi="Arial"/>
          <w:i w:val="1"/>
          <w:iCs w:val="1"/>
          <w:sz w:val="22"/>
          <w:szCs w:val="22"/>
          <w:rtl w:val="0"/>
          <w:lang w:val="en-US"/>
        </w:rPr>
        <w:t>fba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fbp</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pfk)</w:t>
      </w:r>
      <w:r>
        <w:rPr>
          <w:rStyle w:val="None A"/>
          <w:rFonts w:ascii="Arial" w:hAnsi="Arial"/>
          <w:sz w:val="22"/>
          <w:szCs w:val="22"/>
          <w:rtl w:val="0"/>
          <w:lang w:val="en-US"/>
        </w:rPr>
        <w:t xml:space="preserve"> as well as several genes (</w:t>
      </w:r>
      <w:r>
        <w:rPr>
          <w:rStyle w:val="None A"/>
          <w:rFonts w:ascii="Arial" w:hAnsi="Arial"/>
          <w:i w:val="1"/>
          <w:iCs w:val="1"/>
          <w:sz w:val="22"/>
          <w:szCs w:val="22"/>
          <w:rtl w:val="0"/>
          <w:lang w:val="en-US"/>
        </w:rPr>
        <w:t>gal</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pmi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tag</w:t>
      </w:r>
      <w:r>
        <w:rPr>
          <w:rStyle w:val="None A"/>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nutritional strategy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models underscore known bacterial metabolism and reveal adaptive nutritional strategies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during infection.</w:t>
      </w:r>
    </w:p>
    <w:p>
      <w:pPr>
        <w:pStyle w:val="Default"/>
        <w:shd w:val="clear" w:color="auto" w:fill="ffffff"/>
        <w:spacing w:line="480" w:lineRule="auto"/>
        <w:ind w:firstLine="709"/>
        <w:jc w:val="both"/>
      </w:pPr>
      <w:r>
        <w:rPr>
          <w:rStyle w:val="None A"/>
          <w:rFonts w:ascii="Arial" w:hAnsi="Arial"/>
          <w:sz w:val="22"/>
          <w:szCs w:val="22"/>
          <w:rtl w:val="0"/>
          <w:lang w:val="en-US"/>
        </w:rPr>
        <w:t xml:space="preserve">We represented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w:t>
      </w:r>
      <w:r>
        <w:rPr>
          <w:rStyle w:val="None A"/>
          <w:rFonts w:ascii="Arial" w:hAnsi="Arial" w:hint="default"/>
          <w:sz w:val="22"/>
          <w:szCs w:val="22"/>
          <w:rtl w:val="0"/>
          <w:lang w:val="en-US"/>
        </w:rPr>
        <w:t>’</w:t>
      </w:r>
      <w:r>
        <w:rPr>
          <w:rStyle w:val="None A"/>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480" w:lineRule="auto"/>
        <w:ind w:firstLine="709"/>
        <w:jc w:val="both"/>
      </w:pPr>
      <w:r>
        <w:rPr>
          <w:rStyle w:val="None A"/>
          <w:rFonts w:ascii="Arial" w:hAnsi="Arial"/>
          <w:sz w:val="22"/>
          <w:szCs w:val="22"/>
          <w:shd w:val="clear" w:color="auto" w:fill="ffffff"/>
          <w:rtl w:val="0"/>
          <w:lang w:val="en-US"/>
        </w:rPr>
        <w:t xml:space="preserve">Moving beyond a strictly topological analysis of the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metabolic network, we sought to utilize transcriptomic data to infer which metabolites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A metabolite with a high importance score is most likely obtained from the environment because the expression of genes for enzymes that produce the metabolite are low. We first ranked the importance scores to identify the most important metabolites for each treatment group (Table S5), however a more informative effort is to </w:t>
      </w:r>
      <w:r>
        <w:rPr>
          <w:rStyle w:val="None A"/>
          <w:rFonts w:ascii="Arial" w:hAnsi="Arial"/>
          <w:sz w:val="22"/>
          <w:szCs w:val="22"/>
          <w:rtl w:val="0"/>
          <w:lang w:val="en-US"/>
        </w:rPr>
        <w:t xml:space="preserve">identify the core metabolites that are essential to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in any condition. To achieve this goal, we compared the top 50 scoring metabolites from each treatment group to find those metabolites that were important across all conditions (Fig. 5b).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-infected mice versus mock-infected mice.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led to a significant decrease in the levels of acetate (Fig. S7) suggesting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utilizing acetate. These findings provided validation for our metabolite importance algorithm as well as supporting known elements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w:t>
      </w:r>
    </w:p>
    <w:p>
      <w:pPr>
        <w:pStyle w:val="Default"/>
        <w:shd w:val="clear" w:color="auto" w:fill="ffffff"/>
        <w:spacing w:line="480" w:lineRule="auto"/>
        <w:jc w:val="both"/>
      </w:pPr>
      <w:r>
        <w:rPr>
          <w:rStyle w:val="None A"/>
          <w:rFonts w:ascii="Arial" w:cs="Arial" w:hAnsi="Arial" w:eastAsia="Arial"/>
          <w:sz w:val="22"/>
          <w:szCs w:val="22"/>
          <w:rtl w:val="0"/>
        </w:rPr>
        <w:tab/>
        <w:t xml:space="preserve">Returning to our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its metabolism to fit the surrounding community, we identified those metabolites that were uniquely important to each condition in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(Fig. 5c). Only metabolites that were most important in the antibiotic-treated conditions all score more highly than their simulated median scores. Each group of metabolites contained at least one known carbohydrate growth substrate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(Ng, 2013; Theriot, 2014). This included close analogs of D-fructose, mannitol, N-acetylneuraminic acid, salicin, and D-sorbitol. Furthermore, in GF mice where no other competitors are present, our model indicates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more likely to acquires several amino acids (lysine, leucine, and isoleucine) from the environment instead of expending energy to produce them itself. These data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exploit alternative nutrient sources between the susceptible environments it colonizes.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Important carbon sources according to network-based approach support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growth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 xml:space="preserve"> and reveal a hierarchy of nutrient preference.</w:t>
      </w:r>
    </w:p>
    <w:p>
      <w:pPr>
        <w:pStyle w:val="Default"/>
        <w:shd w:val="clear" w:color="auto" w:fill="ffffff"/>
        <w:spacing w:line="480" w:lineRule="auto"/>
        <w:ind w:firstLine="709"/>
        <w:jc w:val="both"/>
      </w:pPr>
      <w:r>
        <w:rPr>
          <w:rStyle w:val="None A"/>
          <w:rFonts w:ascii="Arial" w:hAnsi="Arial"/>
          <w:sz w:val="22"/>
          <w:szCs w:val="22"/>
          <w:rtl w:val="0"/>
          <w:lang w:val="en-US"/>
        </w:rPr>
        <w:t xml:space="preserve">To validate the biological relevance of substrates identified as uniquely important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through our network-based analysis, we tested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utilize each substrate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This was performed using the modified defined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minimal media, supplemented individually with the selected carbohydrates (Theriot, 2013) implicated by high importance scores. Because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amino acids for growth through Stickland fermentation, but is auxotrophic for several amino acids. As such, the most effective negative control is growth in media lacking carbohydrates but containing amino acids. </w:t>
      </w:r>
    </w:p>
    <w:p>
      <w:pPr>
        <w:pStyle w:val="Default"/>
        <w:shd w:val="clear" w:color="auto" w:fill="ffffff"/>
        <w:spacing w:line="480" w:lineRule="auto"/>
        <w:ind w:firstLine="709"/>
        <w:jc w:val="both"/>
      </w:pPr>
      <w:r>
        <w:rPr>
          <w:rStyle w:val="None A"/>
          <w:rFonts w:ascii="Arial" w:hAnsi="Arial"/>
          <w:sz w:val="22"/>
          <w:szCs w:val="22"/>
          <w:rtl w:val="0"/>
          <w:lang w:val="en-US"/>
        </w:rPr>
        <w:t xml:space="preserve">At least one carbohydrate highlighted as distinctly important in each of the antibiotic treatment groups provided high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relative to no carbohydrate control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&lt;&lt; 0.001) (Fig. 6a). This included D-fructose (streptomycin;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mannitol (cefoperazone;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0.464), salicin (clindamycin;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0.888), N-acetylneuramininic acid (GF;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0.556). Interestingly, the growth curve for D-sorbitol showed no difference over the negative controls. Furthermore, when assessing the consistently high scoring metabolites shown in Fig. 5c N-acetylglucosamine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&lt;&lt; 0.001) (Fig. 6a). These results further support the importance scores and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pPr>
      <w:r>
        <w:rPr>
          <w:rStyle w:val="None A"/>
          <w:rFonts w:ascii="Arial" w:cs="Arial" w:hAnsi="Arial" w:eastAsia="Arial"/>
          <w:sz w:val="22"/>
          <w:szCs w:val="22"/>
          <w:rtl w:val="0"/>
        </w:rPr>
        <w:tab/>
        <w:t xml:space="preserve">To further investigate if preference and not just availability could play a role in which carbon source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at a given time, we also grew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 combinations of carbon sources from Fig. 5d. (Fig. 6b)</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Shared metabolites tested for growth</w:t>
      </w:r>
      <w:r>
        <w:rPr>
          <w:rStyle w:val="None A"/>
          <w:rFonts w:ascii="Arial" w:hAnsi="Arial" w:hint="default"/>
          <w:sz w:val="22"/>
          <w:szCs w:val="22"/>
          <w:rtl w:val="0"/>
          <w:lang w:val="en-US"/>
        </w:rPr>
        <w:t>…</w:t>
      </w:r>
      <w:r>
        <w:rPr>
          <w:rStyle w:val="None A"/>
          <w:rFonts w:ascii="Arial" w:hAnsi="Arial"/>
          <w:sz w:val="22"/>
          <w:szCs w:val="22"/>
          <w:rtl w:val="0"/>
          <w:lang w:val="en-US"/>
        </w:rPr>
        <w:t>need a new color for shared (purple?)</w:t>
      </w:r>
    </w:p>
    <w:p>
      <w:pPr>
        <w:pStyle w:val="Default"/>
        <w:shd w:val="clear" w:color="auto" w:fill="ffffff"/>
        <w:spacing w:line="480" w:lineRule="auto"/>
        <w:ind w:firstLine="709"/>
        <w:jc w:val="both"/>
      </w:pPr>
    </w:p>
    <w:p>
      <w:pPr>
        <w:pStyle w:val="Default"/>
        <w:shd w:val="clear" w:color="auto" w:fill="ffffff"/>
        <w:spacing w:line="480" w:lineRule="auto"/>
        <w:jc w:val="both"/>
      </w:pPr>
      <w:r>
        <w:rPr>
          <w:rStyle w:val="None A"/>
          <w:rFonts w:ascii="Arial" w:hAnsi="Arial"/>
          <w:b w:val="1"/>
          <w:bCs w:val="1"/>
          <w:sz w:val="22"/>
          <w:szCs w:val="22"/>
          <w:rtl w:val="0"/>
          <w:lang w:val="en-US"/>
        </w:rPr>
        <w:t>Discussion</w:t>
      </w:r>
    </w:p>
    <w:p>
      <w:pPr>
        <w:pStyle w:val="Default"/>
        <w:shd w:val="clear" w:color="auto" w:fill="ffffff"/>
        <w:spacing w:line="480" w:lineRule="auto"/>
        <w:jc w:val="both"/>
      </w:pPr>
      <w:r>
        <w:rPr>
          <w:rStyle w:val="None A"/>
          <w:rFonts w:ascii="Arial" w:cs="Arial" w:hAnsi="Arial" w:eastAsia="Arial"/>
          <w:sz w:val="22"/>
          <w:szCs w:val="22"/>
          <w:rtl w:val="0"/>
        </w:rPr>
        <w:tab/>
        <w:t xml:space="preserve">Collectively, our results support our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occupies separate nutrient niches across susceptible gut environments.  This behavior could be due to a variety of factors including variations in concentration of certain nutrients or competition with other microorganisms for growth resources. Several previous mass spectrometry-based efforts have been made to study intestinal content obtained from either SPF mice pretreated with the antibiotics used in this study or raised in GF conditions (Antunes, 2011; Theriot, 2013; Matsumoto, 2012; Jump, 2014).  These investigation reveal that many of the substrates predicted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a given condition through metabolic modeling (Fig. 4c&amp;d), are increased in the gastrointestinal tract of mice in the corresponding treatment group.  For example, cefoperazone treatment resulted in a 553-fold increase in mannitol concentration in the cecum of mice prior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This trend is also true in streptomycin and clindamycin pretreatments, as well as in GF mice with different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growth substrates enriched in each. Together, these results provide evidence that our network-based approach accurately predicts which metabolites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chooses to metabolize in a given environments and that these changes are most likely due to nutrient availability.</w:t>
      </w:r>
    </w:p>
    <w:p>
      <w:pPr>
        <w:pStyle w:val="Default"/>
        <w:shd w:val="clear" w:color="auto" w:fill="ffffff"/>
        <w:spacing w:line="480" w:lineRule="auto"/>
        <w:jc w:val="both"/>
      </w:pPr>
      <w:r>
        <w:rPr>
          <w:rStyle w:val="None A"/>
          <w:rFonts w:ascii="Arial" w:hAnsi="Arial"/>
          <w:sz w:val="22"/>
          <w:szCs w:val="22"/>
          <w:rtl w:val="0"/>
          <w:lang w:val="en-US"/>
        </w:rPr>
        <w:t xml:space="preserve">Sporulation and toxin production have been linked to environmental concentrations of growth substrates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possesses for nutrient utilization.</w:t>
      </w:r>
    </w:p>
    <w:p>
      <w:pPr>
        <w:pStyle w:val="Default"/>
        <w:shd w:val="clear" w:color="auto" w:fill="ffffff"/>
        <w:spacing w:line="480" w:lineRule="auto"/>
        <w:jc w:val="both"/>
      </w:pPr>
      <w:r>
        <w:rPr>
          <w:rStyle w:val="None A"/>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A"/>
          <w:rFonts w:ascii="Arial" w:hAnsi="Arial"/>
          <w:i w:val="1"/>
          <w:iCs w:val="1"/>
          <w:sz w:val="22"/>
          <w:szCs w:val="22"/>
          <w:rtl w:val="0"/>
          <w:lang w:val="en-US"/>
        </w:rPr>
        <w:t>spo0A</w:t>
      </w:r>
      <w:r>
        <w:rPr>
          <w:rStyle w:val="None A"/>
          <w:rFonts w:ascii="Arial" w:hAnsi="Arial"/>
          <w:sz w:val="22"/>
          <w:szCs w:val="22"/>
          <w:rtl w:val="0"/>
          <w:lang w:val="en-US"/>
        </w:rPr>
        <w:t xml:space="preserve">, which was consistently highly expressed, </w:t>
      </w:r>
      <w:r>
        <w:rPr>
          <w:rStyle w:val="None A"/>
          <w:rFonts w:ascii="Arial" w:hAnsi="Arial"/>
          <w:i w:val="1"/>
          <w:iCs w:val="1"/>
          <w:sz w:val="22"/>
          <w:szCs w:val="22"/>
          <w:rtl w:val="0"/>
          <w:lang w:val="en-US"/>
        </w:rPr>
        <w:t>spo</w:t>
      </w:r>
      <w:r>
        <w:rPr>
          <w:rStyle w:val="None A"/>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has begun its final phase before transmission either other antibiotic group. In addition to lifestyle associated genes,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displayed increased relative abundance in gene expression associated with catabolizing monosaccharides and simple sugar alcohols.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Additionally the appearance of certain terminal metabolites may indicate</w:t>
      </w:r>
      <w:r>
        <w:rPr>
          <w:rFonts w:ascii="Arial" w:hAnsi="Arial" w:hint="default"/>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sz w:val="22"/>
          <w:szCs w:val="22"/>
          <w:rtl w:val="0"/>
          <w:lang w:val="en-US"/>
        </w:rPr>
        <w:t xml:space="preserve">This relationship has long been known to exist at least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with another strain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480" w:lineRule="auto"/>
        <w:jc w:val="both"/>
        <w:rPr>
          <w:rFonts w:ascii="Arial" w:cs="Arial" w:hAnsi="Arial" w:eastAsia="Arial"/>
          <w:i w:val="1"/>
          <w:i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Metabolic modeling results from both cefoperazone and streptomycin-treated mice indicated carbohydrates, known to be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w:t>
      </w:r>
      <w:r>
        <w:rPr>
          <w:rtl w:val="0"/>
          <w:lang w:val="en-US"/>
        </w:rPr>
        <w:t xml:space="preserve"> </w:t>
      </w:r>
      <w:r>
        <w:rPr>
          <w:rStyle w:val="None A"/>
          <w:rFonts w:ascii="Arial" w:hAnsi="Arial"/>
          <w:sz w:val="22"/>
          <w:szCs w:val="22"/>
          <w:rtl w:val="0"/>
          <w:lang w:val="en-US"/>
        </w:rPr>
        <w:t xml:space="preserve">are preferred in these conditions and are also enriched </w:t>
      </w:r>
      <w:r>
        <w:rPr>
          <w:rStyle w:val="None A"/>
          <w:rFonts w:ascii="Arial" w:hAnsi="Arial"/>
          <w:i w:val="1"/>
          <w:iCs w:val="1"/>
          <w:sz w:val="22"/>
          <w:szCs w:val="22"/>
          <w:rtl w:val="0"/>
          <w:lang w:val="en-US"/>
        </w:rPr>
        <w:t>in vivo</w:t>
      </w:r>
      <w:r>
        <w:rPr>
          <w:rStyle w:val="None A"/>
          <w:rFonts w:ascii="Arial" w:hAnsi="Arial"/>
          <w:sz w:val="22"/>
          <w:szCs w:val="22"/>
          <w:rtl w:val="0"/>
          <w:lang w:val="en-US"/>
        </w:rPr>
        <w:t>. These carbon sources are both commonly provided by the host</w:t>
      </w:r>
      <w:r>
        <w:rPr>
          <w:rStyle w:val="None A"/>
          <w:rFonts w:ascii="Arial" w:hAnsi="Arial" w:hint="default"/>
          <w:sz w:val="22"/>
          <w:szCs w:val="22"/>
          <w:rtl w:val="0"/>
          <w:lang w:val="en-US"/>
        </w:rPr>
        <w:t>’</w:t>
      </w:r>
      <w:r>
        <w:rPr>
          <w:rStyle w:val="None A"/>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Prior research has shown that salicin is readily fermented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Style w:val="None A"/>
          <w:rFonts w:ascii="Arial" w:hAnsi="Arial" w:hint="default"/>
          <w:sz w:val="22"/>
          <w:szCs w:val="22"/>
          <w:rtl w:val="0"/>
          <w:lang w:val="en-US"/>
        </w:rPr>
        <w:t>’</w:t>
      </w:r>
      <w:r>
        <w:rPr>
          <w:rStyle w:val="None A"/>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Style w:val="None A"/>
          <w:rFonts w:ascii="Arial" w:hAnsi="Arial"/>
          <w:i w:val="1"/>
          <w:iCs w:val="1"/>
          <w:sz w:val="22"/>
          <w:szCs w:val="22"/>
          <w:rtl w:val="0"/>
          <w:lang w:val="en-US"/>
        </w:rPr>
        <w:t>increase</w:t>
      </w:r>
      <w:r>
        <w:rPr>
          <w:rStyle w:val="None A"/>
          <w:rFonts w:ascii="Arial" w:hAnsi="Arial"/>
          <w:sz w:val="22"/>
          <w:szCs w:val="22"/>
          <w:rtl w:val="0"/>
          <w:lang w:val="en-US"/>
        </w:rPr>
        <w:t xml:space="preserve"> severity of CDI symptoms in mice (Trindade, 2016). Network analysis also supports that</w:t>
      </w:r>
      <w:r>
        <w:rPr>
          <w:rtl w:val="0"/>
          <w:lang w:val="en-US"/>
        </w:rPr>
        <w:t xml:space="preserve"> </w:t>
      </w:r>
      <w:r>
        <w:rPr>
          <w:rStyle w:val="None A"/>
          <w:rFonts w:ascii="Arial" w:hAnsi="Arial"/>
          <w:sz w:val="22"/>
          <w:szCs w:val="22"/>
          <w:rtl w:val="0"/>
          <w:lang w:val="en-US"/>
        </w:rPr>
        <w:t xml:space="preserve">in GF mice,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N-acetylneuraminic acid as a growth substrate above most others. From these data it seems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alters it</w:t>
      </w:r>
      <w:r>
        <w:rPr>
          <w:rStyle w:val="None A"/>
          <w:rFonts w:ascii="Arial" w:hAnsi="Arial" w:hint="default"/>
          <w:sz w:val="22"/>
          <w:szCs w:val="22"/>
          <w:rtl w:val="0"/>
          <w:lang w:val="en-US"/>
        </w:rPr>
        <w:t>’</w:t>
      </w:r>
      <w:r>
        <w:rPr>
          <w:rStyle w:val="None A"/>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Many of the top scoring compounds appear to be associated with both fermentation and glycolysis, suggesting that these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are always active to some degree across conditions and are central to the organism</w:t>
      </w:r>
      <w:r>
        <w:rPr>
          <w:rStyle w:val="None A"/>
          <w:rFonts w:ascii="Arial" w:hAnsi="Arial" w:hint="default"/>
          <w:sz w:val="22"/>
          <w:szCs w:val="22"/>
          <w:rtl w:val="0"/>
          <w:lang w:val="en-US"/>
        </w:rPr>
        <w:t>’</w:t>
      </w:r>
      <w:r>
        <w:rPr>
          <w:rStyle w:val="None A"/>
          <w:rFonts w:ascii="Arial" w:hAnsi="Arial"/>
          <w:sz w:val="22"/>
          <w:szCs w:val="22"/>
          <w:rtl w:val="0"/>
          <w:lang w:val="en-US"/>
        </w:rPr>
        <w:t>s nutritional strategy.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light of the results presented here, our method strongly supports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Different classes of antibiotics may each result in a unique gut environment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conclusion, our findings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Context-dependent limitation of certain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pPr>
      <w:r>
        <w:rPr>
          <w:rStyle w:val="None A"/>
          <w:rFonts w:ascii="Arial" w:hAnsi="Arial"/>
          <w:sz w:val="22"/>
          <w:szCs w:val="22"/>
          <w:rtl w:val="0"/>
          <w:lang w:val="en-US"/>
        </w:rPr>
        <w:t xml:space="preserve">The known Stickland fermentation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couples the oxidation and reduction of proline an glycine to generate ATP (Neumann-Schaal, 2015). Transcription of specifically the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prd</w:t>
      </w:r>
      <w:r>
        <w:rPr>
          <w:rStyle w:val="None A"/>
          <w:rFonts w:ascii="Arial" w:hAnsi="Arial"/>
          <w:sz w:val="22"/>
          <w:szCs w:val="22"/>
          <w:rtl w:val="0"/>
          <w:lang w:val="en-US"/>
        </w:rPr>
        <w:t xml:space="preserve"> operons indicates that both proline and glycine are present and the associated metabolic pathways have most likely been activated (Bouillaut, 2013). C. difficile as an autotroph could explain the appearance of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in the shared metabolite list.</w:t>
      </w:r>
    </w:p>
    <w:p>
      <w:pPr>
        <w:pStyle w:val="Default"/>
        <w:shd w:val="clear" w:color="auto" w:fill="ffffff"/>
        <w:spacing w:line="480" w:lineRule="auto"/>
        <w:jc w:val="both"/>
      </w:pPr>
      <w:r>
        <w:rPr>
          <w:rStyle w:val="None A"/>
          <w:rFonts w:ascii="Arial" w:hAnsi="Arial"/>
          <w:sz w:val="22"/>
          <w:szCs w:val="22"/>
          <w:rtl w:val="0"/>
          <w:lang w:val="en-US"/>
        </w:rPr>
        <w:t>http://journals.plos.org/plosone/article?id=10.1371/journal.pone.0062157</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rPr>
      </w:pPr>
      <w:r>
        <w:rPr>
          <w:rStyle w:val="None A"/>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3D). These systems have been linked to the lifestyle switch from growth/division to virulence/transmission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(Darkoh, 2015; Carter, 2005). Transcripts for </w:t>
      </w:r>
      <w:r>
        <w:rPr>
          <w:rStyle w:val="None A"/>
          <w:rFonts w:ascii="Arial" w:hAnsi="Arial"/>
          <w:i w:val="1"/>
          <w:iCs w:val="1"/>
          <w:sz w:val="22"/>
          <w:szCs w:val="22"/>
          <w:rtl w:val="0"/>
          <w:lang w:val="en-US"/>
        </w:rPr>
        <w:t>agrB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agrD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were found overrepresented in cefoperazone-treated SPF mice with no concordant shifts in either sporulation or toxin activity. This illustrated that the observed changes in phenotype and expression may not be directly due to changes in the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quorum sensing occurring.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rPr>
      </w:pPr>
      <w:r>
        <w:rPr>
          <w:rStyle w:val="None A"/>
          <w:rFonts w:ascii="Arial" w:cs="Arial" w:hAnsi="Arial" w:eastAsia="Arial"/>
          <w:sz w:val="22"/>
          <w:szCs w:val="22"/>
          <w:rtl w:val="0"/>
        </w:rPr>
        <w:tab/>
        <w:t xml:space="preserve">Discrepancies with spore c.f.u. and sporulation transcripts may reflect the fact that RNA extraction is primarily only effective on vegetative cells and that distinct subpopulations could be undergoing sporulation at different rates.  This largely does not impact results from metabolic modeling because metabolite importance scores reflect average demand at the level of the entire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Because of this, these scores aren</w:t>
      </w:r>
      <w:r>
        <w:rPr>
          <w:rStyle w:val="None A"/>
          <w:rFonts w:ascii="Arial" w:hAnsi="Arial" w:hint="default"/>
          <w:sz w:val="22"/>
          <w:szCs w:val="22"/>
          <w:rtl w:val="0"/>
          <w:lang w:val="en-US"/>
        </w:rPr>
        <w:t>’</w:t>
      </w:r>
      <w:r>
        <w:rPr>
          <w:rStyle w:val="None A"/>
          <w:rFonts w:ascii="Arial" w:hAnsi="Arial"/>
          <w:sz w:val="22"/>
          <w:szCs w:val="22"/>
          <w:rtl w:val="0"/>
          <w:lang w:val="en-US"/>
        </w:rPr>
        <w:t>t subject to the effect of subtle differences in metabolism across small groups within the entire collection of activity within the species.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germ free distinct metabolites appear to be mostly auxotrohpies, suggests C. diff can skip a lot of biosynthesis in the absence of competition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Along with highlighting known growth substrates being differentially utilized between conditions, this network-based approach also provides a hypothesis-generating platform to identify new edges of competition of auxotrophies from the organism of interest.</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A"/>
          <w:rFonts w:ascii="Arial" w:hAnsi="Arial"/>
          <w:b w:val="1"/>
          <w:bCs w:val="1"/>
          <w:sz w:val="22"/>
          <w:szCs w:val="22"/>
          <w:rtl w:val="0"/>
          <w:lang w:val="en-US"/>
        </w:rPr>
        <w:t xml:space="preserve">Animal care and antibiotic administration. </w:t>
      </w:r>
      <w:r>
        <w:rPr>
          <w:rStyle w:val="None A"/>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Style w:val="None A"/>
          <w:rFonts w:ascii="Arial" w:hAnsi="Arial"/>
          <w:i w:val="1"/>
          <w:iCs w:val="1"/>
          <w:sz w:val="22"/>
          <w:szCs w:val="22"/>
          <w:rtl w:val="0"/>
          <w:lang w:val="en-US"/>
        </w:rPr>
        <w:t>ad libitum</w:t>
      </w:r>
      <w:r>
        <w:rPr>
          <w:rStyle w:val="None A"/>
          <w:rFonts w:ascii="Arial" w:hAnsi="Arial"/>
          <w:sz w:val="22"/>
          <w:szCs w:val="22"/>
          <w:rtl w:val="0"/>
          <w:lang w:val="en-US"/>
        </w:rPr>
        <w:t xml:space="preserve"> for 5 days with 2 days recovery with untreated distilled drinking water prior to infection. Clindamycin (10 mg/kg) was given via intraperitoneal injection 24 hours before time of infection.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infection and necropsy.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were administered to mice via oral gavage in </w:t>
      </w:r>
      <w:r>
        <w:rPr>
          <w:rStyle w:val="None A"/>
          <w:rFonts w:ascii="Arial" w:hAnsi="Arial" w:hint="default"/>
          <w:sz w:val="22"/>
          <w:szCs w:val="22"/>
          <w:rtl w:val="0"/>
          <w:lang w:val="en-US"/>
        </w:rPr>
        <w:t>×</w:t>
      </w:r>
      <w:r>
        <w:rPr>
          <w:rStyle w:val="None A"/>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w:t>
      </w:r>
      <w:r>
        <w:rPr>
          <w:rStyle w:val="None A"/>
          <w:rFonts w:ascii="Arial" w:hAnsi="Arial" w:hint="default"/>
          <w:sz w:val="22"/>
          <w:szCs w:val="22"/>
          <w:rtl w:val="0"/>
          <w:lang w:val="en-US"/>
        </w:rPr>
        <w:t>×</w:t>
      </w:r>
      <w:r>
        <w:rPr>
          <w:rStyle w:val="None A"/>
          <w:rFonts w:ascii="Arial" w:hAnsi="Arial"/>
          <w:sz w:val="22"/>
          <w:szCs w:val="22"/>
          <w:rtl w:val="0"/>
          <w:lang w:val="en-US"/>
        </w:rPr>
        <w:t xml:space="preserve">1 PBS at the same time as those mice administered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A"/>
          <w:rFonts w:ascii="Arial" w:hAnsi="Arial" w:hint="default"/>
          <w:sz w:val="22"/>
          <w:szCs w:val="22"/>
          <w:rtl w:val="0"/>
          <w:lang w:val="en-US"/>
        </w:rPr>
        <w:t>μ</w:t>
      </w:r>
      <w:r>
        <w:rPr>
          <w:rStyle w:val="None A"/>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cultivation and quantification. </w:t>
      </w:r>
      <w:r>
        <w:rPr>
          <w:rStyle w:val="None A"/>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toxin titer assay.</w:t>
      </w:r>
      <w:r>
        <w:rPr>
          <w:rStyle w:val="None A"/>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5</w:t>
      </w:r>
      <w:r>
        <w:rPr>
          <w:rStyle w:val="None A"/>
          <w:rFonts w:ascii="Arial" w:hAnsi="Arial"/>
          <w:sz w:val="22"/>
          <w:szCs w:val="22"/>
          <w:rtl w:val="0"/>
          <w:lang w:val="en-US"/>
        </w:rPr>
        <w:t xml:space="preserve"> cells were seeded in each well of a 96-well plate and incubated for 4 hours. Filtered cecal content was serially diluted 1:10 in </w:t>
      </w:r>
      <w:r>
        <w:rPr>
          <w:rStyle w:val="None A"/>
          <w:rFonts w:ascii="Arial" w:hAnsi="Arial" w:hint="default"/>
          <w:sz w:val="22"/>
          <w:szCs w:val="22"/>
          <w:rtl w:val="0"/>
          <w:lang w:val="en-US"/>
        </w:rPr>
        <w:t>×</w:t>
      </w:r>
      <w:r>
        <w:rPr>
          <w:rStyle w:val="None A"/>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Plates were viewed after 24 hours at </w:t>
      </w:r>
      <w:r>
        <w:rPr>
          <w:rStyle w:val="None A"/>
          <w:rFonts w:ascii="Arial" w:hAnsi="Arial" w:hint="default"/>
          <w:sz w:val="22"/>
          <w:szCs w:val="22"/>
          <w:rtl w:val="0"/>
          <w:lang w:val="en-US"/>
        </w:rPr>
        <w:t>×</w:t>
      </w:r>
      <w:r>
        <w:rPr>
          <w:rStyle w:val="None A"/>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https://github.com/jlleslie/Intraspecific_Competition/blob/master/methods/Verocell_ToxinActivity_Assa</w:t>
      </w:r>
      <w:r>
        <w:rPr/>
        <w:fldChar w:fldCharType="end" w:fldLock="0"/>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RNA extraction, library preparation, and sequencing. </w:t>
      </w:r>
      <w:r>
        <w:rPr>
          <w:rStyle w:val="None A"/>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acid phenol/chloroform was added to the cecal content lysate and incubated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10 minutes with periodic vortexing. The mixture was the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A"/>
          <w:rFonts w:ascii="Arial" w:hAnsi="Arial" w:hint="default"/>
          <w:sz w:val="22"/>
          <w:szCs w:val="22"/>
          <w:rtl w:val="0"/>
          <w:lang w:val="en-US"/>
        </w:rPr>
        <w:t xml:space="preserve">° </w:t>
      </w:r>
      <w:r>
        <w:rPr>
          <w:rStyle w:val="None A"/>
          <w:rFonts w:ascii="Arial" w:hAnsi="Arial"/>
          <w:sz w:val="22"/>
          <w:szCs w:val="22"/>
          <w:rtl w:val="0"/>
          <w:lang w:val="en-US"/>
        </w:rPr>
        <w:t>C. The following day the sample was centrifuged at 12000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45 minutes. The pellet was washed with 0</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100% ethanol and resuspended in 200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RNase-free water. Following the manufacterer's protocol, samples were then treated with 2 </w:t>
      </w:r>
      <w:r>
        <w:rPr>
          <w:rStyle w:val="None A"/>
          <w:rFonts w:ascii="Arial" w:hAnsi="Arial" w:hint="default"/>
          <w:sz w:val="22"/>
          <w:szCs w:val="22"/>
          <w:rtl w:val="0"/>
          <w:lang w:val="en-US"/>
        </w:rPr>
        <w:t>μ</w:t>
      </w:r>
      <w:r>
        <w:rPr>
          <w:rStyle w:val="None A"/>
          <w:rFonts w:ascii="Arial" w:hAnsi="Arial"/>
          <w:sz w:val="22"/>
          <w:szCs w:val="22"/>
          <w:rtl w:val="0"/>
          <w:lang w:val="en-US"/>
        </w:rPr>
        <w:t>l of Turbo DNase for 30 minutes</w:t>
      </w:r>
      <w:r>
        <w:rPr>
          <w:rtl w:val="0"/>
          <w:lang w:val="en-US"/>
        </w:rPr>
        <w:t xml:space="preserve"> </w:t>
      </w:r>
      <w:r>
        <w:rPr>
          <w:rStyle w:val="None A"/>
          <w:rFonts w:ascii="Arial" w:hAnsi="Arial"/>
          <w:sz w:val="22"/>
          <w:szCs w:val="22"/>
          <w:rtl w:val="0"/>
          <w:lang w:val="en-US"/>
        </w:rPr>
        <w:t>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1"/>
        </w:rPr>
        <w:fldChar w:fldCharType="begin" w:fldLock="0"/>
      </w:r>
      <w:r>
        <w:rPr>
          <w:rStyle w:val="Hyperlink.1"/>
        </w:rPr>
        <w:instrText xml:space="preserve"> HYPERLINK "https://github.com/SchlossLab/Jenior_Transcriptomics_2015/blob/master/doc/wetlab_protocol.txt"</w:instrText>
      </w:r>
      <w:r>
        <w:rPr>
          <w:rStyle w:val="Hyperlink.1"/>
        </w:rPr>
        <w:fldChar w:fldCharType="separate" w:fldLock="0"/>
      </w:r>
      <w:r>
        <w:rPr>
          <w:rStyle w:val="Hyperlink.1"/>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A"/>
          <w:rFonts w:ascii="Arial" w:cs="Arial" w:hAnsi="Arial" w:eastAsia="Arial"/>
          <w:sz w:val="22"/>
          <w:szCs w:val="22"/>
          <w:shd w:val="clear" w:color="auto" w:fill="ffff00"/>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Sequence curation, read mapping, and normalization. </w:t>
      </w:r>
      <w:r>
        <w:rPr>
          <w:rStyle w:val="None A"/>
          <w:rFonts w:ascii="Arial" w:hAnsi="Arial"/>
          <w:sz w:val="22"/>
          <w:szCs w:val="22"/>
          <w:rtl w:val="0"/>
          <w:lang w:val="en-US"/>
        </w:rPr>
        <w:t>Raw transcript sequencing read curation was performed in a two step process. Residual 5</w:t>
      </w:r>
      <w:r>
        <w:rPr>
          <w:rStyle w:val="None A"/>
          <w:rFonts w:ascii="Arial" w:hAnsi="Arial" w:hint="default"/>
          <w:sz w:val="22"/>
          <w:szCs w:val="22"/>
          <w:rtl w:val="0"/>
          <w:lang w:val="en-US"/>
        </w:rPr>
        <w:t xml:space="preserve">’ </w:t>
      </w:r>
      <w:r>
        <w:rPr>
          <w:rStyle w:val="None A"/>
          <w:rFonts w:ascii="Arial" w:hAnsi="Arial"/>
          <w:sz w:val="22"/>
          <w:szCs w:val="22"/>
          <w:rtl w:val="0"/>
          <w:lang w:val="en-US"/>
        </w:rPr>
        <w:t>and 3</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A"/>
          <w:rFonts w:ascii="Arial" w:hAnsi="Arial"/>
          <w:i w:val="1"/>
          <w:iCs w:val="1"/>
          <w:sz w:val="22"/>
          <w:szCs w:val="22"/>
          <w:rtl w:val="0"/>
          <w:lang w:val="en-US"/>
        </w:rPr>
        <w:t>Peptoclostridium difficile</w:t>
      </w:r>
      <w:r>
        <w:rPr>
          <w:rStyle w:val="None A"/>
          <w:rFonts w:ascii="Arial" w:hAnsi="Arial"/>
          <w:sz w:val="22"/>
          <w:szCs w:val="22"/>
          <w:rtl w:val="0"/>
          <w:lang w:val="en-US"/>
        </w:rPr>
        <w:t xml:space="preserve"> str. 630 from the Kyoto Encyclopedia of Genes and Genomes (KEGG). Optical and PCR duplicates were then removed using Picard MarkDuplicates (</w:t>
      </w:r>
      <w:r>
        <w:rPr>
          <w:rStyle w:val="Hyperlink.1"/>
        </w:rPr>
        <w:fldChar w:fldCharType="begin" w:fldLock="0"/>
      </w:r>
      <w:r>
        <w:rPr>
          <w:rStyle w:val="Hyperlink.1"/>
        </w:rPr>
        <w:instrText xml:space="preserve"> HYPERLINK "http://broadinstitute.github.io/picard/"</w:instrText>
      </w:r>
      <w:r>
        <w:rPr>
          <w:rStyle w:val="Hyperlink.1"/>
        </w:rPr>
        <w:fldChar w:fldCharType="separate" w:fldLock="0"/>
      </w:r>
      <w:r>
        <w:rPr>
          <w:rStyle w:val="Hyperlink.1"/>
          <w:rtl w:val="0"/>
          <w:lang w:val="en-US"/>
        </w:rPr>
        <w:t>http://broadinstitute.github.io/picard/</w:t>
      </w:r>
      <w:r>
        <w:rPr/>
        <w:fldChar w:fldCharType="end" w:fldLock="0"/>
      </w:r>
      <w:r>
        <w:rPr>
          <w:rStyle w:val="None A"/>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97,930 reads to generate a median expression value for each gene.  A detailed protocol for red curation can be found in the Github repository associated with this project:  </w:t>
      </w:r>
      <w:r>
        <w:rPr>
          <w:rStyle w:val="Hyperlink.1"/>
        </w:rPr>
        <w:fldChar w:fldCharType="begin" w:fldLock="0"/>
      </w:r>
      <w:r>
        <w:rPr>
          <w:rStyle w:val="Hyperlink.1"/>
        </w:rPr>
        <w:instrText xml:space="preserve"> HYPERLINK "https://github.com/SchlossLab/Jenior_Transcriptomics_2015/blob/master/doc/drylab_protocol.txt"</w:instrText>
      </w:r>
      <w:r>
        <w:rPr>
          <w:rStyle w:val="Hyperlink.1"/>
        </w:rPr>
        <w:fldChar w:fldCharType="separate" w:fldLock="0"/>
      </w:r>
      <w:r>
        <w:rPr>
          <w:rStyle w:val="Hyperlink.1"/>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Reaction Annotation &amp; Bipartite Network Construction. </w:t>
      </w:r>
      <w:r>
        <w:rPr>
          <w:rStyle w:val="None A"/>
          <w:rFonts w:ascii="Arial" w:hAnsi="Arial"/>
          <w:sz w:val="22"/>
          <w:szCs w:val="22"/>
          <w:rtl w:val="0"/>
          <w:lang w:val="en-US"/>
        </w:rPr>
        <w:t xml:space="preserve">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 </w:t>
      </w:r>
      <w:r>
        <w:rPr>
          <w:rStyle w:val="Hyperlink.2"/>
        </w:rPr>
        <w:fldChar w:fldCharType="begin" w:fldLock="0"/>
      </w:r>
      <w:r>
        <w:rPr>
          <w:rStyle w:val="Hyperlink.2"/>
        </w:rPr>
        <w:instrText xml:space="preserve"> HYPERLINK "http://igraph.org/r/"</w:instrText>
      </w:r>
      <w:r>
        <w:rPr>
          <w:rStyle w:val="Hyperlink.2"/>
        </w:rPr>
        <w:fldChar w:fldCharType="separate" w:fldLock="0"/>
      </w:r>
      <w:r>
        <w:rPr>
          <w:rStyle w:val="Hyperlink.2"/>
          <w:rtl w:val="0"/>
          <w:lang w:val="en-US"/>
        </w:rPr>
        <w:t>http://igraph.org/r/</w:t>
      </w:r>
      <w:r>
        <w:rPr/>
        <w:fldChar w:fldCharType="end" w:fldLock="0"/>
      </w:r>
      <w:r>
        <w:rPr>
          <w:rStyle w:val="Hyperlink.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Metabolite Importance Calculation.</w:t>
      </w:r>
      <w:r>
        <w:rPr>
          <w:rStyle w:val="Hyperlink.2"/>
          <w:rtl w:val="0"/>
          <w:lang w:val="en-US"/>
        </w:rPr>
        <w:t xml:space="preserve"> The substrate importance algorithm favors metabolites that are more likely acquired from the environment (not produced within the network), and will award them a higher score (Fig. 5a).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 A"/>
          <w:rFonts w:ascii="Arial" w:hAnsi="Arial"/>
          <w:b w:val="1"/>
          <w:bCs w:val="1"/>
          <w:sz w:val="22"/>
          <w:szCs w:val="22"/>
          <w:rtl w:val="0"/>
          <w:lang w:val="en-US"/>
        </w:rPr>
        <w:t>m</w:t>
      </w:r>
      <w:r>
        <w:rPr>
          <w:rStyle w:val="Hyperlink.2"/>
          <w:rtl w:val="0"/>
          <w:lang w:val="en-US"/>
        </w:rPr>
        <w:t xml:space="preserve">), we used rarefied transcript abundances mapped to respective enzyme nodes.  This is represented by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o</w:t>
      </w:r>
      <w:r>
        <w:rPr>
          <w:rStyle w:val="Hyperlink.2"/>
          <w:rtl w:val="0"/>
          <w:lang w:val="en-US"/>
        </w:rPr>
        <w:t xml:space="preserve"> and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i</w:t>
      </w:r>
      <w:r>
        <w:rPr>
          <w:rStyle w:val="Hyperlink.2"/>
          <w:rtl w:val="0"/>
          <w:lang w:val="en-US"/>
        </w:rPr>
        <w:t xml:space="preserve"> to designate if an enzyme creates or utilizes </w:t>
      </w:r>
      <w:r>
        <w:rPr>
          <w:rStyle w:val="None A"/>
          <w:rFonts w:ascii="Arial" w:hAnsi="Arial"/>
          <w:b w:val="1"/>
          <w:bCs w:val="1"/>
          <w:sz w:val="22"/>
          <w:szCs w:val="22"/>
          <w:rtl w:val="0"/>
          <w:lang w:val="en-US"/>
        </w:rPr>
        <w:t>m</w:t>
      </w:r>
      <w:r>
        <w:rPr>
          <w:rStyle w:val="Hyperlink.2"/>
          <w:rtl w:val="0"/>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name="MathJaxElement43Frame" w:id="1"/>
      <w:r>
        <w:rPr>
          <w:rStyle w:val="Hyperlink.2"/>
          <w:rtl w:val="0"/>
          <w:lang w:val="en-US"/>
        </w:rPr>
        <w:t>(</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o</w:t>
      </w:r>
      <w:r>
        <w:rPr>
          <w:rStyle w:val="Hyperlink.2"/>
          <w:rtl w:val="0"/>
          <w:lang w:val="en-US"/>
        </w:rPr>
        <w:t xml:space="preserve"> or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i</w:t>
      </w:r>
      <w:r>
        <w:rPr>
          <w:rStyle w:val="Hyperlink.2"/>
          <w:rtl w:val="0"/>
          <w:lang w:val="en-US"/>
        </w:rPr>
        <w:t>)</w:t>
      </w:r>
      <w:bookmarkEnd w:id="1"/>
      <w:r>
        <w:rPr>
          <w:rStyle w:val="Hyperlink.2"/>
          <w:rtl w:val="0"/>
          <w:lang w:val="en-US"/>
        </w:rPr>
        <w:t xml:space="preserve"> to normalize for highly connected metabolite nodes:</w:t>
      </w:r>
    </w:p>
    <w:p>
      <w:pPr>
        <w:pStyle w:val="Default"/>
        <w:shd w:val="clear" w:color="auto" w:fill="ffffff"/>
        <w:spacing w:line="480" w:lineRule="auto"/>
        <w:jc w:val="center"/>
        <w:rPr>
          <w:rStyle w:val="None A"/>
          <w:sz w:val="22"/>
          <w:szCs w:val="22"/>
        </w:rPr>
      </w:pPr>
      <w:r>
        <w:rPr>
          <w:rStyle w:val="Hyperlink.2"/>
          <w:rtl w:val="0"/>
          <w:lang w:val="en-US"/>
        </w:rPr>
        <w:t xml:space="preserve">(i)  </w:t>
      </w:r>
      <w:r>
        <w:rPr>
          <w:rStyle w:val="None A"/>
          <w:rFonts w:ascii="LM Roman Unslanted 10" w:cs="LM Roman Unslanted 10" w:hAnsi="LM Roman Unslanted 10" w:eastAsia="LM Roman Unslanted 10"/>
          <w:i w:val="1"/>
          <w:iCs w:val="1"/>
          <w:sz w:val="22"/>
          <w:szCs w:val="22"/>
          <w:rtl w:val="0"/>
          <w:lang w:val="en-US"/>
        </w:rPr>
        <w:t>µ</w:t>
      </w:r>
      <w:r>
        <w:rPr>
          <w:rStyle w:val="None A"/>
          <w:rFonts w:ascii="Arial" w:hAnsi="Arial"/>
          <w:sz w:val="22"/>
          <w:szCs w:val="22"/>
          <w:vertAlign w:val="subscript"/>
          <w:rtl w:val="0"/>
          <w:lang w:val="en-US"/>
        </w:rPr>
        <w:t>i</w:t>
      </w:r>
      <w:r>
        <w:rPr>
          <w:rStyle w:val="Hyperlink.2"/>
          <w:rtl w:val="0"/>
          <w:lang w:val="en-US"/>
        </w:rPr>
        <w:t xml:space="preserve"> = </w:t>
      </w:r>
      <w:r>
        <w:rPr>
          <w:rStyle w:val="None A"/>
          <w:sz w:val="28"/>
          <w:szCs w:val="28"/>
          <w:rtl w:val="0"/>
          <w:lang w:val="en-US"/>
        </w:rPr>
        <w:t>Σ</w:t>
      </w:r>
      <w:r>
        <w:rPr>
          <w:rStyle w:val="Hyperlink.2"/>
          <w:rtl w:val="0"/>
          <w:lang w:val="en-US"/>
        </w:rPr>
        <w:t>t</w:t>
      </w:r>
      <w:r>
        <w:rPr>
          <w:rStyle w:val="None A"/>
          <w:rFonts w:ascii="Arial" w:hAnsi="Arial"/>
          <w:sz w:val="22"/>
          <w:szCs w:val="22"/>
          <w:vertAlign w:val="subscript"/>
          <w:rtl w:val="0"/>
          <w:lang w:val="en-US"/>
        </w:rPr>
        <w:t>i</w:t>
      </w:r>
      <w:r>
        <w:rPr>
          <w:rStyle w:val="Hyperlink.2"/>
          <w:rtl w:val="0"/>
          <w:lang w:val="en-US"/>
        </w:rPr>
        <w:t xml:space="preserve"> </w:t>
      </w:r>
      <w:r>
        <w:rPr>
          <w:rStyle w:val="None A"/>
          <w:rFonts w:ascii="Arial" w:hAnsi="Arial" w:hint="default"/>
          <w:caps w:val="0"/>
          <w:smallCaps w:val="0"/>
          <w:color w:val="222222"/>
          <w:spacing w:val="0"/>
          <w:sz w:val="22"/>
          <w:szCs w:val="22"/>
          <w:u w:val="none" w:color="222222"/>
          <w:rtl w:val="0"/>
          <w:lang w:val="en-US"/>
        </w:rPr>
        <w:t>÷</w:t>
      </w:r>
      <w:r>
        <w:rPr>
          <w:rStyle w:val="Hyperlink.2"/>
          <w:rtl w:val="0"/>
          <w:lang w:val="en-US"/>
        </w:rPr>
        <w:t xml:space="preserve"> </w:t>
      </w:r>
      <w:r>
        <w:rPr>
          <w:rStyle w:val="None A"/>
          <w:rFonts w:ascii="LM Roman Unslanted 10" w:cs="LM Roman Unslanted 10" w:hAnsi="LM Roman Unslanted 10" w:eastAsia="LM Roman Unslanted 10"/>
          <w:i w:val="1"/>
          <w:iCs w:val="1"/>
          <w:sz w:val="22"/>
          <w:szCs w:val="22"/>
          <w:rtl w:val="0"/>
          <w:lang w:val="en-US"/>
        </w:rPr>
        <w:t>n</w:t>
      </w:r>
      <w:r>
        <w:rPr>
          <w:rStyle w:val="Hyperlink.2"/>
          <w:rtl w:val="0"/>
          <w:lang w:val="en-US"/>
        </w:rPr>
        <w:t>(e</w:t>
      </w:r>
      <w:r>
        <w:rPr>
          <w:rStyle w:val="None A"/>
          <w:rFonts w:ascii="Arial" w:hAnsi="Arial"/>
          <w:sz w:val="22"/>
          <w:szCs w:val="22"/>
          <w:vertAlign w:val="subscript"/>
          <w:rtl w:val="0"/>
          <w:lang w:val="en-US"/>
        </w:rPr>
        <w:t>o</w:t>
      </w:r>
      <w:r>
        <w:rPr>
          <w:rStyle w:val="None A"/>
          <w:rFonts w:ascii="Arial" w:hAnsi="Arial"/>
          <w:position w:val="0"/>
          <w:sz w:val="22"/>
          <w:szCs w:val="22"/>
          <w:vertAlign w:val="baseline"/>
          <w:rtl w:val="0"/>
          <w:lang w:val="en-US"/>
        </w:rPr>
        <w:t>)</w:t>
        <w:tab/>
        <w:tab/>
        <w:tab/>
        <w:t xml:space="preserve">(ii)  </w:t>
      </w:r>
      <w:r>
        <w:rPr>
          <w:rStyle w:val="None A"/>
          <w:rFonts w:ascii="LM Roman Unslanted 10" w:cs="LM Roman Unslanted 10" w:hAnsi="LM Roman Unslanted 10" w:eastAsia="LM Roman Unslanted 10"/>
          <w:i w:val="1"/>
          <w:iCs w:val="1"/>
          <w:position w:val="0"/>
          <w:sz w:val="22"/>
          <w:szCs w:val="22"/>
          <w:vertAlign w:val="baseline"/>
          <w:rtl w:val="0"/>
          <w:lang w:val="en-US"/>
        </w:rPr>
        <w:t>µ</w:t>
      </w:r>
      <w:r>
        <w:rPr>
          <w:rStyle w:val="None A"/>
          <w:rFonts w:ascii="Arial" w:hAnsi="Arial"/>
          <w:sz w:val="22"/>
          <w:szCs w:val="22"/>
          <w:vertAlign w:val="subscript"/>
          <w:rtl w:val="0"/>
          <w:lang w:val="en-US"/>
        </w:rPr>
        <w:t>o</w:t>
      </w:r>
      <w:r>
        <w:rPr>
          <w:rStyle w:val="None A"/>
          <w:rFonts w:ascii="Arial" w:hAnsi="Arial"/>
          <w:position w:val="0"/>
          <w:sz w:val="22"/>
          <w:szCs w:val="22"/>
          <w:vertAlign w:val="baseline"/>
          <w:rtl w:val="0"/>
          <w:lang w:val="en-US"/>
        </w:rPr>
        <w:t xml:space="preserve"> = </w:t>
      </w:r>
      <w:r>
        <w:rPr>
          <w:rStyle w:val="None A"/>
          <w:position w:val="0"/>
          <w:sz w:val="28"/>
          <w:szCs w:val="28"/>
          <w:vertAlign w:val="baseline"/>
          <w:rtl w:val="0"/>
          <w:lang w:val="en-US"/>
        </w:rPr>
        <w:t>Σ</w:t>
      </w:r>
      <w:r>
        <w:rPr>
          <w:rStyle w:val="None A"/>
          <w:rFonts w:ascii="Arial" w:hAnsi="Arial"/>
          <w:position w:val="0"/>
          <w:sz w:val="22"/>
          <w:szCs w:val="22"/>
          <w:vertAlign w:val="baseline"/>
          <w:rtl w:val="0"/>
          <w:lang w:val="en-US"/>
        </w:rPr>
        <w:t>t</w:t>
      </w:r>
      <w:r>
        <w:rPr>
          <w:rStyle w:val="None A"/>
          <w:rFonts w:ascii="Arial" w:hAnsi="Arial"/>
          <w:sz w:val="22"/>
          <w:szCs w:val="22"/>
          <w:vertAlign w:val="subscript"/>
          <w:rtl w:val="0"/>
          <w:lang w:val="en-US"/>
        </w:rPr>
        <w:t>o</w:t>
      </w:r>
      <w:r>
        <w:rPr>
          <w:rStyle w:val="None A"/>
          <w:rFonts w:ascii="Arial" w:hAnsi="Arial"/>
          <w:position w:val="0"/>
          <w:sz w:val="22"/>
          <w:szCs w:val="22"/>
          <w:vertAlign w:val="baseline"/>
          <w:rtl w:val="0"/>
          <w:lang w:val="en-US"/>
        </w:rPr>
        <w:t xml:space="preserve"> </w:t>
      </w:r>
      <w:r>
        <w:rPr>
          <w:rStyle w:val="None A"/>
          <w:rFonts w:ascii="Arial" w:hAnsi="Arial" w:hint="default"/>
          <w:caps w:val="0"/>
          <w:smallCaps w:val="0"/>
          <w:color w:val="222222"/>
          <w:spacing w:val="0"/>
          <w:position w:val="0"/>
          <w:sz w:val="22"/>
          <w:szCs w:val="22"/>
          <w:u w:val="none" w:color="222222"/>
          <w:vertAlign w:val="baseline"/>
          <w:rtl w:val="0"/>
          <w:lang w:val="en-US"/>
        </w:rPr>
        <w:t>÷</w:t>
      </w:r>
      <w:r>
        <w:rPr>
          <w:rStyle w:val="None A"/>
          <w:rFonts w:ascii="Arial" w:hAnsi="Arial"/>
          <w:position w:val="0"/>
          <w:sz w:val="22"/>
          <w:szCs w:val="22"/>
          <w:vertAlign w:val="baseline"/>
          <w:rtl w:val="0"/>
          <w:lang w:val="en-US"/>
        </w:rPr>
        <w:t xml:space="preserve"> </w:t>
      </w:r>
      <w:r>
        <w:rPr>
          <w:rStyle w:val="None A"/>
          <w:rFonts w:ascii="LM Roman Unslanted 10" w:cs="LM Roman Unslanted 10" w:hAnsi="LM Roman Unslanted 10" w:eastAsia="LM Roman Unslanted 10"/>
          <w:i w:val="1"/>
          <w:iCs w:val="1"/>
          <w:position w:val="0"/>
          <w:sz w:val="22"/>
          <w:szCs w:val="22"/>
          <w:vertAlign w:val="baseline"/>
          <w:rtl w:val="0"/>
          <w:lang w:val="en-US"/>
        </w:rPr>
        <w:t>n</w:t>
      </w:r>
      <w:r>
        <w:rPr>
          <w:rStyle w:val="None A"/>
          <w:rFonts w:ascii="Arial" w:hAnsi="Arial"/>
          <w:position w:val="0"/>
          <w:sz w:val="22"/>
          <w:szCs w:val="22"/>
          <w:vertAlign w:val="baseline"/>
          <w:rtl w:val="0"/>
          <w:lang w:val="en-US"/>
        </w:rPr>
        <w:t>(e</w:t>
      </w:r>
      <w:r>
        <w:rPr>
          <w:rStyle w:val="None A"/>
          <w:rFonts w:ascii="Arial" w:hAnsi="Arial"/>
          <w:sz w:val="22"/>
          <w:szCs w:val="22"/>
          <w:vertAlign w:val="subscript"/>
          <w:rtl w:val="0"/>
          <w:lang w:val="en-US"/>
        </w:rPr>
        <w:t>i</w:t>
      </w:r>
      <w:r>
        <w:rPr>
          <w:rStyle w:val="None A"/>
          <w:rFonts w:ascii="Arial" w:hAnsi="Arial"/>
          <w:position w:val="0"/>
          <w:sz w:val="22"/>
          <w:szCs w:val="22"/>
          <w:vertAlign w:val="baseline"/>
          <w:rtl w:val="0"/>
          <w:lang w:val="en-US"/>
        </w:rPr>
        <w:t>)</w:t>
      </w:r>
    </w:p>
    <w:p>
      <w:pPr>
        <w:pStyle w:val="Default"/>
        <w:shd w:val="clear" w:color="auto" w:fill="ffffff"/>
        <w:spacing w:line="480" w:lineRule="auto"/>
        <w:rPr>
          <w:rStyle w:val="None A"/>
          <w:sz w:val="22"/>
          <w:szCs w:val="22"/>
        </w:rPr>
      </w:pPr>
      <w:r>
        <w:rPr>
          <w:rStyle w:val="None A"/>
          <w:rFonts w:ascii="Arial" w:hAnsi="Arial"/>
          <w:position w:val="0"/>
          <w:sz w:val="22"/>
          <w:szCs w:val="22"/>
          <w:vertAlign w:val="baseline"/>
          <w:rtl w:val="0"/>
          <w:lang w:val="en-US"/>
        </w:rPr>
        <w:t>Next the raw metabolite importance score is calculated by subtracting the creation value from the consumption value to weight for metabolites that are likely acquired exogenously:</w:t>
      </w:r>
    </w:p>
    <w:p>
      <w:pPr>
        <w:pStyle w:val="Default"/>
        <w:shd w:val="clear" w:color="auto" w:fill="ffffff"/>
        <w:spacing w:line="480" w:lineRule="auto"/>
        <w:jc w:val="center"/>
        <w:rPr>
          <w:rStyle w:val="None A"/>
          <w:sz w:val="22"/>
          <w:szCs w:val="22"/>
        </w:rPr>
      </w:pPr>
      <w:r>
        <w:rPr>
          <w:rStyle w:val="Hyperlink.2"/>
          <w:rtl w:val="0"/>
          <w:lang w:val="en-US"/>
        </w:rPr>
        <w:t xml:space="preserve">(iii)  </w:t>
      </w:r>
      <w:r>
        <w:rPr>
          <w:rStyle w:val="None A"/>
          <w:rFonts w:ascii="PT Serif Caption" w:hAnsi="PT Serif Caption"/>
          <w:sz w:val="22"/>
          <w:szCs w:val="22"/>
          <w:rtl w:val="0"/>
          <w:lang w:val="en-US"/>
        </w:rPr>
        <w:t>I</w:t>
      </w:r>
      <w:r>
        <w:rPr>
          <w:rStyle w:val="None A"/>
          <w:rFonts w:ascii="Arial" w:hAnsi="Arial"/>
          <w:sz w:val="22"/>
          <w:szCs w:val="22"/>
          <w:vertAlign w:val="subscript"/>
          <w:rtl w:val="0"/>
          <w:lang w:val="en-US"/>
        </w:rPr>
        <w:t>m</w:t>
      </w:r>
      <w:r>
        <w:rPr>
          <w:rStyle w:val="Hyperlink.2"/>
          <w:rtl w:val="0"/>
          <w:lang w:val="en-US"/>
        </w:rPr>
        <w:t xml:space="preserve"> = </w:t>
      </w:r>
      <w:bookmarkStart w:name="MathJaxElement43Frame1" w:id="2"/>
      <w:r>
        <w:rPr>
          <w:rStyle w:val="None A"/>
          <w:rFonts w:ascii="Arial" w:hAnsi="Arial"/>
          <w:sz w:val="22"/>
          <w:szCs w:val="22"/>
          <w:vertAlign w:val="superscript"/>
          <w:rtl w:val="0"/>
          <w:lang w:val="en-US"/>
        </w:rPr>
        <w:t>2</w:t>
      </w:r>
      <w:r>
        <w:rPr>
          <w:rStyle w:val="Hyperlink.2"/>
          <w:rtl w:val="0"/>
          <w:lang w:val="en-US"/>
        </w:rPr>
        <w:t>√</w:t>
      </w:r>
      <w:r>
        <w:rPr>
          <w:rStyle w:val="Hyperlink.2"/>
          <w:rtl w:val="0"/>
          <w:lang w:val="en-US"/>
        </w:rPr>
        <w:t>(</w:t>
      </w:r>
      <w:bookmarkEnd w:id="2"/>
      <w:r>
        <w:rPr>
          <w:rStyle w:val="None A"/>
          <w:rFonts w:ascii="LM Roman Unslanted 10" w:cs="LM Roman Unslanted 10" w:hAnsi="LM Roman Unslanted 10" w:eastAsia="LM Roman Unslanted 10"/>
          <w:i w:val="1"/>
          <w:iCs w:val="1"/>
          <w:sz w:val="22"/>
          <w:szCs w:val="22"/>
          <w:rtl w:val="0"/>
          <w:lang w:val="en-US"/>
        </w:rPr>
        <w:t>µ</w:t>
      </w:r>
      <w:r>
        <w:rPr>
          <w:rStyle w:val="None A"/>
          <w:rFonts w:ascii="Arial" w:hAnsi="Arial"/>
          <w:sz w:val="22"/>
          <w:szCs w:val="22"/>
          <w:vertAlign w:val="subscript"/>
          <w:rtl w:val="0"/>
          <w:lang w:val="en-US"/>
        </w:rPr>
        <w:t>i</w:t>
      </w:r>
      <w:r>
        <w:rPr>
          <w:rStyle w:val="None A"/>
          <w:rFonts w:ascii="Arial" w:hAnsi="Arial" w:hint="default"/>
          <w:position w:val="0"/>
          <w:sz w:val="22"/>
          <w:szCs w:val="22"/>
          <w:vertAlign w:val="baseline"/>
          <w:rtl w:val="0"/>
          <w:lang w:val="en-US"/>
        </w:rPr>
        <w:t xml:space="preserve"> – </w:t>
      </w:r>
      <w:r>
        <w:rPr>
          <w:rStyle w:val="None A"/>
          <w:rFonts w:ascii="LM Roman Unslanted 10" w:cs="LM Roman Unslanted 10" w:hAnsi="LM Roman Unslanted 10" w:eastAsia="LM Roman Unslanted 10"/>
          <w:i w:val="1"/>
          <w:iCs w:val="1"/>
          <w:position w:val="0"/>
          <w:sz w:val="22"/>
          <w:szCs w:val="22"/>
          <w:vertAlign w:val="baseline"/>
          <w:rtl w:val="0"/>
          <w:lang w:val="en-US"/>
        </w:rPr>
        <w:t>µ</w:t>
      </w:r>
      <w:r>
        <w:rPr>
          <w:rStyle w:val="None A"/>
          <w:rFonts w:ascii="Arial" w:hAnsi="Arial"/>
          <w:sz w:val="22"/>
          <w:szCs w:val="22"/>
          <w:vertAlign w:val="subscript"/>
          <w:rtl w:val="0"/>
          <w:lang w:val="en-US"/>
        </w:rPr>
        <w:t>o</w:t>
      </w:r>
      <w:bookmarkStart w:name="MathJaxElement43Frame2" w:id="3"/>
      <w:r>
        <w:rPr>
          <w:rStyle w:val="Hyperlink.2"/>
          <w:rtl w:val="0"/>
          <w:lang w:val="en-US"/>
        </w:rPr>
        <w:t>)</w:t>
      </w:r>
    </w:p>
    <w:p>
      <w:pPr>
        <w:pStyle w:val="Default"/>
        <w:shd w:val="clear" w:color="auto" w:fill="ffffff"/>
        <w:spacing w:line="480" w:lineRule="auto"/>
      </w:pPr>
      <w:r>
        <w:rPr>
          <w:rStyle w:val="None A"/>
          <w:rFonts w:ascii="Arial" w:hAnsi="Arial"/>
          <w:position w:val="0"/>
          <w:sz w:val="22"/>
          <w:szCs w:val="22"/>
          <w:vertAlign w:val="baseline"/>
          <w:rtl w:val="0"/>
          <w:lang w:val="en-US"/>
        </w:rPr>
        <w:t>The difference is Log</w:t>
      </w:r>
      <w:r>
        <w:rPr>
          <w:rStyle w:val="None A"/>
          <w:rFonts w:ascii="Arial" w:hAnsi="Arial"/>
          <w:sz w:val="22"/>
          <w:szCs w:val="22"/>
          <w:vertAlign w:val="subscript"/>
          <w:rtl w:val="0"/>
          <w:lang w:val="en-US"/>
        </w:rPr>
        <w:t>2</w:t>
      </w:r>
      <w:r>
        <w:rPr>
          <w:rStyle w:val="None A"/>
          <w:rFonts w:ascii="Arial" w:hAnsi="Arial"/>
          <w:position w:val="0"/>
          <w:sz w:val="22"/>
          <w:szCs w:val="22"/>
          <w:vertAlign w:val="baseline"/>
          <w:rtl w:val="0"/>
          <w:lang w:val="en-US"/>
        </w:rPr>
        <w:t xml:space="preserve"> transformed for comparability between scores of individual metabolites. This results in a final value that reflects the likelihood a metabolite is acquired from the environment. </w:t>
      </w:r>
      <w:r>
        <w:rPr>
          <w:rStyle w:val="Hyperlink.2"/>
          <w:rtl w:val="0"/>
          <w:lang w:val="en-US"/>
        </w:rPr>
        <w:t>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w:t>
      </w:r>
      <w:r>
        <w:rPr>
          <w:rStyle w:val="None A"/>
          <w:rFonts w:ascii="Arial" w:hAnsi="Arial"/>
          <w:b w:val="1"/>
          <w:bCs w:val="1"/>
          <w:sz w:val="22"/>
          <w:szCs w:val="22"/>
          <w:rtl w:val="0"/>
          <w:lang w:val="en-US"/>
        </w:rPr>
        <w:t>B</w:t>
      </w:r>
      <w:r>
        <w:rPr>
          <w:rStyle w:val="Hyperlink.2"/>
          <w:rtl w:val="0"/>
          <w:lang w:val="en-US"/>
        </w:rPr>
        <w:t>acter</w:t>
      </w:r>
      <w:r>
        <w:rPr>
          <w:rStyle w:val="None A"/>
          <w:rFonts w:ascii="Arial" w:hAnsi="Arial"/>
          <w:b w:val="1"/>
          <w:bCs w:val="1"/>
          <w:sz w:val="22"/>
          <w:szCs w:val="22"/>
          <w:rtl w:val="0"/>
          <w:lang w:val="en-US"/>
        </w:rPr>
        <w:t>I</w:t>
      </w:r>
      <w:r>
        <w:rPr>
          <w:rStyle w:val="Hyperlink.2"/>
          <w:rtl w:val="0"/>
          <w:lang w:val="en-US"/>
        </w:rPr>
        <w:t xml:space="preserve">al </w:t>
      </w:r>
      <w:r>
        <w:rPr>
          <w:rStyle w:val="None A"/>
          <w:rFonts w:ascii="Arial" w:hAnsi="Arial"/>
          <w:b w:val="1"/>
          <w:bCs w:val="1"/>
          <w:sz w:val="22"/>
          <w:szCs w:val="22"/>
          <w:rtl w:val="0"/>
          <w:lang w:val="en-US"/>
        </w:rPr>
        <w:t>G</w:t>
      </w:r>
      <w:r>
        <w:rPr>
          <w:rStyle w:val="Hyperlink.2"/>
          <w:rtl w:val="0"/>
          <w:lang w:val="en-US"/>
        </w:rPr>
        <w:t>enome-</w:t>
      </w:r>
      <w:r>
        <w:rPr>
          <w:rStyle w:val="None A"/>
          <w:rFonts w:ascii="Arial" w:hAnsi="Arial"/>
          <w:b w:val="1"/>
          <w:bCs w:val="1"/>
          <w:sz w:val="22"/>
          <w:szCs w:val="22"/>
          <w:rtl w:val="0"/>
          <w:lang w:val="en-US"/>
        </w:rPr>
        <w:t>S</w:t>
      </w:r>
      <w:r>
        <w:rPr>
          <w:rStyle w:val="Hyperlink.2"/>
          <w:rtl w:val="0"/>
          <w:lang w:val="en-US"/>
        </w:rPr>
        <w:t xml:space="preserve">cale </w:t>
      </w:r>
      <w:r>
        <w:rPr>
          <w:rStyle w:val="None A"/>
          <w:rFonts w:ascii="Arial" w:hAnsi="Arial"/>
          <w:b w:val="1"/>
          <w:bCs w:val="1"/>
          <w:sz w:val="22"/>
          <w:szCs w:val="22"/>
          <w:rtl w:val="0"/>
          <w:lang w:val="en-US"/>
        </w:rPr>
        <w:t>M</w:t>
      </w:r>
      <w:r>
        <w:rPr>
          <w:rStyle w:val="Hyperlink.2"/>
          <w:rtl w:val="0"/>
          <w:lang w:val="en-US"/>
        </w:rPr>
        <w:t xml:space="preserve">etabolic models for </w:t>
      </w:r>
      <w:r>
        <w:rPr>
          <w:rStyle w:val="None A"/>
          <w:rFonts w:ascii="Arial" w:hAnsi="Arial"/>
          <w:b w:val="1"/>
          <w:bCs w:val="1"/>
          <w:sz w:val="22"/>
          <w:szCs w:val="22"/>
          <w:rtl w:val="0"/>
          <w:lang w:val="en-US"/>
        </w:rPr>
        <w:t>A</w:t>
      </w:r>
      <w:r>
        <w:rPr>
          <w:rStyle w:val="Hyperlink.2"/>
          <w:rtl w:val="0"/>
          <w:lang w:val="en-US"/>
        </w:rPr>
        <w:t>pp</w:t>
      </w:r>
      <w:r>
        <w:rPr>
          <w:rStyle w:val="None A"/>
          <w:rFonts w:ascii="Arial" w:hAnsi="Arial"/>
          <w:b w:val="1"/>
          <w:bCs w:val="1"/>
          <w:sz w:val="22"/>
          <w:szCs w:val="22"/>
          <w:rtl w:val="0"/>
          <w:lang w:val="en-US"/>
        </w:rPr>
        <w:t>L</w:t>
      </w:r>
      <w:r>
        <w:rPr>
          <w:rStyle w:val="Hyperlink.2"/>
          <w:rtl w:val="0"/>
          <w:lang w:val="en-US"/>
        </w:rPr>
        <w:t>ied reverse eco</w:t>
      </w:r>
      <w:r>
        <w:rPr>
          <w:rStyle w:val="None A"/>
          <w:rFonts w:ascii="Arial" w:hAnsi="Arial"/>
          <w:b w:val="1"/>
          <w:bCs w:val="1"/>
          <w:sz w:val="22"/>
          <w:szCs w:val="22"/>
          <w:rtl w:val="0"/>
          <w:lang w:val="en-US"/>
        </w:rPr>
        <w:t>L</w:t>
      </w:r>
      <w:r>
        <w:rPr>
          <w:rStyle w:val="Hyperlink.2"/>
          <w:rtl w:val="0"/>
          <w:lang w:val="en-US"/>
        </w:rPr>
        <w:t xml:space="preserve">ogy) available in a public Github repository at </w:t>
      </w:r>
      <w:r>
        <w:rPr>
          <w:rStyle w:val="Hyperlink.1"/>
        </w:rPr>
        <w:fldChar w:fldCharType="begin" w:fldLock="0"/>
      </w:r>
      <w:r>
        <w:rPr>
          <w:rStyle w:val="Hyperlink.1"/>
        </w:rPr>
        <w:instrText xml:space="preserve"> HYPERLINK "https://github.com/mjenior/bigsmall"</w:instrText>
      </w:r>
      <w:r>
        <w:rPr>
          <w:rStyle w:val="Hyperlink.1"/>
        </w:rPr>
        <w:fldChar w:fldCharType="separate" w:fldLock="0"/>
      </w:r>
      <w:r>
        <w:rPr>
          <w:rStyle w:val="Hyperlink.1"/>
          <w:rtl w:val="0"/>
          <w:lang w:val="en-US"/>
        </w:rPr>
        <w:t>https://github.com/mjenior/bigsmall</w:t>
      </w:r>
      <w:r>
        <w:rPr/>
        <w:fldChar w:fldCharType="end" w:fldLock="0"/>
      </w:r>
      <w:r>
        <w:rPr>
          <w:rStyle w:val="Hyperlink.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bookmarkStart w:name="MathJaxElement43Frame3" w:id="4"/>
      <w:r>
        <w:rPr>
          <w:rStyle w:val="None A"/>
          <w:rFonts w:ascii="Arial" w:hAnsi="Arial"/>
          <w:b w:val="1"/>
          <w:bCs w:val="1"/>
          <w:sz w:val="22"/>
          <w:szCs w:val="22"/>
          <w:rtl w:val="0"/>
          <w:lang w:val="en-US"/>
        </w:rPr>
        <w:t>Transcriptome Bootstrapping and Probability Distribution Comparison.</w:t>
      </w:r>
      <w:bookmarkEnd w:id="4"/>
      <w:bookmarkEnd w:id="3"/>
      <w:r>
        <w:rPr>
          <w:rStyle w:val="None A"/>
          <w:rFonts w:ascii="Arial" w:hAnsi="Arial"/>
          <w:b w:val="1"/>
          <w:bCs w:val="1"/>
          <w:sz w:val="22"/>
          <w:szCs w:val="22"/>
          <w:rtl w:val="0"/>
          <w:lang w:val="en-US"/>
        </w:rPr>
        <w:t xml:space="preserve"> </w:t>
      </w:r>
      <w:r>
        <w:rPr>
          <w:rStyle w:val="Hyperlink.2"/>
          <w:rtl w:val="0"/>
          <w:lang w:val="en-US"/>
        </w:rPr>
        <w:t xml:space="preserve">As sequencing replicates of </w:t>
      </w:r>
      <w:r>
        <w:rPr>
          <w:rStyle w:val="None A"/>
          <w:rFonts w:ascii="Arial" w:hAnsi="Arial"/>
          <w:i w:val="1"/>
          <w:iCs w:val="1"/>
          <w:sz w:val="22"/>
          <w:szCs w:val="22"/>
          <w:rtl w:val="0"/>
          <w:lang w:val="en-US"/>
        </w:rPr>
        <w:t>in vivo</w:t>
      </w:r>
      <w:r>
        <w:rPr>
          <w:rStyle w:val="Hyperlink.2"/>
          <w:rtl w:val="0"/>
          <w:lang w:val="en-US"/>
        </w:rPr>
        <w:t xml:space="preserve"> 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95% confidence interval.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Default"/>
        <w:shd w:val="clear" w:color="auto" w:fill="ffffff"/>
        <w:spacing w:line="480" w:lineRule="auto"/>
        <w:jc w:val="both"/>
        <w:rPr>
          <w:rStyle w:val="Hyperlink.2"/>
        </w:rPr>
      </w:pPr>
      <w:bookmarkStart w:name="MathJaxElement43Frame5" w:id="5"/>
    </w:p>
    <w:p>
      <w:pPr>
        <w:pStyle w:val="Default"/>
        <w:shd w:val="clear" w:color="auto" w:fill="ffffff"/>
        <w:spacing w:line="480" w:lineRule="auto"/>
        <w:jc w:val="both"/>
      </w:pPr>
      <w:r>
        <w:rPr>
          <w:rStyle w:val="None A"/>
          <w:rFonts w:ascii="Arial" w:hAnsi="Arial"/>
          <w:b w:val="1"/>
          <w:bCs w:val="1"/>
          <w:sz w:val="22"/>
          <w:szCs w:val="22"/>
          <w:rtl w:val="0"/>
          <w:lang w:val="en-US"/>
        </w:rPr>
        <w:t xml:space="preserve">Anaerobic </w:t>
      </w:r>
      <w:r>
        <w:rPr>
          <w:rStyle w:val="None A"/>
          <w:rFonts w:ascii="Arial" w:hAnsi="Arial"/>
          <w:b w:val="1"/>
          <w:bCs w:val="1"/>
          <w:i w:val="1"/>
          <w:iCs w:val="1"/>
          <w:sz w:val="22"/>
          <w:szCs w:val="22"/>
          <w:rtl w:val="0"/>
          <w:lang w:val="en-US"/>
        </w:rPr>
        <w:t>in vitro C. difficile</w:t>
      </w:r>
      <w:r>
        <w:rPr>
          <w:rStyle w:val="None A"/>
          <w:rFonts w:ascii="Arial" w:hAnsi="Arial"/>
          <w:b w:val="1"/>
          <w:bCs w:val="1"/>
          <w:sz w:val="22"/>
          <w:szCs w:val="22"/>
          <w:rtl w:val="0"/>
          <w:lang w:val="en-US"/>
        </w:rPr>
        <w:t xml:space="preserve"> growth curves. </w:t>
      </w:r>
      <w:r>
        <w:rPr>
          <w:rStyle w:val="Hyperlink.2"/>
          <w:rtl w:val="0"/>
          <w:lang w:val="en-US"/>
        </w:rPr>
        <w:t xml:space="preserve">The carbon-free variation of </w:t>
      </w:r>
      <w:r>
        <w:rPr>
          <w:rStyle w:val="None A"/>
          <w:rFonts w:ascii="Arial" w:hAnsi="Arial"/>
          <w:i w:val="1"/>
          <w:iCs w:val="1"/>
          <w:sz w:val="22"/>
          <w:szCs w:val="22"/>
          <w:rtl w:val="0"/>
          <w:lang w:val="en-US"/>
        </w:rPr>
        <w:t>C. difficile</w:t>
      </w:r>
      <w:r>
        <w:rPr>
          <w:rStyle w:val="Hyperlink.2"/>
          <w:rtl w:val="0"/>
          <w:lang w:val="en-US"/>
        </w:rPr>
        <w:t xml:space="preserve"> 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w:t>
      </w:r>
      <w:r>
        <w:rPr>
          <w:rStyle w:val="Hyperlink.2"/>
          <w:rtl w:val="0"/>
          <w:lang w:val="en-US"/>
        </w:rPr>
        <w:t>μ</w:t>
      </w:r>
      <w:r>
        <w:rPr>
          <w:rStyle w:val="Hyperlink.2"/>
          <w:rtl w:val="0"/>
          <w:lang w:val="en-US"/>
        </w:rPr>
        <w:t>l of final media mixes were added to a 96-well sterile plate arranged as shown in Table S4. A rich media growth control was also included, consisting of liquid Brain-Heart Infusion + 0.5% cysteine. All culturing and growth measurement were performed anaerobically in a Coy Type B Vinyl Anaerobic Chamber (3.0% H, 5.0% CO</w:t>
      </w:r>
      <w:r>
        <w:rPr>
          <w:rStyle w:val="None A"/>
          <w:rFonts w:ascii="Arial" w:hAnsi="Arial"/>
          <w:sz w:val="22"/>
          <w:szCs w:val="22"/>
          <w:vertAlign w:val="subscript"/>
          <w:rtl w:val="0"/>
          <w:lang w:val="en-US"/>
        </w:rPr>
        <w:t>2</w:t>
      </w:r>
      <w:r>
        <w:rPr>
          <w:rStyle w:val="Hyperlink.2"/>
          <w:rtl w:val="0"/>
          <w:lang w:val="en-US"/>
        </w:rPr>
        <w:t>, 92.0% N, 0.0% O</w:t>
      </w:r>
      <w:r>
        <w:rPr>
          <w:rStyle w:val="None A"/>
          <w:rFonts w:ascii="Arial" w:hAnsi="Arial"/>
          <w:sz w:val="22"/>
          <w:szCs w:val="22"/>
          <w:vertAlign w:val="subscript"/>
          <w:rtl w:val="0"/>
          <w:lang w:val="en-US"/>
        </w:rPr>
        <w:t>2</w:t>
      </w:r>
      <w:r>
        <w:rPr>
          <w:rStyle w:val="Hyperlink.2"/>
          <w:rtl w:val="0"/>
          <w:lang w:val="en-US"/>
        </w:rPr>
        <w:t xml:space="preserve">). </w:t>
      </w:r>
      <w:r>
        <w:rPr>
          <w:rStyle w:val="None A"/>
          <w:rFonts w:ascii="Arial" w:hAnsi="Arial"/>
          <w:i w:val="1"/>
          <w:iCs w:val="1"/>
          <w:sz w:val="22"/>
          <w:szCs w:val="22"/>
          <w:rtl w:val="0"/>
          <w:lang w:val="en-US"/>
        </w:rPr>
        <w:t>C. difficile</w:t>
      </w:r>
      <w:r>
        <w:rPr>
          <w:rStyle w:val="Hyperlink.2"/>
          <w:rtl w:val="0"/>
          <w:lang w:val="en-US"/>
        </w:rPr>
        <w:t xml:space="preserve"> str. 630 was grown for 14 hours at 37</w:t>
      </w:r>
      <w:r>
        <w:rPr>
          <w:rStyle w:val="Hyperlink.2"/>
          <w:rtl w:val="0"/>
          <w:lang w:val="en-US"/>
        </w:rPr>
        <w:t xml:space="preserve">° </w:t>
      </w:r>
      <w:r>
        <w:rPr>
          <w:rStyle w:val="Hyperlink.2"/>
          <w:rtl w:val="0"/>
          <w:lang w:val="en-US"/>
        </w:rPr>
        <w:t>C in 3 ml BHI + 0.5% cysteine. Cultures were then centrifuged at 2000 rpm for 5 minutes and resulting pellets were then washed twice with sterile, anaerobic 1</w:t>
      </w:r>
      <w:r>
        <w:rPr>
          <w:rStyle w:val="Hyperlink.2"/>
          <w:rtl w:val="0"/>
          <w:lang w:val="en-US"/>
        </w:rPr>
        <w:t xml:space="preserve"> </w:t>
      </w:r>
      <w:r>
        <w:rPr>
          <w:rStyle w:val="Hyperlink.2"/>
          <w:rtl w:val="0"/>
          <w:lang w:val="en-US"/>
        </w:rPr>
        <w:t>×</w:t>
      </w:r>
      <w:r>
        <w:rPr>
          <w:rStyle w:val="Hyperlink.2"/>
          <w:rtl w:val="0"/>
          <w:lang w:val="en-US"/>
        </w:rPr>
        <w:t xml:space="preserve"> </w:t>
      </w:r>
      <w:r>
        <w:rPr>
          <w:rStyle w:val="Hyperlink.2"/>
          <w:rtl w:val="0"/>
          <w:lang w:val="en-US"/>
        </w:rPr>
        <w:t xml:space="preserve">phosphate-buffered saline (PBS). Washed pellets were resuspended in 3 ml more PBS and 5 </w:t>
      </w:r>
      <w:r>
        <w:rPr>
          <w:rStyle w:val="Hyperlink.2"/>
          <w:rtl w:val="0"/>
          <w:lang w:val="en-US"/>
        </w:rPr>
        <w:t>μ</w:t>
      </w:r>
      <w:r>
        <w:rPr>
          <w:rStyle w:val="Hyperlink.2"/>
          <w:rtl w:val="0"/>
          <w:lang w:val="en-US"/>
        </w:rPr>
        <w:t>l of prepped culture was added the each growth well of the plate containing aliquoted media. The plate was then placed in a Tecan Sunrise plate reader, heated to 37</w:t>
      </w:r>
      <w:r>
        <w:rPr>
          <w:rStyle w:val="Hyperlink.2"/>
          <w:rtl w:val="0"/>
          <w:lang w:val="en-US"/>
        </w:rPr>
        <w:t xml:space="preserve">° </w:t>
      </w:r>
      <w:r>
        <w:rPr>
          <w:rStyle w:val="Hyperlink.2"/>
          <w:rtl w:val="0"/>
          <w:lang w:val="en-US"/>
        </w:rPr>
        <w:t>C. Plates were incubated for 24 hours with automatic optical density readings at 600 nm taken every 30 minutes. OD</w:t>
      </w:r>
      <w:r>
        <w:rPr>
          <w:rStyle w:val="None A"/>
          <w:rFonts w:ascii="Arial" w:hAnsi="Arial"/>
          <w:sz w:val="22"/>
          <w:szCs w:val="22"/>
          <w:vertAlign w:val="subscript"/>
          <w:rtl w:val="0"/>
          <w:lang w:val="en-US"/>
        </w:rPr>
        <w:t>600</w:t>
      </w:r>
      <w:r>
        <w:rPr>
          <w:rStyle w:val="Hyperlink.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A"/>
          <w:rFonts w:ascii="Arial" w:hAnsi="Arial"/>
          <w:sz w:val="22"/>
          <w:szCs w:val="22"/>
          <w:vertAlign w:val="subscript"/>
          <w:rtl w:val="0"/>
          <w:lang w:val="en-US"/>
        </w:rPr>
        <w:t>600</w:t>
      </w:r>
      <w:r>
        <w:rPr>
          <w:rStyle w:val="Hyperlink.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Figure Legends</w:t>
      </w:r>
    </w:p>
    <w:p>
      <w:pPr>
        <w:pStyle w:val="Default"/>
        <w:shd w:val="clear" w:color="auto" w:fill="ffffff"/>
        <w:spacing w:line="480" w:lineRule="auto"/>
        <w:jc w:val="both"/>
        <w:rPr>
          <w:rStyle w:val="Hyperlink.2"/>
        </w:rPr>
      </w:pPr>
      <w:r>
        <w:rPr>
          <w:rStyle w:val="None A"/>
          <w:rFonts w:ascii="Arial" w:hAnsi="Arial"/>
          <w:b w:val="1"/>
          <w:bCs w:val="1"/>
          <w:sz w:val="22"/>
          <w:szCs w:val="22"/>
          <w:rtl w:val="0"/>
          <w:lang w:val="en-US"/>
        </w:rPr>
        <w:t xml:space="preserve">Table 1 | Antibiotics used during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1 | Experimental time lines for mouse model pretreatments and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w:t>
      </w:r>
      <w:r>
        <w:rPr>
          <w:rStyle w:val="Hyperlink.2"/>
          <w:rtl w:val="0"/>
          <w:lang w:val="en-US"/>
        </w:rPr>
        <w:t xml:space="preserve"> Nine wild-type C57BL/6 mice were included in each pretreatment group. </w:t>
      </w:r>
      <w:r>
        <w:rPr>
          <w:rStyle w:val="None A"/>
          <w:rFonts w:ascii="Arial" w:hAnsi="Arial"/>
          <w:b w:val="1"/>
          <w:bCs w:val="1"/>
          <w:sz w:val="22"/>
          <w:szCs w:val="22"/>
          <w:rtl w:val="0"/>
          <w:lang w:val="en-US"/>
        </w:rPr>
        <w:t>(a)</w:t>
      </w:r>
      <w:r>
        <w:rPr>
          <w:rStyle w:val="Hyperlink.2"/>
          <w:rtl w:val="0"/>
          <w:lang w:val="en-US"/>
        </w:rPr>
        <w:t xml:space="preserve"> Streptomycin or </w:t>
      </w:r>
      <w:r>
        <w:rPr>
          <w:rStyle w:val="None A"/>
          <w:rFonts w:ascii="Arial" w:hAnsi="Arial"/>
          <w:b w:val="1"/>
          <w:bCs w:val="1"/>
          <w:sz w:val="22"/>
          <w:szCs w:val="22"/>
          <w:rtl w:val="0"/>
          <w:lang w:val="en-US"/>
        </w:rPr>
        <w:t>(b)</w:t>
      </w:r>
      <w:r>
        <w:rPr>
          <w:rStyle w:val="Hyperlink.2"/>
          <w:rtl w:val="0"/>
          <w:lang w:val="en-US"/>
        </w:rPr>
        <w:t xml:space="preserve"> cefoperazone administered </w:t>
      </w:r>
      <w:r>
        <w:rPr>
          <w:rStyle w:val="None A"/>
          <w:rFonts w:ascii="Arial" w:hAnsi="Arial"/>
          <w:i w:val="1"/>
          <w:iCs w:val="1"/>
          <w:sz w:val="22"/>
          <w:szCs w:val="22"/>
          <w:rtl w:val="0"/>
          <w:lang w:val="en-US"/>
        </w:rPr>
        <w:t>ad libitum</w:t>
      </w:r>
      <w:r>
        <w:rPr>
          <w:rStyle w:val="Hyperlink.2"/>
          <w:rtl w:val="0"/>
          <w:lang w:val="en-US"/>
        </w:rPr>
        <w:t xml:space="preserve"> in drinking water for 5 days, with 2 days recovery with untreated drinking water before infection, </w:t>
      </w:r>
      <w:r>
        <w:rPr>
          <w:rStyle w:val="None A"/>
          <w:rFonts w:ascii="Arial" w:hAnsi="Arial"/>
          <w:b w:val="1"/>
          <w:bCs w:val="1"/>
          <w:sz w:val="22"/>
          <w:szCs w:val="22"/>
          <w:rtl w:val="0"/>
          <w:lang w:val="en-US"/>
        </w:rPr>
        <w:t>(c)</w:t>
      </w:r>
      <w:r>
        <w:rPr>
          <w:rStyle w:val="Hyperlink.2"/>
          <w:rtl w:val="0"/>
          <w:lang w:val="en-US"/>
        </w:rPr>
        <w:t xml:space="preserve"> a single clindamycin intraperitoneal injection on Day -1 prior to infection, or </w:t>
      </w:r>
      <w:r>
        <w:rPr>
          <w:rStyle w:val="None A"/>
          <w:rFonts w:ascii="Arial" w:hAnsi="Arial"/>
          <w:b w:val="1"/>
          <w:bCs w:val="1"/>
          <w:sz w:val="22"/>
          <w:szCs w:val="22"/>
          <w:rtl w:val="0"/>
          <w:lang w:val="en-US"/>
        </w:rPr>
        <w:t>(d)</w:t>
      </w:r>
      <w:r>
        <w:rPr>
          <w:rStyle w:val="Hyperlink.2"/>
          <w:rtl w:val="0"/>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w:t>
      </w:r>
      <w:r>
        <w:rPr>
          <w:rStyle w:val="Hyperlink.2"/>
          <w:rtl w:val="0"/>
          <w:lang w:val="en-US"/>
        </w:rPr>
        <w:t>×</w:t>
      </w:r>
      <w:r>
        <w:rPr>
          <w:rStyle w:val="Hyperlink.2"/>
          <w:rtl w:val="0"/>
          <w:lang w:val="en-US"/>
        </w:rPr>
        <w:t>10</w:t>
      </w:r>
      <w:r>
        <w:rPr>
          <w:rStyle w:val="None A"/>
          <w:rFonts w:ascii="Arial" w:hAnsi="Arial"/>
          <w:sz w:val="22"/>
          <w:szCs w:val="22"/>
          <w:vertAlign w:val="superscript"/>
          <w:rtl w:val="0"/>
          <w:lang w:val="en-US"/>
        </w:rPr>
        <w:t>3</w:t>
      </w:r>
      <w:r>
        <w:rPr>
          <w:rStyle w:val="Hyperlink.2"/>
          <w:rtl w:val="0"/>
          <w:lang w:val="en-US"/>
        </w:rPr>
        <w:t xml:space="preserve"> </w:t>
      </w:r>
      <w:r>
        <w:rPr>
          <w:rStyle w:val="None A"/>
          <w:rFonts w:ascii="Arial" w:hAnsi="Arial"/>
          <w:i w:val="1"/>
          <w:iCs w:val="1"/>
          <w:sz w:val="22"/>
          <w:szCs w:val="22"/>
          <w:rtl w:val="0"/>
          <w:lang w:val="en-US"/>
        </w:rPr>
        <w:t>C. difficile</w:t>
      </w:r>
      <w:r>
        <w:rPr>
          <w:rStyle w:val="Hyperlink.2"/>
          <w:rtl w:val="0"/>
          <w:lang w:val="en-US"/>
        </w:rPr>
        <w:t xml:space="preserve"> str. 630 spores at the time of infection. Sacrifice and necropsy was done 18 hours post-challenge and cecal content was then collected.</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sporulation and toxin activity quantification after 18 hours of infection. (a)</w:t>
      </w:r>
      <w:r>
        <w:rPr>
          <w:rStyle w:val="Hyperlink.2"/>
          <w:rtl w:val="0"/>
          <w:lang w:val="en-US"/>
        </w:rPr>
        <w:t xml:space="preserve"> Vegetative </w:t>
      </w:r>
      <w:r>
        <w:rPr>
          <w:rStyle w:val="None A"/>
          <w:rFonts w:ascii="Arial" w:hAnsi="Arial"/>
          <w:i w:val="1"/>
          <w:iCs w:val="1"/>
          <w:sz w:val="22"/>
          <w:szCs w:val="22"/>
          <w:rtl w:val="0"/>
          <w:lang w:val="en-US"/>
        </w:rPr>
        <w:t>C. difficile</w:t>
      </w:r>
      <w:r>
        <w:rPr>
          <w:rStyle w:val="Hyperlink.2"/>
          <w:rtl w:val="0"/>
          <w:lang w:val="en-US"/>
        </w:rPr>
        <w:t xml:space="preserve"> c.f.u. per gram of cecal content (n=9 mice per group). No significant differences were observed in between any group colonized by </w:t>
      </w:r>
      <w:r>
        <w:rPr>
          <w:rStyle w:val="None A"/>
          <w:rFonts w:ascii="Arial" w:hAnsi="Arial"/>
          <w:i w:val="1"/>
          <w:iCs w:val="1"/>
          <w:sz w:val="22"/>
          <w:szCs w:val="22"/>
          <w:rtl w:val="0"/>
          <w:lang w:val="en-US"/>
        </w:rPr>
        <w:t>C. difficile</w:t>
      </w:r>
      <w:r>
        <w:rPr>
          <w:rStyle w:val="Hyperlink.2"/>
          <w:rtl w:val="0"/>
          <w:lang w:val="en-US"/>
        </w:rPr>
        <w:t xml:space="preserve">.  </w:t>
      </w:r>
      <w:r>
        <w:rPr>
          <w:rStyle w:val="None A"/>
          <w:rFonts w:ascii="Arial" w:hAnsi="Arial"/>
          <w:b w:val="1"/>
          <w:bCs w:val="1"/>
          <w:sz w:val="22"/>
          <w:szCs w:val="22"/>
          <w:rtl w:val="0"/>
          <w:lang w:val="en-US"/>
        </w:rPr>
        <w:t xml:space="preserve">(b) </w:t>
      </w:r>
      <w:r>
        <w:rPr>
          <w:rStyle w:val="None A"/>
          <w:rFonts w:ascii="Arial" w:hAnsi="Arial"/>
          <w:i w:val="1"/>
          <w:iCs w:val="1"/>
          <w:sz w:val="22"/>
          <w:szCs w:val="22"/>
          <w:rtl w:val="0"/>
          <w:lang w:val="en-US"/>
        </w:rPr>
        <w:t>C. difficile</w:t>
      </w:r>
      <w:r>
        <w:rPr>
          <w:rStyle w:val="Hyperlink.2"/>
          <w:rtl w:val="0"/>
          <w:lang w:val="en-US"/>
        </w:rPr>
        <w:t xml:space="preserve"> spore c.f.u. per gram of cecal content. Significantly more spores were detectable in GF mice compared to any of the antibiotic-treated SPF groups (*</w:t>
      </w:r>
      <w:r>
        <w:rPr>
          <w:rStyle w:val="None A"/>
          <w:rFonts w:ascii="Arial" w:hAnsi="Arial"/>
          <w:i w:val="1"/>
          <w:iCs w:val="1"/>
          <w:sz w:val="22"/>
          <w:szCs w:val="22"/>
          <w:rtl w:val="0"/>
          <w:lang w:val="en-US"/>
        </w:rPr>
        <w:t>P</w:t>
      </w:r>
      <w:r>
        <w:rPr>
          <w:rStyle w:val="Hyperlink.2"/>
          <w:rtl w:val="0"/>
          <w:lang w:val="en-US"/>
        </w:rPr>
        <w:t xml:space="preserve"> &lt; 0.05). </w:t>
      </w:r>
      <w:r>
        <w:rPr>
          <w:rStyle w:val="None A"/>
          <w:rFonts w:ascii="Arial" w:hAnsi="Arial"/>
          <w:b w:val="1"/>
          <w:bCs w:val="1"/>
          <w:sz w:val="22"/>
          <w:szCs w:val="22"/>
          <w:rtl w:val="0"/>
          <w:lang w:val="en-US"/>
        </w:rPr>
        <w:t>(c)</w:t>
      </w:r>
      <w:r>
        <w:rPr>
          <w:rStyle w:val="Hyperlink.2"/>
          <w:rtl w:val="0"/>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 A"/>
          <w:rFonts w:ascii="Arial" w:hAnsi="Arial"/>
          <w:i w:val="1"/>
          <w:iCs w:val="1"/>
          <w:sz w:val="22"/>
          <w:szCs w:val="22"/>
          <w:rtl w:val="0"/>
          <w:lang w:val="en-US"/>
        </w:rPr>
        <w:t>P</w:t>
      </w:r>
      <w:r>
        <w:rPr>
          <w:rStyle w:val="Hyperlink.2"/>
          <w:rtl w:val="0"/>
          <w:lang w:val="en-US"/>
        </w:rPr>
        <w:t xml:space="preserve"> &lt; 0.05). UD* in </w:t>
      </w:r>
      <w:r>
        <w:rPr>
          <w:rStyle w:val="None A"/>
          <w:rFonts w:ascii="Arial" w:hAnsi="Arial"/>
          <w:b w:val="1"/>
          <w:bCs w:val="1"/>
          <w:sz w:val="22"/>
          <w:szCs w:val="22"/>
          <w:rtl w:val="0"/>
          <w:lang w:val="en-US"/>
        </w:rPr>
        <w:t>a</w:t>
      </w:r>
      <w:r>
        <w:rPr>
          <w:rStyle w:val="Hyperlink.2"/>
          <w:rtl w:val="0"/>
          <w:lang w:val="en-US"/>
        </w:rPr>
        <w:t>,</w:t>
      </w:r>
      <w:r>
        <w:rPr>
          <w:rStyle w:val="None A"/>
          <w:rFonts w:ascii="Arial" w:hAnsi="Arial"/>
          <w:b w:val="1"/>
          <w:bCs w:val="1"/>
          <w:sz w:val="22"/>
          <w:szCs w:val="22"/>
          <w:rtl w:val="0"/>
          <w:lang w:val="en-US"/>
        </w:rPr>
        <w:t>b</w:t>
      </w:r>
      <w:r>
        <w:rPr>
          <w:rStyle w:val="Hyperlink.2"/>
          <w:rtl w:val="0"/>
          <w:lang w:val="en-US"/>
        </w:rPr>
        <w:t>,</w:t>
      </w:r>
      <w:r>
        <w:rPr>
          <w:rStyle w:val="None A"/>
          <w:rFonts w:ascii="Arial" w:hAnsi="Arial"/>
          <w:b w:val="1"/>
          <w:bCs w:val="1"/>
          <w:sz w:val="22"/>
          <w:szCs w:val="22"/>
          <w:rtl w:val="0"/>
          <w:lang w:val="en-US"/>
        </w:rPr>
        <w:t>c</w:t>
      </w:r>
      <w:r>
        <w:rPr>
          <w:rStyle w:val="Hyperlink.2"/>
          <w:rtl w:val="0"/>
          <w:lang w:val="en-US"/>
        </w:rPr>
        <w:t xml:space="preserve"> indicate that all points in this groups were undetectable and are significantly different from all other groups in each assay (***</w:t>
      </w:r>
      <w:r>
        <w:rPr>
          <w:rStyle w:val="None A"/>
          <w:rFonts w:ascii="Arial" w:hAnsi="Arial"/>
          <w:i w:val="1"/>
          <w:iCs w:val="1"/>
          <w:sz w:val="22"/>
          <w:szCs w:val="22"/>
          <w:rtl w:val="0"/>
          <w:lang w:val="en-US"/>
        </w:rPr>
        <w:t>P</w:t>
      </w:r>
      <w:r>
        <w:rPr>
          <w:rStyle w:val="Hyperlink.2"/>
          <w:rtl w:val="0"/>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val="clear" w:color="auto" w:fill="ffffff"/>
        <w:spacing w:line="480" w:lineRule="auto"/>
        <w:jc w:val="both"/>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3 | Select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gene set expression compared between treatment group. </w:t>
      </w:r>
      <w:r>
        <w:rPr>
          <w:rStyle w:val="Hyperlink.2"/>
          <w:rtl w:val="0"/>
          <w:lang w:val="en-US"/>
        </w:rPr>
        <w:t xml:space="preserve">Relative abundances of rarefied transcript data for each gene from pooled transcriptomic sequencing of </w:t>
      </w:r>
      <w:r>
        <w:rPr>
          <w:rStyle w:val="None A"/>
          <w:rFonts w:ascii="Arial" w:hAnsi="Arial"/>
          <w:i w:val="1"/>
          <w:iCs w:val="1"/>
          <w:sz w:val="22"/>
          <w:szCs w:val="22"/>
          <w:rtl w:val="0"/>
          <w:lang w:val="en-US"/>
        </w:rPr>
        <w:t>C. difficile</w:t>
      </w:r>
      <w:r>
        <w:rPr>
          <w:rStyle w:val="Hyperlink.2"/>
          <w:rtl w:val="0"/>
          <w:lang w:val="en-US"/>
        </w:rPr>
        <w:t xml:space="preserve"> in each condition. </w:t>
      </w:r>
      <w:r>
        <w:rPr>
          <w:rStyle w:val="None A"/>
          <w:rFonts w:ascii="Arial" w:hAnsi="Arial"/>
          <w:b w:val="1"/>
          <w:bCs w:val="1"/>
          <w:sz w:val="22"/>
          <w:szCs w:val="22"/>
          <w:rtl w:val="0"/>
          <w:lang w:val="en-US"/>
        </w:rPr>
        <w:t>(a)</w:t>
      </w:r>
      <w:r>
        <w:rPr>
          <w:rStyle w:val="Hyperlink.2"/>
          <w:rtl w:val="0"/>
          <w:lang w:val="en-US"/>
        </w:rPr>
        <w:t xml:space="preserve"> Select genes from the </w:t>
      </w:r>
      <w:r>
        <w:rPr>
          <w:rStyle w:val="None A"/>
          <w:rFonts w:ascii="Arial" w:hAnsi="Arial"/>
          <w:i w:val="1"/>
          <w:iCs w:val="1"/>
          <w:sz w:val="22"/>
          <w:szCs w:val="22"/>
          <w:rtl w:val="0"/>
          <w:lang w:val="en-US"/>
        </w:rPr>
        <w:t>C. difficile</w:t>
      </w:r>
      <w:r>
        <w:rPr>
          <w:rStyle w:val="Hyperlink.2"/>
          <w:rtl w:val="0"/>
          <w:lang w:val="en-US"/>
        </w:rPr>
        <w:t xml:space="preserve"> sporulation pathway with the greatest variation in expression between the conditions tested. </w:t>
      </w:r>
      <w:r>
        <w:rPr>
          <w:rStyle w:val="None A"/>
          <w:rFonts w:ascii="Arial" w:hAnsi="Arial"/>
          <w:b w:val="1"/>
          <w:bCs w:val="1"/>
          <w:sz w:val="22"/>
          <w:szCs w:val="22"/>
          <w:rtl w:val="0"/>
          <w:lang w:val="en-US"/>
        </w:rPr>
        <w:t>(b)</w:t>
      </w:r>
      <w:r>
        <w:rPr>
          <w:rStyle w:val="Hyperlink.2"/>
          <w:rtl w:val="0"/>
          <w:lang w:val="en-US"/>
        </w:rPr>
        <w:t xml:space="preserve"> Genes for effector proteins included in the </w:t>
      </w:r>
      <w:r>
        <w:rPr>
          <w:rStyle w:val="None A"/>
          <w:rFonts w:ascii="Arial" w:hAnsi="Arial"/>
          <w:i w:val="1"/>
          <w:iCs w:val="1"/>
          <w:sz w:val="22"/>
          <w:szCs w:val="22"/>
          <w:rtl w:val="0"/>
          <w:lang w:val="en-US"/>
        </w:rPr>
        <w:t>C. difficile</w:t>
      </w:r>
      <w:r>
        <w:rPr>
          <w:rStyle w:val="Hyperlink.2"/>
          <w:rtl w:val="0"/>
          <w:lang w:val="en-US"/>
        </w:rPr>
        <w:t xml:space="preserve"> pathogenicity locus. </w:t>
      </w:r>
      <w:r>
        <w:rPr>
          <w:rStyle w:val="None A"/>
          <w:rFonts w:ascii="Arial" w:hAnsi="Arial"/>
          <w:b w:val="1"/>
          <w:bCs w:val="1"/>
          <w:sz w:val="22"/>
          <w:szCs w:val="22"/>
          <w:rtl w:val="0"/>
          <w:lang w:val="en-US"/>
        </w:rPr>
        <w:t>(c)</w:t>
      </w:r>
      <w:r>
        <w:rPr>
          <w:rStyle w:val="Hyperlink.2"/>
          <w:rtl w:val="0"/>
          <w:lang w:val="en-US"/>
        </w:rPr>
        <w:t xml:space="preserve"> Genes that have been associated with quorum sensing in </w:t>
      </w:r>
      <w:r>
        <w:rPr>
          <w:rStyle w:val="None A"/>
          <w:rFonts w:ascii="Arial" w:hAnsi="Arial"/>
          <w:i w:val="1"/>
          <w:iCs w:val="1"/>
          <w:sz w:val="22"/>
          <w:szCs w:val="22"/>
          <w:rtl w:val="0"/>
          <w:lang w:val="en-US"/>
        </w:rPr>
        <w:t>C. difficile</w:t>
      </w:r>
      <w:r>
        <w:rPr>
          <w:rStyle w:val="Hyperlink.2"/>
          <w:rtl w:val="0"/>
          <w:lang w:val="en-US"/>
        </w:rPr>
        <w:t xml:space="preserve">. </w:t>
      </w:r>
      <w:r>
        <w:rPr>
          <w:rStyle w:val="None A"/>
          <w:rFonts w:ascii="Arial" w:hAnsi="Arial"/>
          <w:b w:val="1"/>
          <w:bCs w:val="1"/>
          <w:sz w:val="22"/>
          <w:szCs w:val="22"/>
          <w:rtl w:val="0"/>
          <w:lang w:val="en-US"/>
        </w:rPr>
        <w:t>(d)</w:t>
      </w:r>
      <w:r>
        <w:rPr>
          <w:rStyle w:val="Hyperlink.2"/>
          <w:rtl w:val="0"/>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 A"/>
          <w:rFonts w:ascii="Arial" w:hAnsi="Arial"/>
          <w:b w:val="1"/>
          <w:bCs w:val="1"/>
          <w:sz w:val="22"/>
          <w:szCs w:val="22"/>
          <w:rtl w:val="0"/>
          <w:lang w:val="en-US"/>
        </w:rPr>
        <w:t>a</w:t>
      </w:r>
      <w:r>
        <w:rPr>
          <w:rStyle w:val="Hyperlink.2"/>
          <w:rtl w:val="0"/>
          <w:lang w:val="en-US"/>
        </w:rPr>
        <w:t>-</w:t>
      </w:r>
      <w:r>
        <w:rPr>
          <w:rStyle w:val="None A"/>
          <w:rFonts w:ascii="Arial" w:hAnsi="Arial"/>
          <w:b w:val="1"/>
          <w:bCs w:val="1"/>
          <w:sz w:val="22"/>
          <w:szCs w:val="22"/>
          <w:rtl w:val="0"/>
          <w:lang w:val="en-US"/>
        </w:rPr>
        <w:t>d</w:t>
      </w:r>
      <w:r>
        <w:rPr>
          <w:rStyle w:val="Hyperlink.2"/>
          <w:rtl w:val="0"/>
          <w:lang w:val="en-US"/>
        </w:rPr>
        <w:t>. UD indicates genes from which transcript was undetectable.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4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expression of gene sets for alternative carbon metabolism across antibiotic pretreatments. </w:t>
      </w:r>
      <w:r>
        <w:rPr>
          <w:rStyle w:val="Hyperlink.2"/>
          <w:rtl w:val="0"/>
          <w:lang w:val="en-US"/>
        </w:rPr>
        <w:t xml:space="preserve">Ternary plot of all genes with with any transcripts mapping to them are included. Mapped transcript counts again were iteratively rarefied and the median expression of each gene was used. Each point represents a unique gene from the annotated genome of </w:t>
      </w:r>
      <w:r>
        <w:rPr>
          <w:rStyle w:val="None A"/>
          <w:rFonts w:ascii="Arial" w:hAnsi="Arial"/>
          <w:i w:val="1"/>
          <w:iCs w:val="1"/>
          <w:sz w:val="22"/>
          <w:szCs w:val="22"/>
          <w:rtl w:val="0"/>
          <w:lang w:val="en-US"/>
        </w:rPr>
        <w:t>C. difficile</w:t>
      </w:r>
      <w:r>
        <w:rPr>
          <w:rStyle w:val="Hyperlink.2"/>
          <w:rtl w:val="0"/>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 A"/>
          <w:rFonts w:ascii="Arial" w:hAnsi="Arial"/>
          <w:b w:val="1"/>
          <w:bCs w:val="1"/>
          <w:sz w:val="22"/>
          <w:szCs w:val="22"/>
          <w:rtl w:val="0"/>
          <w:lang w:val="en-US"/>
        </w:rPr>
        <w:t xml:space="preserve">(a) </w:t>
      </w:r>
      <w:r>
        <w:rPr>
          <w:rStyle w:val="Hyperlink.2"/>
          <w:rtl w:val="0"/>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 A"/>
          <w:rFonts w:ascii="Arial" w:hAnsi="Arial"/>
          <w:b w:val="1"/>
          <w:bCs w:val="1"/>
          <w:sz w:val="22"/>
          <w:szCs w:val="22"/>
          <w:rtl w:val="0"/>
          <w:lang w:val="en-US"/>
        </w:rPr>
        <w:t xml:space="preserve">(b </w:t>
      </w:r>
      <w:r>
        <w:rPr>
          <w:rStyle w:val="Hyperlink.2"/>
          <w:rtl w:val="0"/>
          <w:lang w:val="en-US"/>
        </w:rPr>
        <w:t>–</w:t>
      </w:r>
      <w:r>
        <w:rPr>
          <w:rStyle w:val="None A"/>
          <w:rFonts w:ascii="Arial" w:hAnsi="Arial"/>
          <w:b w:val="1"/>
          <w:bCs w:val="1"/>
          <w:sz w:val="22"/>
          <w:szCs w:val="22"/>
          <w:rtl w:val="0"/>
          <w:lang w:val="en-US"/>
        </w:rPr>
        <w:t xml:space="preserve"> i) </w:t>
      </w:r>
      <w:r>
        <w:rPr>
          <w:rStyle w:val="Hyperlink.2"/>
          <w:rtl w:val="0"/>
          <w:lang w:val="en-US"/>
        </w:rPr>
        <w:t xml:space="preserve">Groups from </w:t>
      </w:r>
      <w:r>
        <w:rPr>
          <w:rStyle w:val="None A"/>
          <w:rFonts w:ascii="Arial" w:hAnsi="Arial"/>
          <w:b w:val="1"/>
          <w:bCs w:val="1"/>
          <w:sz w:val="22"/>
          <w:szCs w:val="22"/>
          <w:rtl w:val="0"/>
          <w:lang w:val="en-US"/>
        </w:rPr>
        <w:t>a</w:t>
      </w:r>
      <w:r>
        <w:rPr>
          <w:rStyle w:val="Hyperlink.2"/>
          <w:rtl w:val="0"/>
          <w:lang w:val="en-US"/>
        </w:rPr>
        <w:t xml:space="preserve"> are also plotted separately in without size differences for calrity. Genes included in each group and transcript abundances can be found in Table S2. Colored asterisks refer to groups that display significantly different distributions by factorial MANOVA (</w:t>
      </w:r>
      <w:r>
        <w:rPr>
          <w:rStyle w:val="None A"/>
          <w:rFonts w:ascii="Arial" w:hAnsi="Arial"/>
          <w:i w:val="1"/>
          <w:iCs w:val="1"/>
          <w:sz w:val="22"/>
          <w:szCs w:val="22"/>
          <w:rtl w:val="0"/>
          <w:lang w:val="en-US"/>
        </w:rPr>
        <w:t>P</w:t>
      </w:r>
      <w:r>
        <w:rPr>
          <w:rStyle w:val="Hyperlink.2"/>
          <w:rtl w:val="0"/>
          <w:lang w:val="en-US"/>
        </w:rPr>
        <w:t xml:space="preserve"> &lt; 0.05).</w:t>
      </w: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5 | Genome-scale bipartite metabolic modeling results using the transcriptome of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in each colonized environment. (a) </w:t>
      </w:r>
      <w:r>
        <w:rPr>
          <w:rStyle w:val="Hyperlink.2"/>
          <w:rtl w:val="0"/>
          <w:lang w:val="en-US"/>
        </w:rPr>
        <w:t xml:space="preserve">Largest component from the bipartite genome-scale metabolic model of </w:t>
      </w:r>
      <w:r>
        <w:rPr>
          <w:rStyle w:val="None A"/>
          <w:rFonts w:ascii="Arial" w:hAnsi="Arial"/>
          <w:i w:val="1"/>
          <w:iCs w:val="1"/>
          <w:sz w:val="22"/>
          <w:szCs w:val="22"/>
          <w:rtl w:val="0"/>
          <w:lang w:val="en-US"/>
        </w:rPr>
        <w:t>C. difficile</w:t>
      </w:r>
      <w:r>
        <w:rPr>
          <w:rStyle w:val="Hyperlink.2"/>
          <w:rtl w:val="0"/>
          <w:lang w:val="en-US"/>
        </w:rPr>
        <w:t xml:space="preserve"> str. 630. This portion of the graph includes 1070 nodes (404 en</w:t>
      </w:r>
      <w:r>
        <w:rPr>
          <w:rStyle w:val="Hyperlink.2"/>
          <w:rtl w:val="0"/>
          <w:lang w:val="en-US"/>
        </w:rPr>
        <w:t>z</w:t>
      </w:r>
      <w:r>
        <w:rPr>
          <w:rStyle w:val="Hyperlink.2"/>
          <w:rtl w:val="0"/>
          <w:lang w:val="en-US"/>
        </w:rPr>
        <w:t xml:space="preserve">ymes and 666 metabolites), with 2000 directed edges connecting them. The size of enzyme nodes is relative to the number of normalized reads mapping to genes from </w:t>
      </w:r>
      <w:r>
        <w:rPr>
          <w:rStyle w:val="None A"/>
          <w:rFonts w:ascii="Arial" w:hAnsi="Arial"/>
          <w:i w:val="1"/>
          <w:iCs w:val="1"/>
          <w:sz w:val="22"/>
          <w:szCs w:val="22"/>
          <w:rtl w:val="0"/>
          <w:lang w:val="en-US"/>
        </w:rPr>
        <w:t>C. difficile</w:t>
      </w:r>
      <w:r>
        <w:rPr>
          <w:rStyle w:val="Hyperlink.2"/>
          <w:rtl w:val="0"/>
          <w:lang w:val="en-US"/>
        </w:rPr>
        <w:t xml:space="preserve"> str. 630 during infection of cefoperazone-treated mice. The expanded window displays metabolite importance algorithm and an example of a single importance calculation based on local gene transcription. </w:t>
      </w:r>
      <w:r>
        <w:rPr>
          <w:rStyle w:val="None A"/>
          <w:rFonts w:ascii="Arial" w:hAnsi="Arial"/>
          <w:b w:val="1"/>
          <w:bCs w:val="1"/>
          <w:sz w:val="22"/>
          <w:szCs w:val="22"/>
          <w:rtl w:val="0"/>
          <w:lang w:val="en-US"/>
        </w:rPr>
        <w:t>(b)</w:t>
      </w:r>
      <w:r>
        <w:rPr>
          <w:rStyle w:val="Hyperlink.2"/>
          <w:rtl w:val="0"/>
          <w:lang w:val="en-US"/>
        </w:rPr>
        <w:t xml:space="preserve"> Most highly scoring distinctly important metabolites from each treatment group. The top 25 scoring metabolites from each group was cross-referenced against all others to arrive at metabolites differentially important between environments. </w:t>
      </w:r>
      <w:r>
        <w:rPr>
          <w:rStyle w:val="None A"/>
          <w:rFonts w:ascii="Arial" w:hAnsi="Arial"/>
          <w:b w:val="1"/>
          <w:bCs w:val="1"/>
          <w:sz w:val="22"/>
          <w:szCs w:val="22"/>
          <w:rtl w:val="0"/>
          <w:lang w:val="en-US"/>
        </w:rPr>
        <w:t>(c)</w:t>
      </w:r>
      <w:r>
        <w:rPr>
          <w:rStyle w:val="Hyperlink.2"/>
          <w:rtl w:val="0"/>
          <w:lang w:val="en-US"/>
        </w:rPr>
        <w:t xml:space="preserve"> Metabolites shared among the 50 highest scoring between all conditions. Points in </w:t>
      </w:r>
      <w:r>
        <w:rPr>
          <w:rStyle w:val="None A"/>
          <w:rFonts w:ascii="Arial" w:hAnsi="Arial"/>
          <w:b w:val="1"/>
          <w:bCs w:val="1"/>
          <w:sz w:val="22"/>
          <w:szCs w:val="22"/>
          <w:rtl w:val="0"/>
          <w:lang w:val="en-US"/>
        </w:rPr>
        <w:t>b</w:t>
      </w:r>
      <w:r>
        <w:rPr>
          <w:rStyle w:val="Hyperlink.2"/>
          <w:rtl w:val="0"/>
          <w:lang w:val="en-US"/>
        </w:rPr>
        <w:t xml:space="preserve"> &amp; </w:t>
      </w:r>
      <w:r>
        <w:rPr>
          <w:rStyle w:val="None A"/>
          <w:rFonts w:ascii="Arial" w:hAnsi="Arial"/>
          <w:b w:val="1"/>
          <w:bCs w:val="1"/>
          <w:sz w:val="22"/>
          <w:szCs w:val="22"/>
          <w:rtl w:val="0"/>
          <w:lang w:val="en-US"/>
        </w:rPr>
        <w:t>c</w:t>
      </w:r>
      <w:r>
        <w:rPr>
          <w:rStyle w:val="Hyperlink.2"/>
          <w:rtl w:val="0"/>
          <w:lang w:val="en-US"/>
        </w:rPr>
        <w:t xml:space="preserve"> are the calculated metabolite importance scores based on the given sequenced transcriptome. Gray vertical lines in</w:t>
      </w:r>
      <w:bookmarkEnd w:id="5"/>
      <w:bookmarkStart w:name="Bookmark" w:id="6"/>
      <w:r>
        <w:rPr>
          <w:rStyle w:val="Hyperlink.2"/>
          <w:rtl w:val="0"/>
          <w:lang w:val="en-US"/>
        </w:rPr>
        <w:t xml:space="preserve"> </w:t>
      </w:r>
      <w:r>
        <w:rPr>
          <w:rStyle w:val="None A"/>
          <w:rFonts w:ascii="Arial" w:hAnsi="Arial"/>
          <w:b w:val="1"/>
          <w:bCs w:val="1"/>
          <w:sz w:val="22"/>
          <w:szCs w:val="22"/>
          <w:rtl w:val="0"/>
          <w:lang w:val="en-US"/>
        </w:rPr>
        <w:t>b</w:t>
      </w:r>
      <w:r>
        <w:rPr>
          <w:rStyle w:val="Hyperlink.2"/>
          <w:rtl w:val="0"/>
          <w:lang w:val="en-US"/>
        </w:rPr>
        <w:t xml:space="preserve"> &amp; </w:t>
      </w:r>
      <w:r>
        <w:rPr>
          <w:rStyle w:val="None A"/>
          <w:rFonts w:ascii="Arial" w:hAnsi="Arial"/>
          <w:b w:val="1"/>
          <w:bCs w:val="1"/>
          <w:sz w:val="22"/>
          <w:szCs w:val="22"/>
          <w:rtl w:val="0"/>
          <w:lang w:val="en-US"/>
        </w:rPr>
        <w:t>c</w:t>
      </w:r>
      <w:bookmarkEnd w:id="6"/>
      <w:r>
        <w:rPr>
          <w:rStyle w:val="Hyperlink.2"/>
          <w:rtl w:val="0"/>
          <w:lang w:val="en-US"/>
        </w:rPr>
        <w:t xml:space="preserve"> indicate the median and 95% confidence interval from bootstrapped probability distributions for each metabolite. Closed black points are distinct from the majority of their respective probability. </w:t>
      </w:r>
      <w:r>
        <w:rPr>
          <w:rStyle w:val="None A"/>
          <w:rFonts w:ascii="Arial" w:hAnsi="Arial"/>
          <w:b w:val="1"/>
          <w:bCs w:val="1"/>
          <w:sz w:val="22"/>
          <w:szCs w:val="22"/>
          <w:rtl w:val="0"/>
          <w:lang w:val="en-US"/>
        </w:rPr>
        <w:t xml:space="preserve">(d) </w:t>
      </w:r>
      <w:r>
        <w:rPr>
          <w:rStyle w:val="None A"/>
          <w:rFonts w:ascii="Arial" w:hAnsi="Arial"/>
          <w:i w:val="1"/>
          <w:iCs w:val="1"/>
          <w:sz w:val="22"/>
          <w:szCs w:val="22"/>
          <w:rtl w:val="0"/>
          <w:lang w:val="en-US"/>
        </w:rPr>
        <w:t>In vitro</w:t>
      </w:r>
      <w:r>
        <w:rPr>
          <w:rStyle w:val="Hyperlink.2"/>
          <w:rtl w:val="0"/>
          <w:lang w:val="en-US"/>
        </w:rPr>
        <w:t xml:space="preserve"> growth curves validating identified growth nutrients from network analysis. In black are CDMM controls variations with the indicated constituents. At least one experimental metabolite indicated as uniquely important from each group supports </w:t>
      </w:r>
      <w:r>
        <w:rPr>
          <w:rStyle w:val="None A"/>
          <w:rFonts w:ascii="Arial" w:hAnsi="Arial"/>
          <w:i w:val="1"/>
          <w:iCs w:val="1"/>
          <w:sz w:val="22"/>
          <w:szCs w:val="22"/>
          <w:rtl w:val="0"/>
          <w:lang w:val="en-US"/>
        </w:rPr>
        <w:t>C. difficile</w:t>
      </w:r>
      <w:r>
        <w:rPr>
          <w:rStyle w:val="Hyperlink.2"/>
          <w:rtl w:val="0"/>
          <w:lang w:val="en-US"/>
        </w:rPr>
        <w:t xml:space="preserve"> growth significantly more (</w:t>
      </w:r>
      <w:r>
        <w:rPr>
          <w:rStyle w:val="None A"/>
          <w:rFonts w:ascii="Arial" w:hAnsi="Arial"/>
          <w:i w:val="1"/>
          <w:iCs w:val="1"/>
          <w:sz w:val="22"/>
          <w:szCs w:val="22"/>
          <w:rtl w:val="0"/>
          <w:lang w:val="en-US"/>
        </w:rPr>
        <w:t>P</w:t>
      </w:r>
      <w:r>
        <w:rPr>
          <w:rStyle w:val="Hyperlink.2"/>
          <w:rtl w:val="0"/>
          <w:lang w:val="en-US"/>
        </w:rPr>
        <w:t xml:space="preserve"> &lt;&lt; 0.001) than No Carbohydrates control (- Glucose + Amino acids).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Hyperlink.2"/>
        </w:rPr>
      </w:pPr>
      <w:r>
        <w:rPr>
          <w:rStyle w:val="None A"/>
          <w:rFonts w:ascii="Arial" w:hAnsi="Arial"/>
          <w:b w:val="1"/>
          <w:bCs w:val="1"/>
          <w:sz w:val="22"/>
          <w:szCs w:val="22"/>
          <w:rtl w:val="0"/>
          <w:lang w:val="en-US"/>
        </w:rPr>
        <w:t xml:space="preserve">Supplementary Figure 1 |  Spore % of total C.f.u. and toxin to spore correlations. </w:t>
      </w:r>
      <w:r>
        <w:rPr>
          <w:rStyle w:val="Hyperlink.2"/>
          <w:rtl w:val="0"/>
          <w:lang w:val="en-US"/>
        </w:rPr>
        <w:t xml:space="preserve">Continued analysis of wetlab phenotypic data. </w:t>
      </w:r>
      <w:r>
        <w:rPr>
          <w:rStyle w:val="None A"/>
          <w:rFonts w:ascii="Arial" w:hAnsi="Arial"/>
          <w:b w:val="1"/>
          <w:bCs w:val="1"/>
          <w:sz w:val="22"/>
          <w:szCs w:val="22"/>
          <w:rtl w:val="0"/>
          <w:lang w:val="en-US"/>
        </w:rPr>
        <w:t>A)</w:t>
      </w:r>
      <w:r>
        <w:rPr>
          <w:rStyle w:val="Hyperlink.2"/>
          <w:rtl w:val="0"/>
          <w:lang w:val="en-US"/>
        </w:rPr>
        <w:t xml:space="preserve"> Spore %. </w:t>
      </w:r>
      <w:r>
        <w:rPr>
          <w:rStyle w:val="None A"/>
          <w:rFonts w:ascii="Arial" w:hAnsi="Arial"/>
          <w:b w:val="1"/>
          <w:bCs w:val="1"/>
          <w:sz w:val="22"/>
          <w:szCs w:val="22"/>
          <w:rtl w:val="0"/>
          <w:lang w:val="en-US"/>
        </w:rPr>
        <w:t>B)</w:t>
      </w:r>
      <w:r>
        <w:rPr>
          <w:rStyle w:val="Hyperlink.2"/>
          <w:rtl w:val="0"/>
          <w:lang w:val="en-US"/>
        </w:rPr>
        <w:t xml:space="preserve"> Spore toxin correlation w/o GF. </w:t>
      </w:r>
      <w:r>
        <w:rPr>
          <w:rStyle w:val="None A"/>
          <w:rFonts w:ascii="Arial" w:hAnsi="Arial"/>
          <w:b w:val="1"/>
          <w:bCs w:val="1"/>
          <w:sz w:val="22"/>
          <w:szCs w:val="22"/>
          <w:rtl w:val="0"/>
          <w:lang w:val="en-US"/>
        </w:rPr>
        <w:t>C)</w:t>
      </w:r>
      <w:r>
        <w:rPr>
          <w:rStyle w:val="Hyperlink.2"/>
          <w:rtl w:val="0"/>
          <w:lang w:val="en-US"/>
        </w:rPr>
        <w:t xml:space="preserve"> Spore toxin correlation w/ GF</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Hyperlink.2"/>
        </w:rPr>
      </w:pPr>
      <w:r>
        <w:rPr>
          <w:rStyle w:val="None A"/>
          <w:rFonts w:ascii="Arial" w:hAnsi="Arial"/>
          <w:b w:val="1"/>
          <w:bCs w:val="1"/>
          <w:sz w:val="22"/>
          <w:szCs w:val="22"/>
          <w:rtl w:val="0"/>
          <w:lang w:val="en-US"/>
        </w:rPr>
        <w:t xml:space="preserve">Supplementary 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gene coverage for each condition. </w:t>
      </w:r>
      <w:r>
        <w:rPr>
          <w:rStyle w:val="Hyperlink.2"/>
          <w:rtl w:val="0"/>
          <w:lang w:val="en-US"/>
        </w:rPr>
        <w:t xml:space="preserve">Normalized read abundances mapped to the full length genome of </w:t>
      </w:r>
      <w:r>
        <w:rPr>
          <w:rStyle w:val="None A"/>
          <w:rFonts w:ascii="Arial" w:hAnsi="Arial"/>
          <w:i w:val="1"/>
          <w:iCs w:val="1"/>
          <w:sz w:val="22"/>
          <w:szCs w:val="22"/>
          <w:rtl w:val="0"/>
          <w:lang w:val="en-US"/>
        </w:rPr>
        <w:t>C. difficile</w:t>
      </w:r>
      <w:r>
        <w:rPr>
          <w:rStyle w:val="Hyperlink.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Supplementary Figure  |  </w:t>
      </w:r>
      <w:r>
        <w:rPr>
          <w:rStyle w:val="None A"/>
          <w:rFonts w:ascii="Arial" w:hAnsi="Arial"/>
          <w:b w:val="1"/>
          <w:bCs w:val="1"/>
          <w:i w:val="1"/>
          <w:iCs w:val="1"/>
          <w:sz w:val="22"/>
          <w:szCs w:val="22"/>
          <w:rtl w:val="0"/>
          <w:lang w:val="en-US"/>
        </w:rPr>
        <w:t>cdtR expression</w:t>
      </w:r>
      <w:r>
        <w:rPr>
          <w:rStyle w:val="None A"/>
          <w:rFonts w:ascii="Arial" w:hAnsi="Arial"/>
          <w:b w:val="1"/>
          <w:bCs w:val="1"/>
          <w:sz w:val="22"/>
          <w:szCs w:val="22"/>
          <w:rtl w:val="0"/>
          <w:lang w:val="en-US"/>
        </w:rPr>
        <w:t xml:space="preserve"> </w:t>
      </w:r>
      <w:r>
        <w:rPr>
          <w:rStyle w:val="Hyperlink.2"/>
          <w:rtl w:val="0"/>
          <w:lang w:val="en-US"/>
        </w:rPr>
        <w:t xml:space="preserve">High expression of </w:t>
      </w:r>
      <w:r>
        <w:rPr>
          <w:rStyle w:val="None A"/>
          <w:rFonts w:ascii="Arial" w:hAnsi="Arial"/>
          <w:i w:val="1"/>
          <w:iCs w:val="1"/>
          <w:sz w:val="22"/>
          <w:szCs w:val="22"/>
          <w:rtl w:val="0"/>
          <w:lang w:val="en-US"/>
        </w:rPr>
        <w:t>cdtR</w:t>
      </w:r>
      <w:r>
        <w:rPr>
          <w:rStyle w:val="Hyperlink.2"/>
          <w:rtl w:val="0"/>
          <w:lang w:val="en-US"/>
        </w:rPr>
        <w:t xml:space="preserve">, the positive regulator of binary toxin production, was detected in cefoperazone and to a smaller degree in streptomycin-treated mice. This is in spite of </w:t>
      </w:r>
      <w:r>
        <w:rPr>
          <w:rStyle w:val="None A"/>
          <w:rFonts w:ascii="Arial" w:hAnsi="Arial"/>
          <w:i w:val="1"/>
          <w:iCs w:val="1"/>
          <w:sz w:val="22"/>
          <w:szCs w:val="22"/>
          <w:rtl w:val="0"/>
          <w:lang w:val="en-US"/>
        </w:rPr>
        <w:t>C. difficile</w:t>
      </w:r>
      <w:r>
        <w:rPr>
          <w:rStyle w:val="Hyperlink.2"/>
          <w:rtl w:val="0"/>
          <w:lang w:val="en-US"/>
        </w:rPr>
        <w:t xml:space="preserve"> str. 630 possessing neither </w:t>
      </w:r>
      <w:r>
        <w:rPr>
          <w:rStyle w:val="None A"/>
          <w:rFonts w:ascii="Arial" w:hAnsi="Arial"/>
          <w:i w:val="1"/>
          <w:iCs w:val="1"/>
          <w:sz w:val="22"/>
          <w:szCs w:val="22"/>
          <w:rtl w:val="0"/>
          <w:lang w:val="en-US"/>
        </w:rPr>
        <w:t>cdtA</w:t>
      </w:r>
      <w:r>
        <w:rPr>
          <w:rStyle w:val="Hyperlink.2"/>
          <w:rtl w:val="0"/>
          <w:lang w:val="en-US"/>
        </w:rPr>
        <w:t xml:space="preserve"> nor </w:t>
      </w:r>
      <w:r>
        <w:rPr>
          <w:rStyle w:val="None A"/>
          <w:rFonts w:ascii="Arial" w:hAnsi="Arial"/>
          <w:i w:val="1"/>
          <w:iCs w:val="1"/>
          <w:sz w:val="22"/>
          <w:szCs w:val="22"/>
          <w:rtl w:val="0"/>
          <w:lang w:val="en-US"/>
        </w:rPr>
        <w:t>cdtB</w:t>
      </w:r>
      <w:r>
        <w:rPr>
          <w:rStyle w:val="Hyperlink.2"/>
          <w:rtl w:val="0"/>
          <w:lang w:val="en-US"/>
        </w:rPr>
        <w:t xml:space="preserve"> genes.</w:t>
      </w:r>
    </w:p>
    <w:p>
      <w:pPr>
        <w:pStyle w:val="Default"/>
        <w:shd w:val="clear" w:color="auto" w:fill="ffffff"/>
        <w:spacing w:line="480" w:lineRule="auto"/>
        <w:jc w:val="both"/>
        <w:rPr>
          <w:rStyle w:val="Hyperlink.2"/>
        </w:rPr>
      </w:pPr>
      <w:r>
        <w:rPr>
          <w:rStyle w:val="None A"/>
          <w:rFonts w:ascii="Arial" w:hAnsi="Arial"/>
          <w:b w:val="1"/>
          <w:bCs w:val="1"/>
          <w:sz w:val="22"/>
          <w:szCs w:val="22"/>
          <w:rtl w:val="0"/>
          <w:lang w:val="en-US"/>
        </w:rPr>
        <w:t xml:space="preserve">Supplementary Figure 3 |  Expression of specific KEGG gene families. </w:t>
      </w:r>
      <w:r>
        <w:rPr>
          <w:rStyle w:val="Hyperlink.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Hyperlink.2"/>
        </w:rPr>
      </w:pPr>
      <w:r>
        <w:rPr>
          <w:rStyle w:val="None A"/>
          <w:rFonts w:ascii="Arial" w:hAnsi="Arial"/>
          <w:b w:val="1"/>
          <w:bCs w:val="1"/>
          <w:sz w:val="22"/>
          <w:szCs w:val="22"/>
          <w:rtl w:val="0"/>
          <w:lang w:val="en-US"/>
        </w:rPr>
        <w:t xml:space="preserve">Supplementary Figure 4 |  Substrate scores outside of at least two standard deviations from simulated means. </w:t>
      </w:r>
      <w:r>
        <w:rPr>
          <w:rStyle w:val="Hyperlink.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5 |  Additional growth curves. </w:t>
      </w:r>
      <w:r>
        <w:rPr>
          <w:rStyle w:val="Hyperlink.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7 |  Acetate data supporting network output. </w:t>
      </w:r>
      <w:r>
        <w:rPr>
          <w:rStyle w:val="Hyperlink.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Hyperlink.2"/>
        </w:rPr>
      </w:pPr>
      <w:r>
        <w:rPr>
          <w:rStyle w:val="None A"/>
          <w:rFonts w:ascii="Arial" w:hAnsi="Arial"/>
          <w:b w:val="1"/>
          <w:bCs w:val="1"/>
          <w:sz w:val="22"/>
          <w:szCs w:val="22"/>
          <w:rtl w:val="0"/>
          <w:lang w:val="en-US"/>
        </w:rPr>
        <w:t>Acknowledgments</w:t>
      </w:r>
    </w:p>
    <w:p>
      <w:pPr>
        <w:pStyle w:val="Default"/>
        <w:shd w:val="clear" w:color="auto" w:fill="ffffff"/>
        <w:spacing w:line="480" w:lineRule="auto"/>
        <w:jc w:val="both"/>
      </w:pPr>
      <w:r>
        <w:rPr>
          <w:rStyle w:val="Hyperlink.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Hyperlink.2"/>
        </w:rPr>
      </w:pPr>
      <w:r>
        <w:rPr>
          <w:rStyle w:val="None A"/>
          <w:rFonts w:ascii="Arial" w:hAnsi="Arial"/>
          <w:b w:val="1"/>
          <w:bCs w:val="1"/>
          <w:sz w:val="22"/>
          <w:szCs w:val="22"/>
          <w:rtl w:val="0"/>
          <w:lang w:val="en-US"/>
        </w:rPr>
        <w:t>Conflict of Interest</w:t>
      </w:r>
    </w:p>
    <w:p>
      <w:pPr>
        <w:pStyle w:val="Default"/>
        <w:shd w:val="clear" w:color="auto" w:fill="ffffff"/>
        <w:spacing w:line="480" w:lineRule="auto"/>
        <w:jc w:val="both"/>
        <w:rPr>
          <w:rStyle w:val="Hyperlink.2"/>
        </w:rPr>
      </w:pPr>
      <w:r>
        <w:rPr>
          <w:rStyle w:val="Hyperlink.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18"/>
          <w:szCs w:val="18"/>
        </w:rPr>
      </w:pPr>
      <w:r>
        <w:rPr>
          <w:rStyle w:val="None A"/>
          <w:rFonts w:ascii="Arial" w:hAnsi="Arial"/>
          <w:b w:val="1"/>
          <w:bCs w:val="1"/>
          <w:sz w:val="22"/>
          <w:szCs w:val="22"/>
          <w:rtl w:val="0"/>
          <w:lang w:val="en-US"/>
        </w:rPr>
        <w:t>References</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1. </w:t>
      </w:r>
      <w:r>
        <w:rPr>
          <w:rStyle w:val="None A"/>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A"/>
          <w:rFonts w:ascii="Arial" w:hAnsi="Arial"/>
          <w:i w:val="1"/>
          <w:iCs w:val="1"/>
          <w:sz w:val="18"/>
          <w:szCs w:val="18"/>
          <w:rtl w:val="0"/>
          <w:lang w:val="en-US"/>
        </w:rPr>
        <w:t>Nucleic Acids Research</w:t>
      </w:r>
      <w:r>
        <w:rPr>
          <w:rStyle w:val="None A"/>
          <w:rFonts w:ascii="Arial" w:hAnsi="Arial"/>
          <w:sz w:val="18"/>
          <w:szCs w:val="18"/>
          <w:rtl w:val="0"/>
          <w:lang w:val="en-US"/>
        </w:rPr>
        <w:t>. http://doi.org/10.1093/nar/gks864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2. </w:t>
      </w:r>
      <w:r>
        <w:rPr>
          <w:rStyle w:val="None A"/>
          <w:rFonts w:ascii="Arial" w:hAnsi="Arial"/>
          <w:sz w:val="18"/>
          <w:szCs w:val="18"/>
          <w:rtl w:val="0"/>
          <w:lang w:val="en-US"/>
        </w:rPr>
        <w:t xml:space="preserve">Antunes, A., Martin-Verstraete, I., &amp; Dupuy, B. (2011). CcpA-mediated repression of Clostridium difficile toxin gene expression.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79</w:t>
      </w:r>
      <w:r>
        <w:rPr>
          <w:rStyle w:val="None A"/>
          <w:rFonts w:ascii="Arial" w:hAnsi="Arial"/>
          <w:sz w:val="18"/>
          <w:szCs w:val="18"/>
          <w:rtl w:val="0"/>
          <w:lang w:val="en-US"/>
        </w:rPr>
        <w:t>(4), 882</w:t>
      </w:r>
      <w:r>
        <w:rPr>
          <w:rStyle w:val="None A"/>
          <w:rFonts w:ascii="Arial" w:hAnsi="Arial" w:hint="default"/>
          <w:sz w:val="18"/>
          <w:szCs w:val="18"/>
          <w:rtl w:val="0"/>
          <w:lang w:val="en-US"/>
        </w:rPr>
        <w:t>–</w:t>
      </w:r>
      <w:r>
        <w:rPr>
          <w:rStyle w:val="None A"/>
          <w:rFonts w:ascii="Arial" w:hAnsi="Arial"/>
          <w:sz w:val="18"/>
          <w:szCs w:val="18"/>
          <w:rtl w:val="0"/>
          <w:lang w:val="en-US"/>
        </w:rPr>
        <w:t>899. http://doi.org/10.1111/j.1365-2958.2010.07495.x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3. </w:t>
      </w: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Boos, W., &amp; Shuman, H. (1998). Maltose/maltodextrin system of Escherichia coli: transport, metabolism, and regulation.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62</w:t>
      </w:r>
      <w:r>
        <w:rPr>
          <w:rStyle w:val="None A"/>
          <w:rFonts w:ascii="Arial" w:hAnsi="Arial"/>
          <w:sz w:val="18"/>
          <w:szCs w:val="18"/>
          <w:rtl w:val="0"/>
          <w:lang w:val="en-US"/>
        </w:rPr>
        <w:t>(1), 204</w:t>
      </w:r>
      <w:r>
        <w:rPr>
          <w:rStyle w:val="None A"/>
          <w:rFonts w:ascii="Arial" w:hAnsi="Arial" w:hint="default"/>
          <w:sz w:val="18"/>
          <w:szCs w:val="18"/>
          <w:rtl w:val="0"/>
          <w:lang w:val="en-US"/>
        </w:rPr>
        <w:t>–</w:t>
      </w:r>
      <w:r>
        <w:rPr>
          <w:rStyle w:val="None A"/>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A"/>
          <w:rFonts w:ascii="Arial" w:hAnsi="Arial" w:hint="default"/>
          <w:sz w:val="18"/>
          <w:szCs w:val="18"/>
          <w:rtl w:val="0"/>
          <w:lang w:val="en-US"/>
        </w:rPr>
        <w:t>–</w:t>
      </w:r>
      <w:r>
        <w:rPr>
          <w:rStyle w:val="None A"/>
          <w:rFonts w:ascii="Arial" w:hAnsi="Arial"/>
          <w:sz w:val="18"/>
          <w:szCs w:val="18"/>
          <w:rtl w:val="0"/>
          <w:lang w:val="en-US"/>
        </w:rPr>
        <w:t>14487. http://doi.org/10.1073/pnas.0806162105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Self, W. T., &amp; Sonenshein, A. L. (2013). Proline-dependent regulation of Clostridium difficile stickland metabolism.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(4), 844</w:t>
      </w:r>
      <w:r>
        <w:rPr>
          <w:rStyle w:val="None A"/>
          <w:rFonts w:ascii="Arial" w:hAnsi="Arial" w:hint="default"/>
          <w:sz w:val="18"/>
          <w:szCs w:val="18"/>
          <w:rtl w:val="0"/>
          <w:lang w:val="en-US"/>
        </w:rPr>
        <w:t>–</w:t>
      </w:r>
      <w:r>
        <w:rPr>
          <w:rStyle w:val="None A"/>
          <w:rFonts w:ascii="Arial" w:hAnsi="Arial"/>
          <w:sz w:val="18"/>
          <w:szCs w:val="18"/>
          <w:rtl w:val="0"/>
          <w:lang w:val="en-US"/>
        </w:rPr>
        <w:t>854. http://doi.org/10.1128/JB.01492-12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Rood, J. I., &amp; Lyras, D. (2012). The role of toxin A and toxin B in the virulence of Clostridium difficile. </w:t>
      </w:r>
      <w:r>
        <w:rPr>
          <w:rStyle w:val="None A"/>
          <w:rFonts w:ascii="Arial" w:hAnsi="Arial"/>
          <w:i w:val="1"/>
          <w:iCs w:val="1"/>
          <w:sz w:val="18"/>
          <w:szCs w:val="18"/>
          <w:rtl w:val="0"/>
          <w:lang w:val="en-US"/>
        </w:rPr>
        <w:t>Trends in Microbiology</w:t>
      </w:r>
      <w:r>
        <w:rPr>
          <w:rStyle w:val="None A"/>
          <w:rFonts w:ascii="Arial" w:hAnsi="Arial"/>
          <w:sz w:val="18"/>
          <w:szCs w:val="18"/>
          <w:rtl w:val="0"/>
          <w:lang w:val="en-US"/>
        </w:rPr>
        <w:t>. http://doi.org/10.1016/j.tim.2011.11.003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A"/>
          <w:rFonts w:ascii="Arial" w:hAnsi="Arial" w:hint="default"/>
          <w:sz w:val="18"/>
          <w:szCs w:val="18"/>
          <w:rtl w:val="0"/>
          <w:lang w:val="en-US"/>
        </w:rPr>
        <w:t>–</w:t>
      </w:r>
      <w:r>
        <w:rPr>
          <w:rStyle w:val="None A"/>
          <w:rFonts w:ascii="Arial" w:hAnsi="Arial"/>
          <w:sz w:val="18"/>
          <w:szCs w:val="18"/>
          <w:rtl w:val="0"/>
          <w:lang w:val="en-US"/>
        </w:rPr>
        <w:t>1992. http://doi.org/10.1053/j.gastro.2008.09.002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Darkoh, C., Dupont, H. L., Norris, S. J., &amp; Kaplan, H. B. (2015). Toxin synthesis by Clostridium difficile is regulated through quorum signaling.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(2). http://doi.org/10.1128/mBio.02569-14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80</w:t>
      </w:r>
      <w:r>
        <w:rPr>
          <w:rStyle w:val="None A"/>
          <w:rFonts w:ascii="Arial" w:hAnsi="Arial"/>
          <w:sz w:val="18"/>
          <w:szCs w:val="18"/>
          <w:rtl w:val="0"/>
          <w:lang w:val="en-US"/>
        </w:rPr>
        <w:t>(8), 2704</w:t>
      </w:r>
      <w:r>
        <w:rPr>
          <w:rStyle w:val="None A"/>
          <w:rFonts w:ascii="Arial" w:hAnsi="Arial" w:hint="default"/>
          <w:sz w:val="18"/>
          <w:szCs w:val="18"/>
          <w:rtl w:val="0"/>
          <w:lang w:val="en-US"/>
        </w:rPr>
        <w:t>–</w:t>
      </w:r>
      <w:r>
        <w:rPr>
          <w:rStyle w:val="None A"/>
          <w:rFonts w:ascii="Arial" w:hAnsi="Arial"/>
          <w:sz w:val="18"/>
          <w:szCs w:val="18"/>
          <w:rtl w:val="0"/>
          <w:lang w:val="en-US"/>
        </w:rPr>
        <w:t>2711. http://doi.org/10.1128/IAI.00147-12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70</w:t>
      </w:r>
      <w:r>
        <w:rPr>
          <w:rStyle w:val="None A"/>
          <w:rFonts w:ascii="Arial" w:hAnsi="Arial"/>
          <w:sz w:val="18"/>
          <w:szCs w:val="18"/>
          <w:rtl w:val="0"/>
          <w:lang w:val="en-US"/>
        </w:rPr>
        <w:t>(4), 939</w:t>
      </w:r>
      <w:r>
        <w:rPr>
          <w:rStyle w:val="None A"/>
          <w:rFonts w:ascii="Arial" w:hAnsi="Arial" w:hint="default"/>
          <w:sz w:val="18"/>
          <w:szCs w:val="18"/>
          <w:rtl w:val="0"/>
          <w:lang w:val="en-US"/>
        </w:rPr>
        <w:t>–</w:t>
      </w:r>
      <w:r>
        <w:rPr>
          <w:rStyle w:val="None A"/>
          <w:rFonts w:ascii="Arial" w:hAnsi="Arial"/>
          <w:sz w:val="18"/>
          <w:szCs w:val="18"/>
          <w:rtl w:val="0"/>
          <w:lang w:val="en-US"/>
        </w:rPr>
        <w:t>1031. http://doi.org/10.1128/MMBR.00024-06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Donnelly, M. L., Fimlaid, K. A., &amp; Shen, A. (2016). Characterization of </w:t>
      </w:r>
      <w:r>
        <w:rPr>
          <w:rStyle w:val="None A"/>
          <w:rFonts w:ascii="Arial" w:hAnsi="Arial"/>
          <w:i w:val="1"/>
          <w:iCs w:val="1"/>
          <w:sz w:val="18"/>
          <w:szCs w:val="18"/>
          <w:rtl w:val="0"/>
          <w:lang w:val="en-US"/>
        </w:rPr>
        <w:t>Clostridium difficile</w:t>
      </w:r>
      <w:r>
        <w:rPr>
          <w:rStyle w:val="None A"/>
          <w:rFonts w:ascii="Arial" w:hAnsi="Arial"/>
          <w:sz w:val="18"/>
          <w:szCs w:val="18"/>
          <w:rtl w:val="0"/>
          <w:lang w:val="en-US"/>
        </w:rPr>
        <w:t xml:space="preserve"> spores lacking either SpoVAC or DPA Synthetase.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(April), JB.00986</w:t>
      </w:r>
      <w:r>
        <w:rPr>
          <w:rStyle w:val="None A"/>
          <w:rFonts w:ascii="Arial" w:hAnsi="Arial" w:hint="default"/>
          <w:sz w:val="18"/>
          <w:szCs w:val="18"/>
          <w:rtl w:val="0"/>
          <w:lang w:val="en-US"/>
        </w:rPr>
        <w:t>–</w:t>
      </w:r>
      <w:r>
        <w:rPr>
          <w:rStyle w:val="None A"/>
          <w:rFonts w:ascii="Arial" w:hAnsi="Arial"/>
          <w:sz w:val="18"/>
          <w:szCs w:val="18"/>
          <w:rtl w:val="0"/>
          <w:lang w:val="en-US"/>
        </w:rPr>
        <w:t>15. http://doi.org/10.1128/JB.00986-15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Elsden, S. R., &amp; Hilton, M. G. (1978). Volatile acid production from threonine, valine, leucine and isoleucine by clostridia. </w:t>
      </w:r>
      <w:r>
        <w:rPr>
          <w:rStyle w:val="None A"/>
          <w:rFonts w:ascii="Arial" w:hAnsi="Arial"/>
          <w:i w:val="1"/>
          <w:iCs w:val="1"/>
          <w:sz w:val="18"/>
          <w:szCs w:val="18"/>
          <w:rtl w:val="0"/>
          <w:lang w:val="en-US"/>
        </w:rPr>
        <w:t>Archives of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117</w:t>
      </w:r>
      <w:r>
        <w:rPr>
          <w:rStyle w:val="None A"/>
          <w:rFonts w:ascii="Arial" w:hAnsi="Arial"/>
          <w:sz w:val="18"/>
          <w:szCs w:val="18"/>
          <w:rtl w:val="0"/>
          <w:lang w:val="en-US"/>
        </w:rPr>
        <w:t>(2), 165</w:t>
      </w:r>
      <w:r>
        <w:rPr>
          <w:rStyle w:val="None A"/>
          <w:rFonts w:ascii="Arial" w:hAnsi="Arial" w:hint="default"/>
          <w:sz w:val="18"/>
          <w:szCs w:val="18"/>
          <w:rtl w:val="0"/>
          <w:lang w:val="en-US"/>
        </w:rPr>
        <w:t>–</w:t>
      </w:r>
      <w:r>
        <w:rPr>
          <w:rStyle w:val="None A"/>
          <w:rFonts w:ascii="Arial" w:hAnsi="Arial"/>
          <w:sz w:val="18"/>
          <w:szCs w:val="18"/>
          <w:rtl w:val="0"/>
          <w:lang w:val="en-US"/>
        </w:rPr>
        <w:t>172. http://doi.org/10.1007/BF00402304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76</w:t>
      </w:r>
      <w:r>
        <w:rPr>
          <w:rStyle w:val="None A"/>
          <w:rFonts w:ascii="Arial" w:hAnsi="Arial"/>
          <w:sz w:val="18"/>
          <w:szCs w:val="18"/>
          <w:rtl w:val="0"/>
          <w:lang w:val="en-US"/>
        </w:rPr>
        <w:t>(3), 1143</w:t>
      </w:r>
      <w:r>
        <w:rPr>
          <w:rStyle w:val="None A"/>
          <w:rFonts w:ascii="Arial" w:hAnsi="Arial" w:hint="default"/>
          <w:sz w:val="18"/>
          <w:szCs w:val="18"/>
          <w:rtl w:val="0"/>
          <w:lang w:val="en-US"/>
        </w:rPr>
        <w:t>–</w:t>
      </w:r>
      <w:r>
        <w:rPr>
          <w:rStyle w:val="None A"/>
          <w:rFonts w:ascii="Arial" w:hAnsi="Arial"/>
          <w:sz w:val="18"/>
          <w:szCs w:val="18"/>
          <w:rtl w:val="0"/>
          <w:lang w:val="en-US"/>
        </w:rPr>
        <w:t>1152. http://doi.org/10.1128/IAI.01386-07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A"/>
          <w:rFonts w:ascii="Arial" w:hAnsi="Arial"/>
          <w:i w:val="1"/>
          <w:iCs w:val="1"/>
          <w:sz w:val="18"/>
          <w:szCs w:val="18"/>
          <w:rtl w:val="0"/>
          <w:lang w:val="en-US"/>
        </w:rPr>
        <w:t>Cell Host and Microbe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(6), 770</w:t>
      </w:r>
      <w:r>
        <w:rPr>
          <w:rStyle w:val="None A"/>
          <w:rFonts w:ascii="Arial" w:hAnsi="Arial" w:hint="default"/>
          <w:sz w:val="18"/>
          <w:szCs w:val="18"/>
          <w:rtl w:val="0"/>
          <w:lang w:val="en-US"/>
        </w:rPr>
        <w:t>–</w:t>
      </w:r>
      <w:r>
        <w:rPr>
          <w:rStyle w:val="None A"/>
          <w:rFonts w:ascii="Arial" w:hAnsi="Arial"/>
          <w:sz w:val="18"/>
          <w:szCs w:val="18"/>
          <w:rtl w:val="0"/>
          <w:lang w:val="en-US"/>
        </w:rPr>
        <w:t>777. http://doi.org/10.1016/j.chom.2014.11.003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&amp; Shen, A. (2015). Diverse mechanisms regulate sporulation sigma factor activity in the Firmicutes. </w:t>
      </w:r>
      <w:r>
        <w:rPr>
          <w:rStyle w:val="None A"/>
          <w:rFonts w:ascii="Arial" w:hAnsi="Arial"/>
          <w:i w:val="1"/>
          <w:iCs w:val="1"/>
          <w:sz w:val="18"/>
          <w:szCs w:val="18"/>
          <w:rtl w:val="0"/>
          <w:lang w:val="en-US"/>
        </w:rPr>
        <w:t>Current Opinion in Microbiology</w:t>
      </w:r>
      <w:r>
        <w:rPr>
          <w:rStyle w:val="None A"/>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i w:val="1"/>
          <w:iCs w:val="1"/>
          <w:sz w:val="18"/>
          <w:szCs w:val="18"/>
        </w:rPr>
      </w:pPr>
      <w:r>
        <w:rPr>
          <w:rStyle w:val="None A"/>
          <w:rFonts w:ascii="Arial" w:hAnsi="Arial"/>
          <w:sz w:val="18"/>
          <w:szCs w:val="18"/>
          <w:rtl w:val="0"/>
          <w:lang w:val="en-US"/>
        </w:rPr>
        <w:t xml:space="preserve">Freter, R. 1983. Mechanisms that control the microflora in the large intestine, p. 33-54. In D. J. Hentges (ed.), </w:t>
      </w:r>
      <w:r>
        <w:rPr>
          <w:rStyle w:val="None A"/>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cs="Arial" w:hAnsi="Arial" w:eastAsia="Arial"/>
          <w:i w:val="1"/>
          <w:iCs w:val="1"/>
          <w:sz w:val="18"/>
          <w:szCs w:val="18"/>
          <w:rtl w:val="0"/>
        </w:rPr>
        <w:tab/>
        <w:t>intestinal microflora in health and disease</w:t>
      </w:r>
      <w:r>
        <w:rPr>
          <w:rStyle w:val="None A"/>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Ho, T. D., &amp; Ellermeier, C. D. (2015). Ferric uptake regulator fur control of putative iron acquisition systems in Clostridium </w:t>
        <w:tab/>
        <w:tab/>
      </w:r>
      <w:r>
        <w:rPr>
          <w:rStyle w:val="None A"/>
          <w:rFonts w:ascii="Arial" w:hAnsi="Arial"/>
          <w:sz w:val="18"/>
          <w:szCs w:val="18"/>
          <w:rtl w:val="0"/>
          <w:lang w:val="it-IT"/>
        </w:rPr>
        <w:t xml:space="preserve">difficile.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197</w:t>
      </w:r>
      <w:r>
        <w:rPr>
          <w:rStyle w:val="None A"/>
          <w:rFonts w:ascii="Arial" w:hAnsi="Arial"/>
          <w:sz w:val="18"/>
          <w:szCs w:val="18"/>
          <w:rtl w:val="0"/>
          <w:lang w:val="en-US"/>
        </w:rPr>
        <w:t>(18), 2930</w:t>
      </w:r>
      <w:r>
        <w:rPr>
          <w:rStyle w:val="None A"/>
          <w:rFonts w:ascii="Arial" w:hAnsi="Arial" w:hint="default"/>
          <w:sz w:val="18"/>
          <w:szCs w:val="18"/>
          <w:rtl w:val="0"/>
          <w:lang w:val="en-US"/>
        </w:rPr>
        <w:t>–</w:t>
      </w:r>
      <w:r>
        <w:rPr>
          <w:rStyle w:val="None A"/>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de-DE"/>
        </w:rPr>
        <w:t xml:space="preserve">Hundsberger, T., Braun, V., Weidmann, M., Leukel, P., Sauerborn, M., &amp; von Eichel-Streiber, C. (1997). Transcription analysis </w:t>
      </w:r>
      <w:r>
        <w:rPr>
          <w:rStyle w:val="None A"/>
          <w:rFonts w:ascii="Arial" w:cs="Arial" w:hAnsi="Arial" w:eastAsia="Arial"/>
          <w:sz w:val="18"/>
          <w:szCs w:val="18"/>
          <w:rtl w:val="0"/>
          <w:lang w:val="en-US"/>
        </w:rPr>
        <w:tab/>
        <w:t xml:space="preserve">of the genes tcdA-E of the pathogenicity locus of Clostridium difficile. </w:t>
      </w:r>
      <w:r>
        <w:rPr>
          <w:rStyle w:val="None A"/>
          <w:rFonts w:ascii="Arial" w:hAnsi="Arial"/>
          <w:i w:val="1"/>
          <w:iCs w:val="1"/>
          <w:sz w:val="18"/>
          <w:szCs w:val="18"/>
          <w:rtl w:val="0"/>
          <w:lang w:val="en-US"/>
        </w:rPr>
        <w:t>European Journal of Biochemistry / FEBS</w:t>
      </w:r>
      <w:r>
        <w:rPr>
          <w:rStyle w:val="None A"/>
          <w:rFonts w:ascii="Arial" w:hAnsi="Arial"/>
          <w:sz w:val="18"/>
          <w:szCs w:val="18"/>
          <w:rtl w:val="0"/>
          <w:lang w:val="en-US"/>
        </w:rPr>
        <w:t xml:space="preserve">, </w:t>
        <w:tab/>
        <w:tab/>
      </w:r>
      <w:r>
        <w:rPr>
          <w:rStyle w:val="None A"/>
          <w:rFonts w:ascii="Arial" w:hAnsi="Arial"/>
          <w:i w:val="1"/>
          <w:iCs w:val="1"/>
          <w:sz w:val="18"/>
          <w:szCs w:val="18"/>
          <w:rtl w:val="0"/>
          <w:lang w:val="en-US"/>
        </w:rPr>
        <w:t>244</w:t>
      </w:r>
      <w:r>
        <w:rPr>
          <w:rStyle w:val="None A"/>
          <w:rFonts w:ascii="Arial" w:hAnsi="Arial"/>
          <w:sz w:val="18"/>
          <w:szCs w:val="18"/>
          <w:rtl w:val="0"/>
          <w:lang w:val="en-US"/>
        </w:rPr>
        <w:t>(3), 735</w:t>
      </w:r>
      <w:r>
        <w:rPr>
          <w:rStyle w:val="None A"/>
          <w:rFonts w:ascii="Arial" w:hAnsi="Arial" w:hint="default"/>
          <w:sz w:val="18"/>
          <w:szCs w:val="18"/>
          <w:rtl w:val="0"/>
          <w:lang w:val="en-US"/>
        </w:rPr>
        <w:t>–</w:t>
      </w:r>
      <w:r>
        <w:rPr>
          <w:rStyle w:val="None A"/>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fr-FR"/>
        </w:rPr>
        <w:t>Janoir, C., Den</w:t>
      </w:r>
      <w:r>
        <w:rPr>
          <w:rStyle w:val="None A"/>
          <w:rFonts w:ascii="Arial" w:hAnsi="Arial" w:hint="default"/>
          <w:sz w:val="18"/>
          <w:szCs w:val="18"/>
          <w:rtl w:val="0"/>
          <w:lang w:val="fr-FR"/>
        </w:rPr>
        <w:t>è</w:t>
      </w:r>
      <w:r>
        <w:rPr>
          <w:rStyle w:val="None A"/>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81</w:t>
      </w:r>
      <w:r>
        <w:rPr>
          <w:rStyle w:val="None A"/>
          <w:rFonts w:ascii="Arial" w:hAnsi="Arial"/>
          <w:sz w:val="18"/>
          <w:szCs w:val="18"/>
          <w:rtl w:val="0"/>
          <w:lang w:val="en-US"/>
        </w:rPr>
        <w:t>(10), 3757</w:t>
      </w:r>
      <w:r>
        <w:rPr>
          <w:rStyle w:val="None A"/>
          <w:rFonts w:ascii="Arial" w:hAnsi="Arial" w:hint="default"/>
          <w:sz w:val="18"/>
          <w:szCs w:val="18"/>
          <w:rtl w:val="0"/>
          <w:lang w:val="en-US"/>
        </w:rPr>
        <w:t>–</w:t>
      </w:r>
      <w:r>
        <w:rPr>
          <w:rStyle w:val="None A"/>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A"/>
          <w:rFonts w:ascii="Arial" w:hAnsi="Arial"/>
          <w:i w:val="1"/>
          <w:iCs w:val="1"/>
          <w:sz w:val="18"/>
          <w:szCs w:val="18"/>
          <w:rtl w:val="0"/>
          <w:lang w:val="en-US"/>
        </w:rPr>
        <w:t>Available at Https://github.com/najoshi/sickle.</w:t>
      </w:r>
      <w:r>
        <w:rPr>
          <w:rStyle w:val="None A"/>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r>
        <w:rPr>
          <w:rStyle w:val="None A"/>
          <w:rFonts w:ascii="Arial" w:hAnsi="Arial"/>
          <w:color w:val="323232"/>
          <w:sz w:val="18"/>
          <w:szCs w:val="18"/>
          <w:u w:val="none" w:color="323232"/>
          <w:rtl w:val="0"/>
          <w:lang w:val="en-US"/>
        </w:rPr>
        <w:t>Kansau, I., Barketi-Klai, A., Monot, M., Hoy, S., Dupuy, B., &amp; Janoir, C. (2016). Deciphering Adaptation Strategies of the Epi</w:t>
        <w:tab/>
      </w:r>
      <w:r>
        <w:rPr>
          <w:rStyle w:val="None A"/>
          <w:rFonts w:ascii="Arial" w:cs="Arial" w:hAnsi="Arial" w:eastAsia="Arial"/>
          <w:color w:val="323232"/>
          <w:sz w:val="18"/>
          <w:szCs w:val="18"/>
          <w:u w:val="none" w:color="323232"/>
          <w:lang w:val="en-US"/>
        </w:rPr>
        <w:tab/>
      </w:r>
      <w:r>
        <w:rPr>
          <w:rStyle w:val="None A"/>
          <w:rFonts w:ascii="Arial" w:hAnsi="Arial"/>
          <w:color w:val="323232"/>
          <w:sz w:val="18"/>
          <w:szCs w:val="18"/>
          <w:u w:val="none" w:color="323232"/>
          <w:rtl w:val="0"/>
          <w:lang w:val="en-US"/>
        </w:rPr>
        <w:t xml:space="preserve">demic Clostridium difficile 027 Strain during Infection through In Vivo Transcriptional Analysis. </w:t>
      </w:r>
      <w:r>
        <w:rPr>
          <w:rStyle w:val="None A"/>
          <w:rFonts w:ascii="Arial" w:hAnsi="Arial"/>
          <w:i w:val="1"/>
          <w:iCs w:val="1"/>
          <w:color w:val="323232"/>
          <w:sz w:val="18"/>
          <w:szCs w:val="18"/>
          <w:u w:val="none" w:color="323232"/>
          <w:rtl w:val="0"/>
          <w:lang w:val="de-DE"/>
        </w:rPr>
        <w:t>PLoS ONE</w:t>
      </w:r>
      <w:r>
        <w:rPr>
          <w:rStyle w:val="None A"/>
          <w:rFonts w:ascii="Arial" w:hAnsi="Arial"/>
          <w:color w:val="323232"/>
          <w:sz w:val="18"/>
          <w:szCs w:val="18"/>
          <w:u w:val="none" w:color="323232"/>
          <w:rtl w:val="0"/>
          <w:lang w:val="en-US"/>
        </w:rPr>
        <w:t xml:space="preserve">, 11(6). </w:t>
      </w:r>
      <w:r>
        <w:rPr>
          <w:rStyle w:val="None A"/>
          <w:rFonts w:ascii="Arial" w:cs="Arial" w:hAnsi="Arial" w:eastAsia="Arial"/>
          <w:color w:val="323232"/>
          <w:sz w:val="18"/>
          <w:szCs w:val="18"/>
          <w:u w:val="none" w:color="323232"/>
          <w:lang w:val="en-US"/>
        </w:rPr>
        <w:tab/>
        <w:tab/>
      </w:r>
      <w:r>
        <w:rPr>
          <w:rStyle w:val="None A"/>
          <w:rFonts w:ascii="Arial" w:hAnsi="Arial"/>
          <w:color w:val="323232"/>
          <w:sz w:val="18"/>
          <w:szCs w:val="18"/>
          <w:u w:val="none" w:color="323232"/>
          <w:rtl w:val="0"/>
          <w:lang w:val="en-US"/>
        </w:rPr>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A"/>
          <w:rFonts w:ascii="Arial" w:hAnsi="Arial"/>
          <w:i w:val="1"/>
          <w:iCs w:val="1"/>
          <w:sz w:val="18"/>
          <w:szCs w:val="18"/>
          <w:rtl w:val="0"/>
          <w:lang w:val="en-US"/>
        </w:rPr>
        <w:t>Microbiology and 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41</w:t>
      </w:r>
      <w:r>
        <w:rPr>
          <w:rStyle w:val="None A"/>
          <w:rFonts w:ascii="Arial" w:hAnsi="Arial"/>
          <w:sz w:val="18"/>
          <w:szCs w:val="18"/>
          <w:rtl w:val="0"/>
          <w:lang w:val="en-US"/>
        </w:rPr>
        <w:t>(8), 581</w:t>
      </w:r>
      <w:r>
        <w:rPr>
          <w:rStyle w:val="None A"/>
          <w:rFonts w:ascii="Arial" w:hAnsi="Arial" w:hint="default"/>
          <w:sz w:val="18"/>
          <w:szCs w:val="18"/>
          <w:rtl w:val="0"/>
          <w:lang w:val="en-US"/>
        </w:rPr>
        <w:t>–</w:t>
      </w:r>
      <w:r>
        <w:rPr>
          <w:rStyle w:val="None A"/>
          <w:rFonts w:ascii="Arial" w:hAnsi="Arial"/>
          <w:sz w:val="18"/>
          <w:szCs w:val="18"/>
          <w:rtl w:val="0"/>
          <w:lang w:val="en-US"/>
        </w:rPr>
        <w:t>5. Retrieved from http://www.ncbi.nlm.nih.gov/pubmed/9310936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Dupuy, B., Mukherjee, K., Norin, E., Burman, L. G., &amp; </w:t>
      </w:r>
      <w:r>
        <w:rPr>
          <w:rStyle w:val="None A"/>
          <w:rFonts w:ascii="Arial" w:hAnsi="Arial" w:hint="default"/>
          <w:sz w:val="18"/>
          <w:szCs w:val="18"/>
          <w:rtl w:val="0"/>
          <w:lang w:val="en-US"/>
        </w:rPr>
        <w:t>Å</w:t>
      </w:r>
      <w:r>
        <w:rPr>
          <w:rStyle w:val="None A"/>
          <w:rFonts w:ascii="Arial" w:hAnsi="Arial"/>
          <w:sz w:val="18"/>
          <w:szCs w:val="18"/>
          <w:rtl w:val="0"/>
          <w:lang w:val="en-US"/>
        </w:rPr>
        <w:t xml:space="preserve">kerlund, T. (2003). Expression of Clostridium difficile toxins A and B and their sigma factor TcdD is controlled by temperature.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71</w:t>
      </w:r>
      <w:r>
        <w:rPr>
          <w:rStyle w:val="None A"/>
          <w:rFonts w:ascii="Arial" w:hAnsi="Arial"/>
          <w:sz w:val="18"/>
          <w:szCs w:val="18"/>
          <w:rtl w:val="0"/>
          <w:lang w:val="en-US"/>
        </w:rPr>
        <w:t>(4), 1784</w:t>
      </w:r>
      <w:r>
        <w:rPr>
          <w:rStyle w:val="None A"/>
          <w:rFonts w:ascii="Arial" w:hAnsi="Arial" w:hint="default"/>
          <w:sz w:val="18"/>
          <w:szCs w:val="18"/>
          <w:rtl w:val="0"/>
          <w:lang w:val="en-US"/>
        </w:rPr>
        <w:t>–</w:t>
      </w:r>
      <w:r>
        <w:rPr>
          <w:rStyle w:val="None A"/>
          <w:rFonts w:ascii="Arial" w:hAnsi="Arial"/>
          <w:sz w:val="18"/>
          <w:szCs w:val="18"/>
          <w:rtl w:val="0"/>
          <w:lang w:val="en-US"/>
        </w:rPr>
        <w:t>1793. http://doi.org/10.1128/IAI.71.4.1784-1793.2003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Burman, L. G., &amp; </w:t>
      </w:r>
      <w:r>
        <w:rPr>
          <w:rStyle w:val="None A"/>
          <w:rFonts w:ascii="Arial" w:hAnsi="Arial" w:hint="default"/>
          <w:sz w:val="18"/>
          <w:szCs w:val="18"/>
          <w:rtl w:val="0"/>
          <w:lang w:val="en-US"/>
        </w:rPr>
        <w:t>Å</w:t>
      </w:r>
      <w:r>
        <w:rPr>
          <w:rStyle w:val="None A"/>
          <w:rFonts w:ascii="Arial" w:hAnsi="Arial"/>
          <w:sz w:val="18"/>
          <w:szCs w:val="18"/>
          <w:rtl w:val="0"/>
          <w:lang w:val="en-US"/>
        </w:rPr>
        <w:t>kerlund, T. (2008). Induction of toxins in Clostridium difficile is associated with dramatic changes of its metabolism. Microbiology, 154(11), 3430</w:t>
      </w:r>
      <w:r>
        <w:rPr>
          <w:rStyle w:val="None A"/>
          <w:rFonts w:ascii="Arial" w:hAnsi="Arial" w:hint="default"/>
          <w:sz w:val="18"/>
          <w:szCs w:val="18"/>
          <w:rtl w:val="0"/>
          <w:lang w:val="en-US"/>
        </w:rPr>
        <w:t>–</w:t>
      </w:r>
      <w:r>
        <w:rPr>
          <w:rStyle w:val="None A"/>
          <w:rFonts w:ascii="Arial" w:hAnsi="Arial"/>
          <w:sz w:val="18"/>
          <w:szCs w:val="18"/>
          <w:rtl w:val="0"/>
          <w:lang w:val="en-US"/>
        </w:rPr>
        <w:t>3436. http://doi.org/10.1099/mic.0.2008/019778-0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Kim, J., Hetzel, M., Boiangiu, C. D., &amp; Buckel, W. (2004). Dehydration of (R)-2-hydroxyacyl-CoA to enoyl-CoA in the fermentation of </w:t>
      </w:r>
      <w:r>
        <w:rPr>
          <w:rStyle w:val="None A"/>
          <w:rFonts w:ascii="Arial" w:hAnsi="Arial" w:hint="default"/>
          <w:sz w:val="18"/>
          <w:szCs w:val="18"/>
          <w:rtl w:val="0"/>
          <w:lang w:val="en-US"/>
        </w:rPr>
        <w:t>α</w:t>
      </w:r>
      <w:r>
        <w:rPr>
          <w:rStyle w:val="None A"/>
          <w:rFonts w:ascii="Arial" w:hAnsi="Arial"/>
          <w:sz w:val="18"/>
          <w:szCs w:val="18"/>
          <w:rtl w:val="0"/>
          <w:lang w:val="en-US"/>
        </w:rPr>
        <w:t xml:space="preserve">-amino acids by anaerobic bacteria. </w:t>
      </w:r>
      <w:r>
        <w:rPr>
          <w:rStyle w:val="None A"/>
          <w:rFonts w:ascii="Arial" w:hAnsi="Arial"/>
          <w:i w:val="1"/>
          <w:iCs w:val="1"/>
          <w:sz w:val="18"/>
          <w:szCs w:val="18"/>
          <w:rtl w:val="0"/>
          <w:lang w:val="en-US"/>
        </w:rPr>
        <w:t>FEMS Microbiology Reviews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28</w:t>
      </w:r>
      <w:r>
        <w:rPr>
          <w:rStyle w:val="None A"/>
          <w:rFonts w:ascii="Arial" w:hAnsi="Arial"/>
          <w:sz w:val="18"/>
          <w:szCs w:val="18"/>
          <w:rtl w:val="0"/>
          <w:lang w:val="en-US"/>
        </w:rPr>
        <w:t>(4), 455</w:t>
      </w:r>
      <w:r>
        <w:rPr>
          <w:rStyle w:val="None A"/>
          <w:rFonts w:ascii="Arial" w:hAnsi="Arial" w:hint="default"/>
          <w:sz w:val="18"/>
          <w:szCs w:val="18"/>
          <w:rtl w:val="0"/>
          <w:lang w:val="en-US"/>
        </w:rPr>
        <w:t>–</w:t>
      </w:r>
      <w:r>
        <w:rPr>
          <w:rStyle w:val="None A"/>
          <w:rFonts w:ascii="Arial" w:hAnsi="Arial"/>
          <w:sz w:val="18"/>
          <w:szCs w:val="18"/>
          <w:rtl w:val="0"/>
          <w:lang w:val="en-US"/>
        </w:rPr>
        <w:t>468. http://doi.org/10.1016/j.femsre.2004.03.001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83</w:t>
      </w:r>
      <w:r>
        <w:rPr>
          <w:rStyle w:val="None A"/>
          <w:rFonts w:ascii="Arial" w:hAnsi="Arial"/>
          <w:sz w:val="18"/>
          <w:szCs w:val="18"/>
          <w:rtl w:val="0"/>
          <w:lang w:val="en-US"/>
        </w:rPr>
        <w:t>(3), 934</w:t>
      </w:r>
      <w:r>
        <w:rPr>
          <w:rStyle w:val="None A"/>
          <w:rFonts w:ascii="Arial" w:hAnsi="Arial" w:hint="default"/>
          <w:sz w:val="18"/>
          <w:szCs w:val="18"/>
          <w:rtl w:val="0"/>
          <w:lang w:val="en-US"/>
        </w:rPr>
        <w:t>–</w:t>
      </w:r>
      <w:r>
        <w:rPr>
          <w:rStyle w:val="None A"/>
          <w:rFonts w:ascii="Arial" w:hAnsi="Arial"/>
          <w:sz w:val="18"/>
          <w:szCs w:val="18"/>
          <w:rtl w:val="0"/>
          <w:lang w:val="en-US"/>
        </w:rPr>
        <w:t>941. http://doi.org/10.1128/IAI.02768-14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Langmead, B., Trapnell, C., Pop, M., &amp; Salzberg, S. L. (2009). Ultrafast and memory-efficient alignment of short DNA sequences to the human genome. </w:t>
      </w:r>
      <w:r>
        <w:rPr>
          <w:rStyle w:val="None A"/>
          <w:rFonts w:ascii="Arial" w:hAnsi="Arial"/>
          <w:i w:val="1"/>
          <w:iCs w:val="1"/>
          <w:sz w:val="18"/>
          <w:szCs w:val="18"/>
          <w:rtl w:val="0"/>
          <w:lang w:val="en-US"/>
        </w:rPr>
        <w:t>Genome Biol</w:t>
      </w:r>
      <w:r>
        <w:rPr>
          <w:rStyle w:val="None A"/>
          <w:rFonts w:ascii="Arial" w:hAnsi="Arial"/>
          <w:sz w:val="18"/>
          <w:szCs w:val="18"/>
          <w:rtl w:val="0"/>
          <w:lang w:val="en-US"/>
        </w:rPr>
        <w:t>, 1</w:t>
      </w:r>
      <w:r>
        <w:rPr>
          <w:rStyle w:val="None A"/>
          <w:rFonts w:ascii="Arial" w:hAnsi="Arial" w:hint="default"/>
          <w:sz w:val="18"/>
          <w:szCs w:val="18"/>
          <w:rtl w:val="0"/>
          <w:lang w:val="en-US"/>
        </w:rPr>
        <w:t>–</w:t>
      </w:r>
      <w:r>
        <w:rPr>
          <w:rStyle w:val="None A"/>
          <w:rFonts w:ascii="Arial" w:hAnsi="Arial"/>
          <w:sz w:val="18"/>
          <w:szCs w:val="18"/>
          <w:rtl w:val="0"/>
          <w:lang w:val="en-US"/>
        </w:rPr>
        <w:t>10. http://doi.org/gb-2009-10-3-r25 [pii]\r10.1186/gb-2009-10-3-r25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Lawley, T. D., &amp; Walker, A. W. (2013). Intestinal colonization resistance. </w:t>
      </w:r>
      <w:r>
        <w:rPr>
          <w:rStyle w:val="None A"/>
          <w:rFonts w:ascii="Arial" w:hAnsi="Arial"/>
          <w:i w:val="1"/>
          <w:iCs w:val="1"/>
          <w:sz w:val="18"/>
          <w:szCs w:val="18"/>
          <w:rtl w:val="0"/>
          <w:lang w:val="en-US"/>
        </w:rPr>
        <w:t>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138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11. http://doi.org/10.1111/j.1365-2567.2012.03616.x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Lee, A. S. Y., &amp; Song, K. P. (2005). LuxS/autoinducer-2 quorum sensing molecule regulates transcriptional virulence gene expression in Clostridium difficile. Biochemical and Biophysical Research Communications, 335(3), 659</w:t>
      </w:r>
      <w:r>
        <w:rPr>
          <w:rStyle w:val="None A"/>
          <w:rFonts w:ascii="Arial" w:hAnsi="Arial" w:hint="default"/>
          <w:sz w:val="18"/>
          <w:szCs w:val="18"/>
          <w:rtl w:val="0"/>
          <w:lang w:val="en-US"/>
        </w:rPr>
        <w:t>–</w:t>
      </w:r>
      <w:r>
        <w:rPr>
          <w:rStyle w:val="None A"/>
          <w:rFonts w:ascii="Arial" w:hAnsi="Arial"/>
          <w:sz w:val="18"/>
          <w:szCs w:val="18"/>
          <w:rtl w:val="0"/>
          <w:lang w:val="en-US"/>
        </w:rPr>
        <w:t xml:space="preserve">666. http://doi.org/10.1016/j.bbrc.2005.07.131Leffler, D. A., &amp; Lamont, J. T. (2015). Clostridium difficile Infection. </w:t>
      </w:r>
      <w:r>
        <w:rPr>
          <w:rStyle w:val="None A"/>
          <w:rFonts w:ascii="Arial" w:hAnsi="Arial"/>
          <w:i w:val="1"/>
          <w:iCs w:val="1"/>
          <w:sz w:val="18"/>
          <w:szCs w:val="18"/>
          <w:rtl w:val="0"/>
          <w:lang w:val="en-US"/>
        </w:rPr>
        <w:t>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(16), 1539</w:t>
      </w:r>
      <w:r>
        <w:rPr>
          <w:rStyle w:val="None A"/>
          <w:rFonts w:ascii="Arial" w:hAnsi="Arial" w:hint="default"/>
          <w:sz w:val="18"/>
          <w:szCs w:val="18"/>
          <w:rtl w:val="0"/>
          <w:lang w:val="en-US"/>
        </w:rPr>
        <w:t>–</w:t>
      </w:r>
      <w:r>
        <w:rPr>
          <w:rStyle w:val="None A"/>
          <w:rFonts w:ascii="Arial" w:hAnsi="Arial"/>
          <w:sz w:val="18"/>
          <w:szCs w:val="18"/>
          <w:rtl w:val="0"/>
          <w:lang w:val="en-US"/>
        </w:rPr>
        <w:t>1548. http://doi.org/10.1056/NEJMra1403772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Lessa, F. C., Gould, C. V, &amp; McDonald, L. C. (2012). Current status of Clostridium difficile infection epidemiology. </w:t>
      </w:r>
      <w:r>
        <w:rPr>
          <w:rStyle w:val="None A"/>
          <w:rFonts w:ascii="Arial" w:hAnsi="Arial"/>
          <w:i w:val="1"/>
          <w:iCs w:val="1"/>
          <w:sz w:val="18"/>
          <w:szCs w:val="18"/>
          <w:rtl w:val="0"/>
          <w:lang w:val="en-US"/>
        </w:rPr>
        <w:t>Clinical Infectious Diseases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An Official Publication of the Infectious Diseases Society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 Suppl 2</w:t>
      </w:r>
      <w:r>
        <w:rPr>
          <w:rStyle w:val="None A"/>
          <w:rFonts w:ascii="Arial" w:hAnsi="Arial"/>
          <w:sz w:val="18"/>
          <w:szCs w:val="18"/>
          <w:rtl w:val="0"/>
          <w:lang w:val="en-US"/>
        </w:rPr>
        <w:t>(Suppl 2), S65</w:t>
      </w:r>
      <w:r>
        <w:rPr>
          <w:rStyle w:val="None A"/>
          <w:rFonts w:ascii="Arial" w:hAnsi="Arial" w:hint="default"/>
          <w:sz w:val="18"/>
          <w:szCs w:val="18"/>
          <w:rtl w:val="0"/>
          <w:lang w:val="en-US"/>
        </w:rPr>
        <w:t>–</w:t>
      </w:r>
      <w:r>
        <w:rPr>
          <w:rStyle w:val="None A"/>
          <w:rFonts w:ascii="Arial" w:hAnsi="Arial"/>
          <w:sz w:val="18"/>
          <w:szCs w:val="18"/>
          <w:rtl w:val="0"/>
          <w:lang w:val="en-US"/>
        </w:rPr>
        <w:t>70. http://doi.org/10.1093/cid/cis319</w:t>
      </w:r>
    </w:p>
    <w:p>
      <w:pPr>
        <w:pStyle w:val="Text body"/>
        <w:shd w:val="clear" w:color="auto" w:fill="ffffff"/>
        <w:ind w:left="480" w:hanging="480"/>
      </w:pPr>
      <w:r>
        <w:rPr>
          <w:rStyle w:val="None A"/>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A"/>
          <w:rFonts w:ascii="Arial" w:hAnsi="Arial"/>
          <w:i w:val="1"/>
          <w:iCs w:val="1"/>
          <w:sz w:val="18"/>
          <w:szCs w:val="18"/>
          <w:rtl w:val="0"/>
          <w:lang w:val="en-US"/>
        </w:rPr>
        <w:t>The 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(9), 825</w:t>
      </w:r>
      <w:r>
        <w:rPr>
          <w:rStyle w:val="None A"/>
          <w:rFonts w:ascii="Arial" w:hAnsi="Arial" w:hint="default"/>
          <w:sz w:val="18"/>
          <w:szCs w:val="18"/>
          <w:rtl w:val="0"/>
          <w:lang w:val="en-US"/>
        </w:rPr>
        <w:t>–</w:t>
      </w:r>
      <w:r>
        <w:rPr>
          <w:rStyle w:val="None A"/>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190</w:t>
      </w:r>
      <w:r>
        <w:rPr>
          <w:rStyle w:val="None A"/>
          <w:rFonts w:ascii="Arial" w:hAnsi="Arial"/>
          <w:sz w:val="18"/>
          <w:szCs w:val="18"/>
          <w:rtl w:val="0"/>
          <w:lang w:val="en-US"/>
        </w:rPr>
        <w:t>(3), 843</w:t>
      </w:r>
      <w:r>
        <w:rPr>
          <w:rStyle w:val="None A"/>
          <w:rFonts w:ascii="Arial" w:hAnsi="Arial" w:hint="default"/>
          <w:sz w:val="18"/>
          <w:szCs w:val="18"/>
          <w:rtl w:val="0"/>
          <w:lang w:val="en-US"/>
        </w:rPr>
        <w:t>–</w:t>
      </w:r>
      <w:r>
        <w:rPr>
          <w:rStyle w:val="None A"/>
          <w:rFonts w:ascii="Arial" w:hAnsi="Arial"/>
          <w:sz w:val="18"/>
          <w:szCs w:val="18"/>
          <w:rtl w:val="0"/>
          <w:lang w:val="en-US"/>
        </w:rPr>
        <w:t>850. http://doi.org/10.1128/JB.01417-07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H., Handsaker, B., Wysoker, A., Fennell, T., Ruan, J., Homer, N., &amp; Durbin, R. (2009). The Sequence Alignment/Map format and SAMtools. </w:t>
      </w:r>
      <w:r>
        <w:rPr>
          <w:rStyle w:val="None A"/>
          <w:rFonts w:ascii="Arial" w:hAnsi="Arial"/>
          <w:i w:val="1"/>
          <w:iCs w:val="1"/>
          <w:sz w:val="18"/>
          <w:szCs w:val="18"/>
          <w:rtl w:val="0"/>
          <w:lang w:val="en-US"/>
        </w:rPr>
        <w:t>Bioinformatics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25</w:t>
      </w:r>
      <w:r>
        <w:rPr>
          <w:rStyle w:val="None A"/>
          <w:rFonts w:ascii="Arial" w:hAnsi="Arial"/>
          <w:sz w:val="18"/>
          <w:szCs w:val="18"/>
          <w:rtl w:val="0"/>
          <w:lang w:val="en-US"/>
        </w:rPr>
        <w:t>(16), 2078</w:t>
      </w:r>
      <w:r>
        <w:rPr>
          <w:rStyle w:val="None A"/>
          <w:rFonts w:ascii="Arial" w:hAnsi="Arial" w:hint="default"/>
          <w:sz w:val="18"/>
          <w:szCs w:val="18"/>
          <w:rtl w:val="0"/>
          <w:lang w:val="en-US"/>
        </w:rPr>
        <w:t>–</w:t>
      </w:r>
      <w:r>
        <w:rPr>
          <w:rStyle w:val="None A"/>
          <w:rFonts w:ascii="Arial" w:hAnsi="Arial"/>
          <w:sz w:val="18"/>
          <w:szCs w:val="18"/>
          <w:rtl w:val="0"/>
          <w:lang w:val="en-US"/>
        </w:rPr>
        <w:t>2079. http://doi.org/10.1093/bioinformatics/btp352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Lopez-Medina, E., Neubauer, M. M., Pier, G. B., &amp; Koh, A. Y. (2011). RNA isolation of Pseudomonas aeruginosa colonizing the murine gastrointestinal tract. </w:t>
      </w:r>
      <w:r>
        <w:rPr>
          <w:rStyle w:val="None A"/>
          <w:rFonts w:ascii="Arial" w:hAnsi="Arial"/>
          <w:i w:val="1"/>
          <w:iCs w:val="1"/>
          <w:sz w:val="18"/>
          <w:szCs w:val="18"/>
          <w:rtl w:val="0"/>
          <w:lang w:val="en-US"/>
        </w:rPr>
        <w:t>Journal of Visualized Experiments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JoVE</w:t>
      </w:r>
      <w:r>
        <w:rPr>
          <w:rStyle w:val="None A"/>
          <w:rFonts w:ascii="Arial" w:hAnsi="Arial"/>
          <w:sz w:val="18"/>
          <w:szCs w:val="18"/>
          <w:rtl w:val="0"/>
          <w:lang w:val="en-US"/>
        </w:rPr>
        <w:t>, (55), 6</w:t>
      </w:r>
      <w:r>
        <w:rPr>
          <w:rStyle w:val="None A"/>
          <w:rFonts w:ascii="Arial" w:hAnsi="Arial" w:hint="default"/>
          <w:sz w:val="18"/>
          <w:szCs w:val="18"/>
          <w:rtl w:val="0"/>
          <w:lang w:val="en-US"/>
        </w:rPr>
        <w:t>–</w:t>
      </w:r>
      <w:r>
        <w:rPr>
          <w:rStyle w:val="None A"/>
          <w:rFonts w:ascii="Arial" w:hAnsi="Arial"/>
          <w:sz w:val="18"/>
          <w:szCs w:val="18"/>
          <w:rtl w:val="0"/>
          <w:lang w:val="en-US"/>
        </w:rPr>
        <w:t>9. http://doi.org/10.3791/3293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 H. W., &amp; Zeng, A. P. (2003). The connectivity structure, giant strong component and centrality of metabolic networks. Bioinformatics, 19(11), 1423</w:t>
      </w:r>
      <w:r>
        <w:rPr>
          <w:rStyle w:val="None A"/>
          <w:rFonts w:ascii="Arial" w:hAnsi="Arial" w:hint="default"/>
          <w:sz w:val="18"/>
          <w:szCs w:val="18"/>
          <w:rtl w:val="0"/>
          <w:lang w:val="en-US"/>
        </w:rPr>
        <w:t>–</w:t>
      </w:r>
      <w:r>
        <w:rPr>
          <w:rStyle w:val="None A"/>
          <w:rFonts w:ascii="Arial" w:hAnsi="Arial"/>
          <w:sz w:val="18"/>
          <w:szCs w:val="18"/>
          <w:rtl w:val="0"/>
          <w:lang w:val="en-US"/>
        </w:rPr>
        <w:t xml:space="preserve">1430. http://doi.org/10.1093/bioinformatics/btg177Martin, M. (2011). Cutadapt removes adapter sequences from high-throughput sequencing reads. </w:t>
      </w:r>
      <w:r>
        <w:rPr>
          <w:rStyle w:val="None A"/>
          <w:rFonts w:ascii="Arial" w:hAnsi="Arial"/>
          <w:i w:val="1"/>
          <w:iCs w:val="1"/>
          <w:sz w:val="18"/>
          <w:szCs w:val="18"/>
          <w:rtl w:val="0"/>
          <w:lang w:val="en-US"/>
        </w:rPr>
        <w:t>EMBnet.journal</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17</w:t>
      </w:r>
      <w:r>
        <w:rPr>
          <w:rStyle w:val="None A"/>
          <w:rFonts w:ascii="Arial" w:hAnsi="Arial"/>
          <w:sz w:val="18"/>
          <w:szCs w:val="18"/>
          <w:rtl w:val="0"/>
          <w:lang w:val="en-US"/>
        </w:rPr>
        <w:t>(1), 10. http://doi.org/10.14806/ej.17.1.200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Martin, M. J., Clare, S., Goulding, D., Faulds-Pain, A., Barquist, L., Browne, H. P., &amp; Wren, B. W. (2013). The agr locus regulates virulence and colonization genes in clostridium difficile 027. Journal of Bacteriology, 195(16), 3672</w:t>
      </w:r>
      <w:r>
        <w:rPr>
          <w:rStyle w:val="None A"/>
          <w:rFonts w:ascii="Arial" w:hAnsi="Arial" w:hint="default"/>
          <w:sz w:val="18"/>
          <w:szCs w:val="18"/>
          <w:rtl w:val="0"/>
          <w:lang w:val="en-US"/>
        </w:rPr>
        <w:t>–</w:t>
      </w:r>
      <w:r>
        <w:rPr>
          <w:rStyle w:val="None A"/>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64</w:t>
      </w:r>
      <w:r>
        <w:rPr>
          <w:rStyle w:val="None A"/>
          <w:rFonts w:ascii="Arial" w:hAnsi="Arial"/>
          <w:sz w:val="18"/>
          <w:szCs w:val="18"/>
          <w:rtl w:val="0"/>
          <w:lang w:val="en-US"/>
        </w:rPr>
        <w:t>(5), 1274</w:t>
      </w:r>
      <w:r>
        <w:rPr>
          <w:rStyle w:val="None A"/>
          <w:rFonts w:ascii="Arial" w:hAnsi="Arial" w:hint="default"/>
          <w:sz w:val="18"/>
          <w:szCs w:val="18"/>
          <w:rtl w:val="0"/>
          <w:lang w:val="en-US"/>
        </w:rPr>
        <w:t>–</w:t>
      </w:r>
      <w:r>
        <w:rPr>
          <w:rStyle w:val="None A"/>
          <w:rFonts w:ascii="Arial" w:hAnsi="Arial"/>
          <w:sz w:val="18"/>
          <w:szCs w:val="18"/>
          <w:rtl w:val="0"/>
          <w:lang w:val="en-US"/>
        </w:rPr>
        <w:t>1288. http://doi.org/10.1111/j.1365-2958.2007.05739.x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Matsuno, K., &amp; Sonenshein, A. L. (1999). Role of SpoVG in asymmetric septation in Bacillus subtilis. Journal of Bacteriology, 181(11), 3392</w:t>
      </w:r>
      <w:r>
        <w:rPr>
          <w:rStyle w:val="None A"/>
          <w:rFonts w:ascii="Arial" w:hAnsi="Arial" w:hint="default"/>
          <w:sz w:val="18"/>
          <w:szCs w:val="18"/>
          <w:rtl w:val="0"/>
          <w:lang w:val="en-US"/>
        </w:rPr>
        <w:t>–</w:t>
      </w:r>
      <w:r>
        <w:rPr>
          <w:rStyle w:val="None A"/>
          <w:rFonts w:ascii="Arial" w:hAnsi="Arial"/>
          <w:sz w:val="18"/>
          <w:szCs w:val="18"/>
          <w:rtl w:val="0"/>
          <w:lang w:val="en-US"/>
        </w:rPr>
        <w:t>3401.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Moncrief, J. S., Barroso, L. A., &amp; Wilkins, T. D. (1997). Positive regulation of Clostridium difficile toxins.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65</w:t>
      </w:r>
      <w:r>
        <w:rPr>
          <w:rStyle w:val="None A"/>
          <w:rFonts w:ascii="Arial" w:hAnsi="Arial"/>
          <w:sz w:val="18"/>
          <w:szCs w:val="18"/>
          <w:rtl w:val="0"/>
          <w:lang w:val="en-US"/>
        </w:rPr>
        <w:t>(3), 1105</w:t>
      </w:r>
      <w:r>
        <w:rPr>
          <w:rStyle w:val="None A"/>
          <w:rFonts w:ascii="Arial" w:hAnsi="Arial" w:hint="default"/>
          <w:sz w:val="18"/>
          <w:szCs w:val="18"/>
          <w:rtl w:val="0"/>
          <w:lang w:val="en-US"/>
        </w:rPr>
        <w:t>–</w:t>
      </w:r>
      <w:r>
        <w:rPr>
          <w:rStyle w:val="None A"/>
          <w:rFonts w:ascii="Arial" w:hAnsi="Arial"/>
          <w:sz w:val="18"/>
          <w:szCs w:val="18"/>
          <w:rtl w:val="0"/>
          <w:lang w:val="en-US"/>
        </w:rPr>
        <w:t>1108.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Naaber, P., Smidt, I., </w:t>
      </w:r>
      <w:r>
        <w:rPr>
          <w:rStyle w:val="None A"/>
          <w:rFonts w:ascii="Arial" w:hAnsi="Arial" w:hint="default"/>
          <w:sz w:val="18"/>
          <w:szCs w:val="18"/>
          <w:rtl w:val="0"/>
          <w:lang w:val="en-US"/>
        </w:rPr>
        <w:t>Š</w:t>
      </w:r>
      <w:r>
        <w:rPr>
          <w:rStyle w:val="None A"/>
          <w:rFonts w:ascii="Arial" w:hAnsi="Arial"/>
          <w:sz w:val="18"/>
          <w:szCs w:val="18"/>
          <w:rtl w:val="0"/>
          <w:lang w:val="en-US"/>
        </w:rPr>
        <w:t>t</w:t>
      </w:r>
      <w:r>
        <w:rPr>
          <w:rStyle w:val="None A"/>
          <w:rFonts w:ascii="Arial" w:hAnsi="Arial" w:hint="default"/>
          <w:sz w:val="18"/>
          <w:szCs w:val="18"/>
          <w:rtl w:val="0"/>
          <w:lang w:val="en-US"/>
        </w:rPr>
        <w:t>š</w:t>
      </w:r>
      <w:r>
        <w:rPr>
          <w:rStyle w:val="None A"/>
          <w:rFonts w:ascii="Arial" w:hAnsi="Arial"/>
          <w:sz w:val="18"/>
          <w:szCs w:val="18"/>
          <w:rtl w:val="0"/>
          <w:lang w:val="en-US"/>
        </w:rPr>
        <w:t xml:space="preserve">epetova, J., Brilene, T., Annuk, H., &amp; Mikelsaar, M. (2004). Inhibition of Clostridium difficile strains by intestinal Lactobacillus species.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53</w:t>
      </w:r>
      <w:r>
        <w:rPr>
          <w:rStyle w:val="None A"/>
          <w:rFonts w:ascii="Arial" w:hAnsi="Arial"/>
          <w:sz w:val="18"/>
          <w:szCs w:val="18"/>
          <w:rtl w:val="0"/>
          <w:lang w:val="en-US"/>
        </w:rPr>
        <w:t>(6), 551</w:t>
      </w:r>
      <w:r>
        <w:rPr>
          <w:rStyle w:val="None A"/>
          <w:rFonts w:ascii="Arial" w:hAnsi="Arial" w:hint="default"/>
          <w:sz w:val="18"/>
          <w:szCs w:val="18"/>
          <w:rtl w:val="0"/>
          <w:lang w:val="en-US"/>
        </w:rPr>
        <w:t>–</w:t>
      </w:r>
      <w:r>
        <w:rPr>
          <w:rStyle w:val="None A"/>
          <w:rFonts w:ascii="Arial" w:hAnsi="Arial"/>
          <w:sz w:val="18"/>
          <w:szCs w:val="18"/>
          <w:rtl w:val="0"/>
          <w:lang w:val="en-US"/>
        </w:rPr>
        <w:t>554. http://doi.org/10.1099/jmm.0.45595-0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Nakamura, S., Nakashio, S., Yamakawa, K., Tanabe, N., &amp; Nishida, S. (1982). Carbohydrate Fermentation by Clostridium difficile. Microbiology and Immunology, 26(2), 107</w:t>
      </w:r>
      <w:r>
        <w:rPr>
          <w:rStyle w:val="None A"/>
          <w:rFonts w:ascii="Arial" w:hAnsi="Arial" w:hint="default"/>
          <w:sz w:val="18"/>
          <w:szCs w:val="18"/>
          <w:rtl w:val="0"/>
          <w:lang w:val="en-US"/>
        </w:rPr>
        <w:t>–</w:t>
      </w:r>
      <w:r>
        <w:rPr>
          <w:rStyle w:val="None A"/>
          <w:rFonts w:ascii="Arial" w:hAnsi="Arial"/>
          <w:sz w:val="18"/>
          <w:szCs w:val="18"/>
          <w:rtl w:val="0"/>
          <w:lang w:val="en-US"/>
        </w:rPr>
        <w:t>111. http://doi.org/10.1111/j.1348-0421.1982.tb00159.x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A"/>
          <w:rFonts w:ascii="Arial" w:hAnsi="Arial"/>
          <w:i w:val="1"/>
          <w:iCs w:val="1"/>
          <w:sz w:val="18"/>
          <w:szCs w:val="18"/>
          <w:rtl w:val="0"/>
          <w:lang w:val="en-US"/>
        </w:rPr>
        <w:t>Nature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502</w:t>
      </w:r>
      <w:r>
        <w:rPr>
          <w:rStyle w:val="None A"/>
          <w:rFonts w:ascii="Arial" w:hAnsi="Arial"/>
          <w:sz w:val="18"/>
          <w:szCs w:val="18"/>
          <w:rtl w:val="0"/>
          <w:lang w:val="en-US"/>
        </w:rPr>
        <w:t>(7469), 96</w:t>
      </w:r>
      <w:r>
        <w:rPr>
          <w:rStyle w:val="None A"/>
          <w:rFonts w:ascii="Arial" w:hAnsi="Arial" w:hint="default"/>
          <w:sz w:val="18"/>
          <w:szCs w:val="18"/>
          <w:rtl w:val="0"/>
          <w:lang w:val="en-US"/>
        </w:rPr>
        <w:t>–</w:t>
      </w:r>
      <w:r>
        <w:rPr>
          <w:rStyle w:val="None A"/>
          <w:rFonts w:ascii="Arial" w:hAnsi="Arial"/>
          <w:sz w:val="18"/>
          <w:szCs w:val="18"/>
          <w:rtl w:val="0"/>
          <w:lang w:val="en-US"/>
        </w:rPr>
        <w:t>9. http://doi.org/10.1038/nature12503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(7), 1492</w:t>
      </w:r>
      <w:r>
        <w:rPr>
          <w:rStyle w:val="None A"/>
          <w:rFonts w:ascii="Arial" w:hAnsi="Arial" w:hint="default"/>
          <w:sz w:val="18"/>
          <w:szCs w:val="18"/>
          <w:rtl w:val="0"/>
          <w:lang w:val="en-US"/>
        </w:rPr>
        <w:t>–</w:t>
      </w:r>
      <w:r>
        <w:rPr>
          <w:rStyle w:val="None A"/>
          <w:rFonts w:ascii="Arial" w:hAnsi="Arial"/>
          <w:sz w:val="18"/>
          <w:szCs w:val="18"/>
          <w:rtl w:val="0"/>
          <w:lang w:val="en-US"/>
        </w:rPr>
        <w:t>1503. http://doi.org/10.1128/JB.02104-12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A"/>
          <w:rFonts w:ascii="Arial" w:hAnsi="Arial" w:hint="default"/>
          <w:sz w:val="18"/>
          <w:szCs w:val="18"/>
          <w:rtl w:val="0"/>
          <w:lang w:val="en-US"/>
        </w:rPr>
        <w:t>–</w:t>
      </w:r>
      <w:r>
        <w:rPr>
          <w:rStyle w:val="None A"/>
          <w:rFonts w:ascii="Arial" w:hAnsi="Arial"/>
          <w:sz w:val="18"/>
          <w:szCs w:val="18"/>
          <w:rtl w:val="0"/>
          <w:lang w:val="en-US"/>
        </w:rPr>
        <w:t>235). http://doi.org/10.1016/S0065-2296(08)60217-7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Potapov, A. P., Voss, N., Sasse, N., &amp; Wingender, E. (2005). Topology of mammalian transcription networks. Genome Informatics. International Conference on Genome Informatics, 16(2), 270</w:t>
      </w:r>
      <w:r>
        <w:rPr>
          <w:rStyle w:val="None A"/>
          <w:rFonts w:ascii="Arial" w:hAnsi="Arial" w:hint="default"/>
          <w:sz w:val="18"/>
          <w:szCs w:val="18"/>
          <w:rtl w:val="0"/>
          <w:lang w:val="en-US"/>
        </w:rPr>
        <w:t>–</w:t>
      </w:r>
      <w:r>
        <w:rPr>
          <w:rStyle w:val="None A"/>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A"/>
          <w:rFonts w:ascii="Arial" w:hAnsi="Arial"/>
          <w:i w:val="1"/>
          <w:iCs w:val="1"/>
          <w:sz w:val="18"/>
          <w:szCs w:val="18"/>
          <w:rtl w:val="0"/>
          <w:lang w:val="en-US"/>
        </w:rPr>
        <w:t>FEMS Microbiology Letters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358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10. http://doi.org/10.1111/1574-6968.12540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Scaria, J., Suzuki, H., Ptak, C. P., Chen, J.-W., Zhu, Y., Guo, X.-K., &amp; Chang, Y.-F. (2015). Comparative genomic and phenomic analysis of Clostridium difficile and </w:t>
      </w:r>
      <w:r>
        <w:rPr>
          <w:rStyle w:val="None A"/>
          <w:rFonts w:ascii="Arial" w:hAnsi="Arial"/>
          <w:i w:val="1"/>
          <w:iCs w:val="1"/>
          <w:sz w:val="18"/>
          <w:szCs w:val="18"/>
          <w:rtl w:val="0"/>
          <w:lang w:val="en-US"/>
        </w:rPr>
        <w:t>Clostridium sordellii</w:t>
      </w:r>
      <w:r>
        <w:rPr>
          <w:rStyle w:val="None A"/>
          <w:rFonts w:ascii="Arial" w:hAnsi="Arial"/>
          <w:sz w:val="18"/>
          <w:szCs w:val="18"/>
          <w:rtl w:val="0"/>
          <w:lang w:val="en-US"/>
        </w:rPr>
        <w:t xml:space="preserve">, two related pathogens with differing host tissue preference. </w:t>
      </w:r>
      <w:r>
        <w:rPr>
          <w:rStyle w:val="None A"/>
          <w:rFonts w:ascii="Arial" w:hAnsi="Arial"/>
          <w:i w:val="1"/>
          <w:iCs w:val="1"/>
          <w:sz w:val="18"/>
          <w:szCs w:val="18"/>
          <w:rtl w:val="0"/>
          <w:lang w:val="en-US"/>
        </w:rPr>
        <w:t>BMC Genomics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(1), 448. http://doi.org/10.1186/s12864-015-1663-5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169</w:t>
      </w:r>
      <w:r>
        <w:rPr>
          <w:rStyle w:val="None A"/>
          <w:rFonts w:ascii="Arial" w:hAnsi="Arial"/>
          <w:sz w:val="18"/>
          <w:szCs w:val="18"/>
          <w:rtl w:val="0"/>
          <w:lang w:val="en-US"/>
        </w:rPr>
        <w:t>(6), 2579</w:t>
      </w:r>
      <w:r>
        <w:rPr>
          <w:rStyle w:val="None A"/>
          <w:rFonts w:ascii="Arial" w:hAnsi="Arial" w:hint="default"/>
          <w:sz w:val="18"/>
          <w:szCs w:val="18"/>
          <w:rtl w:val="0"/>
          <w:lang w:val="en-US"/>
        </w:rPr>
        <w:t>–</w:t>
      </w:r>
      <w:r>
        <w:rPr>
          <w:rStyle w:val="None A"/>
          <w:rFonts w:ascii="Arial" w:hAnsi="Arial"/>
          <w:sz w:val="18"/>
          <w:szCs w:val="18"/>
          <w:rtl w:val="0"/>
          <w:lang w:val="en-US"/>
        </w:rPr>
        <w:t>2590.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(4). http://doi.org/10.1128/mBio.00974-15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A"/>
          <w:rFonts w:ascii="Arial" w:hAnsi="Arial"/>
          <w:i w:val="1"/>
          <w:iCs w:val="1"/>
          <w:sz w:val="18"/>
          <w:szCs w:val="18"/>
          <w:rtl w:val="0"/>
          <w:lang w:val="en-US"/>
        </w:rPr>
        <w:t>Nature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38</w:t>
      </w:r>
      <w:r>
        <w:rPr>
          <w:rStyle w:val="None A"/>
          <w:rFonts w:ascii="Arial" w:hAnsi="Arial"/>
          <w:sz w:val="18"/>
          <w:szCs w:val="18"/>
          <w:rtl w:val="0"/>
          <w:lang w:val="en-US"/>
        </w:rPr>
        <w:t>(7), 779</w:t>
      </w:r>
      <w:r>
        <w:rPr>
          <w:rStyle w:val="None A"/>
          <w:rFonts w:ascii="Arial" w:hAnsi="Arial" w:hint="default"/>
          <w:sz w:val="18"/>
          <w:szCs w:val="18"/>
          <w:rtl w:val="0"/>
          <w:lang w:val="en-US"/>
        </w:rPr>
        <w:t>–</w:t>
      </w:r>
      <w:r>
        <w:rPr>
          <w:rStyle w:val="None A"/>
          <w:rFonts w:ascii="Arial" w:hAnsi="Arial"/>
          <w:sz w:val="18"/>
          <w:szCs w:val="18"/>
          <w:rtl w:val="0"/>
          <w:lang w:val="en-US"/>
        </w:rPr>
        <w:t>786. http://doi.org/10.1038/ng1830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A"/>
          <w:rFonts w:ascii="Arial" w:hAnsi="Arial"/>
          <w:i w:val="1"/>
          <w:iCs w:val="1"/>
          <w:sz w:val="18"/>
          <w:szCs w:val="18"/>
          <w:rtl w:val="0"/>
          <w:lang w:val="en-US"/>
        </w:rPr>
        <w:t>Gut Microbes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w:t>
      </w:r>
      <w:r>
        <w:rPr>
          <w:rStyle w:val="None A"/>
          <w:rFonts w:ascii="Arial" w:hAnsi="Arial"/>
          <w:sz w:val="18"/>
          <w:szCs w:val="18"/>
          <w:rtl w:val="0"/>
          <w:lang w:val="en-US"/>
        </w:rPr>
        <w:t>(6), 326</w:t>
      </w:r>
      <w:r>
        <w:rPr>
          <w:rStyle w:val="None A"/>
          <w:rFonts w:ascii="Arial" w:hAnsi="Arial" w:hint="default"/>
          <w:sz w:val="18"/>
          <w:szCs w:val="18"/>
          <w:rtl w:val="0"/>
          <w:lang w:val="en-US"/>
        </w:rPr>
        <w:t>–</w:t>
      </w:r>
      <w:r>
        <w:rPr>
          <w:rStyle w:val="None A"/>
          <w:rFonts w:ascii="Arial" w:hAnsi="Arial"/>
          <w:sz w:val="18"/>
          <w:szCs w:val="18"/>
          <w:rtl w:val="0"/>
          <w:lang w:val="en-US"/>
        </w:rPr>
        <w:t>334. http://doi.org/10.4161/gmic.19142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A"/>
          <w:rFonts w:ascii="Arial" w:hAnsi="Arial"/>
          <w:i w:val="1"/>
          <w:iCs w:val="1"/>
          <w:sz w:val="18"/>
          <w:szCs w:val="18"/>
          <w:rtl w:val="0"/>
          <w:lang w:val="en-US"/>
        </w:rPr>
        <w:t>13th biennial Congress of the Anaerobe Society of the Americas</w:t>
      </w:r>
      <w:r>
        <w:rPr>
          <w:rStyle w:val="None A"/>
          <w:rFonts w:ascii="Arial" w:hAnsi="Arial"/>
          <w:sz w:val="18"/>
          <w:szCs w:val="18"/>
          <w:rtl w:val="0"/>
          <w:lang w:val="en-US"/>
        </w:rPr>
        <w:t>. Poster presentation. 2016 July 11-14. Nashville, TN.</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A"/>
          <w:rFonts w:ascii="Arial" w:hAnsi="Arial"/>
          <w:i w:val="1"/>
          <w:iCs w:val="1"/>
          <w:sz w:val="18"/>
          <w:szCs w:val="18"/>
          <w:rtl w:val="0"/>
          <w:lang w:val="en-US"/>
        </w:rPr>
        <w:t>Current Opinion in Biotechnology</w:t>
      </w:r>
      <w:r>
        <w:rPr>
          <w:rStyle w:val="None A"/>
          <w:rFonts w:ascii="Arial" w:hAnsi="Arial"/>
          <w:sz w:val="18"/>
          <w:szCs w:val="18"/>
          <w:rtl w:val="0"/>
          <w:lang w:val="en-US"/>
        </w:rPr>
        <w:t>. http://doi.org/10.1016/j.copbio.2011.10.008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A"/>
          <w:rFonts w:ascii="Arial" w:hAnsi="Arial"/>
          <w:i w:val="1"/>
          <w:iCs w:val="1"/>
          <w:sz w:val="18"/>
          <w:szCs w:val="18"/>
          <w:rtl w:val="0"/>
          <w:lang w:val="en-US"/>
        </w:rPr>
        <w:t>Frontiers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w:t>
      </w:r>
      <w:r>
        <w:rPr>
          <w:rStyle w:val="None A"/>
          <w:rFonts w:ascii="Arial" w:hAnsi="Arial"/>
          <w:sz w:val="18"/>
          <w:szCs w:val="18"/>
          <w:rtl w:val="0"/>
          <w:lang w:val="en-US"/>
        </w:rPr>
        <w:t>(JUN). http://doi.org/10.3389/fmicb.2013.00157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Wilson, K. H., &amp; Perini, F. (1988). Role of competition for nutrients in suppression of Clostridium difficile by the colonic microflora.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56</w:t>
      </w:r>
      <w:r>
        <w:rPr>
          <w:rStyle w:val="None A"/>
          <w:rFonts w:ascii="Arial" w:hAnsi="Arial"/>
          <w:sz w:val="18"/>
          <w:szCs w:val="18"/>
          <w:rtl w:val="0"/>
          <w:lang w:val="en-US"/>
        </w:rPr>
        <w:t>(10), 2610</w:t>
      </w:r>
      <w:r>
        <w:rPr>
          <w:rStyle w:val="None A"/>
          <w:rFonts w:ascii="Arial" w:hAnsi="Arial" w:hint="default"/>
          <w:sz w:val="18"/>
          <w:szCs w:val="18"/>
          <w:rtl w:val="0"/>
          <w:lang w:val="en-US"/>
        </w:rPr>
        <w:t>–</w:t>
      </w:r>
      <w:r>
        <w:rPr>
          <w:rStyle w:val="None A"/>
          <w:rFonts w:ascii="Arial" w:hAnsi="Arial"/>
          <w:sz w:val="18"/>
          <w:szCs w:val="18"/>
          <w:rtl w:val="0"/>
          <w:lang w:val="en-US"/>
        </w:rPr>
        <w:t>2614.</w:t>
      </w:r>
    </w:p>
    <w:p>
      <w:pPr>
        <w:pStyle w:val="Text body"/>
        <w:shd w:val="clear" w:color="auto" w:fill="ffffff"/>
        <w:spacing w:line="100" w:lineRule="atLeast"/>
        <w:ind w:left="480" w:hanging="480"/>
        <w:jc w:val="both"/>
        <w:rPr>
          <w:rStyle w:val="None A"/>
          <w:rFonts w:ascii="Arial" w:cs="Arial" w:hAnsi="Arial" w:eastAsia="Arial"/>
          <w:sz w:val="18"/>
          <w:szCs w:val="18"/>
        </w:rPr>
      </w:pPr>
      <w:r>
        <w:rPr>
          <w:rStyle w:val="None A"/>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A"/>
          <w:rFonts w:ascii="Arial" w:hAnsi="Arial" w:hint="default"/>
          <w:sz w:val="18"/>
          <w:szCs w:val="18"/>
          <w:rtl w:val="0"/>
          <w:lang w:val="en-US"/>
        </w:rPr>
        <w:t>–</w:t>
      </w:r>
      <w:r>
        <w:rPr>
          <w:rStyle w:val="None A"/>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A"/>
          <w:rFonts w:ascii="Arial" w:hAnsi="Arial"/>
          <w:sz w:val="18"/>
          <w:szCs w:val="18"/>
          <w:rtl w:val="0"/>
          <w:lang w:val="en-US"/>
        </w:rPr>
        <w:t xml:space="preserve">Yuille, S., Mackay, W. G., Morrison, D. J., &amp; Tedford, M. C. (2015). Optimising gut colonisation resistance against Clostridium difficile infection. </w:t>
      </w:r>
      <w:r>
        <w:rPr>
          <w:rStyle w:val="None A"/>
          <w:rFonts w:ascii="Arial" w:hAnsi="Arial"/>
          <w:i w:val="1"/>
          <w:iCs w:val="1"/>
          <w:sz w:val="18"/>
          <w:szCs w:val="18"/>
          <w:rtl w:val="0"/>
          <w:lang w:val="en-US"/>
        </w:rPr>
        <w:t>European Journal of Clinical Microbiology and Infectious Diseases</w:t>
      </w:r>
      <w:r>
        <w:rPr>
          <w:rStyle w:val="None A"/>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LM Roman Unslanted 10">
    <w:charset w:val="00"/>
    <w:family w:val="roman"/>
    <w:pitch w:val="default"/>
  </w:font>
  <w:font w:name="PT Serif Captio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rPr>
      <w:lang w:val="en-US"/>
    </w:rPr>
  </w:style>
  <w:style w:type="character" w:styleId="Hyperlink.0">
    <w:name w:val="Hyperlink.0"/>
    <w:basedOn w:val="None A"/>
    <w:next w:val="Hyperlink.0"/>
    <w:rPr>
      <w:rFonts w:ascii="Arial" w:cs="Arial" w:hAnsi="Arial" w:eastAsia="Arial"/>
      <w:caps w:val="0"/>
      <w:smallCaps w:val="0"/>
      <w:color w:val="000000"/>
      <w:spacing w:val="0"/>
      <w:sz w:val="22"/>
      <w:szCs w:val="22"/>
      <w:u w:val="single" w:color="000000"/>
    </w:rPr>
  </w:style>
  <w:style w:type="character" w:styleId="Hyperlink.1">
    <w:name w:val="Hyperlink.1"/>
    <w:basedOn w:val="None A"/>
    <w:next w:val="Hyperlink.1"/>
    <w:rPr>
      <w:rFonts w:ascii="Arial" w:cs="Arial" w:hAnsi="Arial" w:eastAsia="Arial"/>
      <w:color w:val="000080"/>
      <w:sz w:val="22"/>
      <w:szCs w:val="22"/>
      <w:u w:val="single" w:color="000080"/>
    </w:rPr>
  </w:style>
  <w:style w:type="character" w:styleId="Hyperlink.2">
    <w:name w:val="Hyperlink.2"/>
    <w:basedOn w:val="None A"/>
    <w:next w:val="Hyperlink.2"/>
    <w:rPr>
      <w:rFonts w:ascii="Arial" w:cs="Arial" w:hAnsi="Arial" w:eastAsia="Arial"/>
      <w:sz w:val="22"/>
      <w:szCs w:val="22"/>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A"/>
    <w:next w:val="Hyperlink.3"/>
    <w:rPr>
      <w:rFonts w:ascii="Arial" w:cs="Arial" w:hAnsi="Arial" w:eastAsia="Arial"/>
      <w:color w:val="0000ff"/>
      <w:sz w:val="18"/>
      <w:szCs w:val="18"/>
      <w:u w:val="single" w:color="0000ff"/>
      <w:lang w:val="en-US"/>
    </w:rPr>
  </w:style>
  <w:style w:type="character" w:styleId="Hyperlink.4">
    <w:name w:val="Hyperlink.4"/>
    <w:basedOn w:val="None A"/>
    <w:next w:val="Hyperlink.4"/>
    <w:rPr>
      <w:rFonts w:ascii="Arial" w:cs="Arial" w:hAnsi="Arial" w:eastAsia="Arial"/>
      <w:color w:val="0000ff"/>
      <w:sz w:val="18"/>
      <w:szCs w:val="18"/>
      <w:u w:val="single" w:color="0000ff"/>
    </w:rPr>
  </w:style>
  <w:style w:type="character" w:styleId="Hyperlink.5">
    <w:name w:val="Hyperlink.5"/>
    <w:basedOn w:val="None A"/>
    <w:next w:val="Hyperlink.5"/>
    <w:rPr>
      <w:rFonts w:ascii="Arial" w:cs="Arial" w:hAnsi="Arial" w:eastAsia="Arial"/>
      <w:color w:val="000080"/>
      <w:sz w:val="18"/>
      <w:szCs w:val="18"/>
      <w:u w:val="single" w:color="000080"/>
    </w:rPr>
  </w:style>
  <w:style w:type="character" w:styleId="Hyperlink.6">
    <w:name w:val="Hyperlink.6"/>
    <w:basedOn w:val="None A"/>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