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pPr>
      <w:r>
        <w:rPr>
          <w:rFonts w:ascii="Arial" w:hAnsi="Arial"/>
          <w:sz w:val="22"/>
          <w:szCs w:val="22"/>
          <w:rtl w:val="0"/>
          <w:lang w:val="en-US"/>
        </w:rPr>
        <w:t>Need a final sentence</w:t>
      </w:r>
      <w:r>
        <w:rPr>
          <w:rFonts w:ascii="Arial" w:hAnsi="Arial" w:hint="default"/>
          <w:sz w:val="22"/>
          <w:szCs w:val="22"/>
          <w:rtl w:val="0"/>
          <w:lang w:val="en-US"/>
        </w:rPr>
        <w:t>…</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1"/>
      <w:r>
        <w:rPr>
          <w:rFonts w:ascii="Arial" w:hAnsi="Arial"/>
          <w:i w:val="1"/>
          <w:iCs w:val="1"/>
          <w:sz w:val="22"/>
          <w:szCs w:val="22"/>
          <w:rtl w:val="0"/>
          <w:lang w:val="en-US"/>
        </w:rPr>
        <w:t>adhE</w:t>
      </w:r>
      <w:bookmarkEnd w:id="1"/>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rPr>
          <w:rFonts w:ascii="Arial" w:cs="Arial" w:hAnsi="Arial" w:eastAsia="Arial"/>
          <w:sz w:val="22"/>
          <w:szCs w:val="22"/>
          <w:shd w:val="clear" w:color="auto" w:fill="ffffff"/>
        </w:rPr>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p>
    <w:p>
      <w:pPr>
        <w:pStyle w:val="Default"/>
        <w:shd w:val="clear" w:color="auto" w:fill="ffffff"/>
        <w:spacing w:line="480" w:lineRule="auto"/>
        <w:ind w:firstLine="709"/>
        <w:jc w:val="both"/>
        <w:rPr>
          <w:rFonts w:ascii="Arial" w:cs="Arial" w:hAnsi="Arial" w:eastAsia="Arial"/>
          <w:sz w:val="22"/>
          <w:szCs w:val="22"/>
          <w:shd w:val="clear" w:color="auto" w:fill="ffffff"/>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22"/>
          <w:szCs w:val="22"/>
          <w:shd w:val="clear" w:color="auto" w:fill="ffffff"/>
        </w:rPr>
      </w:pPr>
      <w:r>
        <w:rPr>
          <w:rFonts w:ascii="Arial" w:hAnsi="Arial"/>
          <w:sz w:val="22"/>
          <w:szCs w:val="22"/>
          <w:shd w:val="clear" w:color="auto" w:fill="ffffff"/>
          <w:rtl w:val="0"/>
          <w:lang w:val="en-US"/>
        </w:rPr>
        <w:t>Add why adding transcription is a sound thing to do to infer enzyme levels</w:t>
      </w:r>
      <w:r>
        <w:rPr>
          <w:rFonts w:ascii="Arial" w:hAnsi="Arial" w:hint="default"/>
          <w:sz w:val="22"/>
          <w:szCs w:val="22"/>
          <w:shd w:val="clear" w:color="auto" w:fill="ffffff"/>
          <w:rtl w:val="0"/>
          <w:lang w:val="en-US"/>
        </w:rPr>
        <w:t>…</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This process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expression of genes for enzymes that produce the substrate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