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w:t>
      </w:r>
      <w:r>
        <w:rPr>
          <w:rStyle w:val="None A"/>
          <w:rFonts w:ascii="Arial" w:hAnsi="Arial"/>
          <w:color w:val="2c2d30"/>
          <w:sz w:val="22"/>
          <w:szCs w:val="22"/>
          <w:u w:val="none" w:color="2c2d30"/>
          <w:rtl w:val="0"/>
          <w:lang w:val="en-US"/>
        </w:rPr>
        <w:t>distinct</w:t>
      </w:r>
      <w:r>
        <w:rPr>
          <w:rStyle w:val="None A"/>
          <w:rFonts w:ascii="Arial" w:hAnsi="Arial"/>
          <w:color w:val="2c2d30"/>
          <w:sz w:val="22"/>
          <w:szCs w:val="22"/>
          <w:u w:val="none" w:color="2c2d30"/>
          <w:rtl w:val="0"/>
          <w:lang w:val="en-US"/>
        </w:rPr>
        <w:t xml:space="preserv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w:t>
      </w:r>
      <w:r>
        <w:rPr>
          <w:rStyle w:val="None A"/>
          <w:rFonts w:ascii="Arial" w:hAnsi="Arial"/>
          <w:sz w:val="22"/>
          <w:szCs w:val="22"/>
          <w:rtl w:val="0"/>
          <w:lang w:val="en-US"/>
        </w:rPr>
        <w:t xml:space="preserve">antibiotic-induced </w:t>
      </w:r>
      <w:r>
        <w:rPr>
          <w:rStyle w:val="None A"/>
          <w:rFonts w:ascii="Arial" w:hAnsi="Arial"/>
          <w:sz w:val="22"/>
          <w:szCs w:val="22"/>
          <w:rtl w:val="0"/>
          <w:lang w:val="en-US"/>
        </w:rPr>
        <w:t xml:space="preserve">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w:t>
      </w:r>
      <w:r>
        <w:rPr>
          <w:rStyle w:val="None A"/>
          <w:rFonts w:ascii="Arial" w:hAnsi="Arial"/>
          <w:sz w:val="22"/>
          <w:szCs w:val="22"/>
          <w:rtl w:val="0"/>
          <w:lang w:val="en-US"/>
        </w:rPr>
        <w:t>revealed</w:t>
      </w:r>
      <w:r>
        <w:rPr>
          <w:rStyle w:val="None A"/>
          <w:rFonts w:ascii="Arial" w:hAnsi="Arial"/>
          <w:sz w:val="22"/>
          <w:szCs w:val="22"/>
          <w:rtl w:val="0"/>
          <w:lang w:val="en-US"/>
        </w:rPr>
        <w:t xml:space="pre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Style w:val="None A"/>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&gt;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germ free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toxin production</w:t>
      </w:r>
      <w:r>
        <w:rPr>
          <w:rStyle w:val="None A"/>
          <w:rFonts w:ascii="Arial" w:hAnsi="Arial"/>
          <w:sz w:val="22"/>
          <w:szCs w:val="22"/>
          <w:rtl w:val="0"/>
          <w:lang w:val="en-US"/>
        </w:rPr>
        <w:t xml:space="preserve"> (</w:t>
      </w:r>
      <w:r>
        <w:rPr>
          <w:rStyle w:val="None A"/>
          <w:rFonts w:ascii="Arial" w:hAnsi="Arial"/>
          <w:sz w:val="22"/>
          <w:szCs w:val="22"/>
          <w:rtl w:val="0"/>
          <w:lang w:val="en-US"/>
        </w:rPr>
        <w:t>Fig 3</w:t>
      </w:r>
      <w:r>
        <w:rPr>
          <w:rStyle w:val="None A"/>
          <w:rFonts w:ascii="Arial" w:hAnsi="Arial"/>
          <w:sz w:val="22"/>
          <w:szCs w:val="22"/>
          <w:rtl w:val="0"/>
          <w:lang w:val="en-US"/>
        </w:rPr>
        <w:t xml:space="preserve">b) and </w:t>
      </w:r>
      <w:r>
        <w:rPr>
          <w:rStyle w:val="None A"/>
          <w:rFonts w:ascii="Arial" w:hAnsi="Arial"/>
          <w:sz w:val="22"/>
          <w:szCs w:val="22"/>
          <w:rtl w:val="0"/>
          <w:lang w:val="en-US"/>
        </w:rPr>
        <w:t>quorum sensing</w:t>
      </w:r>
      <w:r>
        <w:rPr>
          <w:rStyle w:val="None A"/>
          <w:rFonts w:ascii="Arial" w:hAnsi="Arial"/>
          <w:sz w:val="22"/>
          <w:szCs w:val="22"/>
          <w:rtl w:val="0"/>
          <w:lang w:val="en-US"/>
        </w:rPr>
        <w:t xml:space="preserve"> (</w:t>
      </w:r>
      <w:r>
        <w:rPr>
          <w:rStyle w:val="None A"/>
          <w:rFonts w:ascii="Arial" w:hAnsi="Arial"/>
          <w:sz w:val="22"/>
          <w:szCs w:val="22"/>
          <w:rtl w:val="0"/>
          <w:lang w:val="en-US"/>
        </w:rPr>
        <w:t>Fig 3</w:t>
      </w:r>
      <w:r>
        <w:rPr>
          <w:rStyle w:val="None A"/>
          <w:rFonts w:ascii="Arial" w:hAnsi="Arial"/>
          <w:sz w:val="22"/>
          <w:szCs w:val="22"/>
          <w:rtl w:val="0"/>
          <w:lang w:val="en-US"/>
        </w:rPr>
        <w:t>c)</w:t>
      </w:r>
      <w:r>
        <w:rPr>
          <w:rStyle w:val="None A"/>
          <w:rFonts w:ascii="Arial" w:hAnsi="Arial"/>
          <w:sz w:val="22"/>
          <w:szCs w:val="22"/>
          <w:rtl w:val="0"/>
          <w:lang w:val="en-US"/>
        </w:rPr>
        <w:t xml:space="preserve">;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germ free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germ free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germ free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To move beyond a static representation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mapped transcript data to the enzyme nodes. Due to the coupling of transcription and translation in bacteria, we were able to use normalized transcript abundances as a proxy for enzyme levels. 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germ free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Shared metabolites tested for growth</w:t>
      </w:r>
      <w:r>
        <w:rPr>
          <w:rStyle w:val="None A"/>
          <w:rFonts w:ascii="Arial" w:hAnsi="Arial" w:hint="default"/>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(Fig. </w:t>
      </w:r>
      <w:r>
        <w:rPr>
          <w:rStyle w:val="None A"/>
          <w:rFonts w:ascii="Arial" w:hAnsi="Arial"/>
          <w:sz w:val="22"/>
          <w:szCs w:val="22"/>
          <w:rtl w:val="0"/>
          <w:lang w:val="en-US"/>
        </w:rPr>
        <w:t>6b</w:t>
      </w:r>
      <w:r>
        <w:rPr>
          <w:rStyle w:val="None A"/>
          <w:rFonts w:ascii="Arial" w:hAnsi="Arial"/>
          <w:sz w:val="22"/>
          <w:szCs w:val="22"/>
          <w:rtl w:val="0"/>
          <w:lang w:val="en-US"/>
        </w:rPr>
        <w:t>).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 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w:t>
      </w:r>
      <w:r>
        <w:rPr>
          <w:rStyle w:val="None A"/>
          <w:rFonts w:ascii="Arial" w:hAnsi="Arial"/>
          <w:sz w:val="22"/>
          <w:szCs w:val="22"/>
          <w:rtl w:val="0"/>
          <w:lang w:val="en-US"/>
        </w:rPr>
        <w:t>6c</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Style w:val="None A"/>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w:t>
      </w:r>
      <w:r>
        <w:rPr>
          <w:rStyle w:val="None A"/>
          <w:rFonts w:ascii="Arial" w:hAnsi="Arial"/>
          <w:sz w:val="22"/>
          <w:szCs w:val="22"/>
          <w:rtl w:val="0"/>
          <w:lang w:val="en-US"/>
        </w:rPr>
        <w:t>distilled</w:t>
      </w:r>
      <w:r>
        <w:rPr>
          <w:rStyle w:val="None A"/>
          <w:rFonts w:ascii="Arial" w:hAnsi="Arial"/>
          <w:sz w:val="22"/>
          <w:szCs w:val="22"/>
          <w:rtl w:val="0"/>
          <w:lang w:val="en-US"/>
        </w:rPr>
        <w:t xml:space="preserve">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w:t>
      </w:r>
      <w:r>
        <w:rPr>
          <w:rStyle w:val="None A"/>
          <w:rFonts w:ascii="Arial" w:hAnsi="Arial"/>
          <w:sz w:val="22"/>
          <w:szCs w:val="22"/>
          <w:rtl w:val="0"/>
          <w:lang w:val="en-US"/>
        </w:rPr>
        <w:t xml:space="preserve">distilled </w:t>
      </w:r>
      <w:r>
        <w:rPr>
          <w:rStyle w:val="None A"/>
          <w:rFonts w:ascii="Arial" w:hAnsi="Arial"/>
          <w:sz w:val="22"/>
          <w:szCs w:val="22"/>
          <w:rtl w:val="0"/>
          <w:lang w:val="en-US"/>
        </w:rPr>
        <w:t>drinking water prior to infection. Clindamycin (10 mg/kg) was given via intraperitoneal injection 24 hours before time of infection.</w:t>
      </w:r>
      <w:r>
        <w:rPr>
          <w:rStyle w:val="None A"/>
          <w:rFonts w:ascii="Arial" w:hAnsi="Arial"/>
          <w:sz w:val="22"/>
          <w:szCs w:val="22"/>
          <w:rtl w:val="0"/>
          <w:lang w:val="en-US"/>
        </w:rPr>
        <w:t xml:space="preserve">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w:t>
      </w:r>
      <w:r>
        <w:rPr>
          <w:rStyle w:val="None A"/>
          <w:rFonts w:ascii="Arial" w:hAnsi="Arial"/>
          <w:sz w:val="22"/>
          <w:szCs w:val="22"/>
          <w:rtl w:val="0"/>
          <w:lang w:val="en-US"/>
        </w:rPr>
        <w:t>4</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xml:space="preserve">).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A"/>
          <w:rFonts w:ascii="Arial" w:hAnsi="Arial"/>
          <w:i w:val="1"/>
          <w:iCs w:val="1"/>
          <w:sz w:val="22"/>
          <w:szCs w:val="22"/>
          <w:rtl w:val="0"/>
          <w:lang w:val="en-US"/>
        </w:rPr>
        <w:t xml:space="preserve"> de novo</w:t>
      </w:r>
      <w:r>
        <w:rPr>
          <w:rStyle w:val="None A"/>
          <w:rFonts w:ascii="Arial" w:hAnsi="Arial"/>
          <w:sz w:val="22"/>
          <w:szCs w:val="22"/>
          <w:rtl w:val="0"/>
          <w:lang w:val="en-US"/>
        </w:rPr>
        <w:t xml:space="preserve"> generation of negative binomial distributions of transcript abundance for enzyme nodes and recalculating metabolite importances. Each substrate node accumulated a distribution of importance scores which were then used to calculate a</w:t>
      </w:r>
      <w:r>
        <w:rPr>
          <w:rStyle w:val="None A"/>
          <w:rFonts w:ascii="Arial" w:hAnsi="Arial"/>
          <w:sz w:val="22"/>
          <w:szCs w:val="22"/>
          <w:rtl w:val="0"/>
          <w:lang w:val="en-US"/>
        </w:rPr>
        <w:t>n interquartile range and 95%</w:t>
      </w:r>
      <w:r>
        <w:rPr>
          <w:rStyle w:val="None A"/>
          <w:rFonts w:ascii="Arial" w:hAnsi="Arial"/>
          <w:sz w:val="22"/>
          <w:szCs w:val="22"/>
          <w:rtl w:val="0"/>
          <w:lang w:val="en-US"/>
        </w:rPr>
        <w:t xml:space="preserve"> confidence interval. </w:t>
      </w:r>
      <w:r>
        <w:rPr>
          <w:rStyle w:val="None A"/>
          <w:rFonts w:ascii="Arial" w:hAnsi="Arial"/>
          <w:sz w:val="22"/>
          <w:szCs w:val="22"/>
          <w:rtl w:val="0"/>
          <w:lang w:val="en-US"/>
        </w:rPr>
        <w:t>S</w:t>
      </w:r>
      <w:r>
        <w:rPr>
          <w:rStyle w:val="None A"/>
          <w:rFonts w:ascii="Arial" w:hAnsi="Arial"/>
          <w:sz w:val="22"/>
          <w:szCs w:val="22"/>
          <w:rtl w:val="0"/>
          <w:lang w:val="en-US"/>
        </w:rPr>
        <w:t xml:space="preserve">cores from measured values were then compared against simulated </w:t>
      </w:r>
      <w:r>
        <w:rPr>
          <w:rStyle w:val="None A"/>
          <w:rFonts w:ascii="Arial" w:hAnsi="Arial"/>
          <w:sz w:val="22"/>
          <w:szCs w:val="22"/>
          <w:rtl w:val="0"/>
          <w:lang w:val="en-US"/>
        </w:rPr>
        <w:t>ranges</w:t>
      </w:r>
      <w:r>
        <w:rPr>
          <w:rStyle w:val="None A"/>
          <w:rFonts w:ascii="Arial" w:hAnsi="Arial"/>
          <w:sz w:val="22"/>
          <w:szCs w:val="22"/>
          <w:rtl w:val="0"/>
          <w:lang w:val="en-US"/>
        </w:rPr>
        <w:t xml:space="preserve">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 for antibiotic 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w:t>
      </w:r>
      <w:r>
        <w:rPr>
          <w:rStyle w:val="None A"/>
          <w:rFonts w:ascii="Arial" w:hAnsi="Arial"/>
          <w:sz w:val="22"/>
          <w:szCs w:val="22"/>
          <w:rtl w:val="0"/>
          <w:lang w:val="en-US"/>
        </w:rPr>
        <w:t>ip injection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only distilled water.</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rarefied relative abundance of transcript for each gene of interest.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including those in C. difficile pathogenicity locus as well as the binary toxin regulator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several of which expression/activity has been linked to environment nutrient concentrations including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r>
        <w:rPr>
          <w:rtl w:val="0"/>
          <w:lang w:val="en-US"/>
        </w:rPr>
        <w:t xml:space="preserve"> </w:t>
      </w:r>
      <w:r>
        <w:rPr>
          <w:rStyle w:val="None A"/>
          <w:rFonts w:ascii="Arial" w:hAnsi="Arial"/>
          <w:b w:val="1"/>
          <w:bCs w:val="1"/>
          <w:sz w:val="22"/>
          <w:szCs w:val="22"/>
          <w:rtl w:val="0"/>
          <w:lang w:val="en-US"/>
        </w:rPr>
        <w:t>c</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w:t>
      </w:r>
      <w:r>
        <w:rPr>
          <w:rStyle w:val="None A"/>
          <w:rFonts w:ascii="Arial" w:hAnsi="Arial"/>
          <w:b w:val="1"/>
          <w:bCs w:val="1"/>
          <w:sz w:val="22"/>
          <w:szCs w:val="22"/>
          <w:rtl w:val="0"/>
          <w:lang w:val="en-US"/>
        </w:rPr>
        <w:t>6</w:t>
      </w:r>
      <w:r>
        <w:rPr>
          <w:rStyle w:val="None A"/>
          <w:rFonts w:ascii="Arial" w:hAnsi="Arial"/>
          <w:b w:val="1"/>
          <w:bCs w:val="1"/>
          <w:sz w:val="22"/>
          <w:szCs w:val="22"/>
          <w:rtl w:val="0"/>
          <w:lang w:val="en-US"/>
        </w:rPr>
        <w:t xml:space="preserve"> |</w:t>
      </w:r>
      <w:r>
        <w:rPr>
          <w:rStyle w:val="None A"/>
          <w:rFonts w:ascii="Arial" w:hAnsi="Arial"/>
          <w:b w:val="1"/>
          <w:bCs w:val="1"/>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