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rPr>
          <w:rFonts w:ascii="Arial" w:cs="Arial" w:hAnsi="Arial" w:eastAsia="Arial"/>
          <w:i w:val="1"/>
          <w:iCs w:val="1"/>
          <w:color w:val="2c2d30"/>
          <w:sz w:val="22"/>
          <w:szCs w:val="22"/>
          <w:u w:color="2c2d30"/>
        </w:rPr>
      </w:pPr>
      <w:r>
        <w:rPr>
          <w:rFonts w:ascii="Arial" w:hAnsi="Arial"/>
          <w:b w:val="1"/>
          <w:bCs w:val="1"/>
          <w:sz w:val="22"/>
          <w:szCs w:val="22"/>
          <w:rtl w:val="0"/>
          <w:lang w:val="en-US"/>
        </w:rPr>
        <w:t>Title</w:t>
      </w:r>
    </w:p>
    <w:p>
      <w:pPr>
        <w:pStyle w:val="Default"/>
        <w:spacing w:line="480" w:lineRule="auto"/>
        <w:jc w:val="both"/>
        <w:rPr>
          <w:rFonts w:ascii="Arial" w:cs="Arial" w:hAnsi="Arial" w:eastAsia="Arial"/>
          <w:b w:val="1"/>
          <w:bCs w:val="1"/>
          <w:sz w:val="22"/>
          <w:szCs w:val="22"/>
        </w:rPr>
      </w:pPr>
      <w:r>
        <w:rPr>
          <w:rFonts w:ascii="Arial" w:hAnsi="Arial"/>
          <w:i w:val="1"/>
          <w:iCs w:val="1"/>
          <w:color w:val="2c2d30"/>
          <w:sz w:val="22"/>
          <w:szCs w:val="22"/>
          <w:u w:color="2c2d30"/>
          <w:rtl w:val="0"/>
          <w:lang w:val="en-US"/>
        </w:rPr>
        <w:t>Clostridium difficile</w:t>
      </w:r>
      <w:r>
        <w:rPr>
          <w:rFonts w:ascii="Arial" w:hAnsi="Arial"/>
          <w:color w:val="2c2d30"/>
          <w:sz w:val="22"/>
          <w:szCs w:val="22"/>
          <w:u w:color="2c2d30"/>
          <w:rtl w:val="0"/>
          <w:lang w:val="en-US"/>
        </w:rPr>
        <w:t xml:space="preserve"> colonizes alternative nutrient niches during infection across susceptible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pacing w:line="480" w:lineRule="auto"/>
        <w:jc w:val="both"/>
        <w:rPr>
          <w:rFonts w:ascii="Arial" w:cs="Arial" w:hAnsi="Arial" w:eastAsia="Arial"/>
          <w:sz w:val="22"/>
          <w:szCs w:val="22"/>
        </w:r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pacing w:line="480" w:lineRule="auto"/>
        <w:jc w:val="both"/>
        <w:rPr>
          <w:rFonts w:ascii="Arial" w:cs="Arial" w:hAnsi="Arial" w:eastAsia="Arial"/>
          <w:sz w:val="22"/>
          <w:szCs w:val="22"/>
        </w:rPr>
      </w:pPr>
    </w:p>
    <w:p>
      <w:pPr>
        <w:pStyle w:val="Default"/>
        <w:spacing w:line="480" w:lineRule="auto"/>
        <w:jc w:val="both"/>
        <w:sectPr>
          <w:headerReference w:type="default" r:id="rId4"/>
          <w:footerReference w:type="default" r:id="rId5"/>
          <w:pgSz w:w="12240" w:h="15840" w:orient="portrait"/>
          <w:pgMar w:top="1134" w:right="1134" w:bottom="1134" w:left="1134" w:header="720" w:footer="720"/>
          <w:bidi w:val="0"/>
        </w:sect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w:t>
      </w:r>
      <w:r>
        <w:rPr>
          <w:rFonts w:ascii="Arial" w:hAnsi="Arial"/>
          <w:i w:val="1"/>
          <w:iCs w:val="1"/>
          <w:sz w:val="22"/>
          <w:szCs w:val="22"/>
          <w:rtl w:val="0"/>
          <w:lang w:val="en-US"/>
        </w:rPr>
        <w:t>Clostridium difficile</w:t>
      </w:r>
      <w:r>
        <w:rPr>
          <w:rFonts w:ascii="Arial" w:hAnsi="Arial"/>
          <w:sz w:val="22"/>
          <w:szCs w:val="22"/>
          <w:rtl w:val="0"/>
          <w:lang w:val="en-US"/>
        </w:rPr>
        <w:t xml:space="preserve"> has increased in both prevalence and severity across numerous countries over the last decade (Lessa 2012). In the United States in 2014, </w:t>
      </w:r>
      <w:r>
        <w:rPr>
          <w:rFonts w:ascii="Arial" w:hAnsi="Arial"/>
          <w:i w:val="1"/>
          <w:iCs w:val="1"/>
          <w:sz w:val="22"/>
          <w:szCs w:val="22"/>
          <w:rtl w:val="0"/>
          <w:lang w:val="en-US"/>
        </w:rPr>
        <w:t>C. difficile</w:t>
      </w:r>
      <w:r>
        <w:rPr>
          <w:rFonts w:ascii="Arial" w:hAnsi="Arial"/>
          <w:sz w:val="22"/>
          <w:szCs w:val="22"/>
          <w:rtl w:val="0"/>
          <w:lang w:val="en-US"/>
        </w:rPr>
        <w:t xml:space="preserve"> was estimated to have caused &gt;500,000 infections and resulted in ~$4.8 billion worth of acute care costs (Lessa, 2015). </w:t>
      </w:r>
      <w:r>
        <w:rPr>
          <w:rFonts w:ascii="Arial" w:hAnsi="Arial"/>
          <w:i w:val="1"/>
          <w:iCs w:val="1"/>
          <w:sz w:val="22"/>
          <w:szCs w:val="22"/>
          <w:rtl w:val="0"/>
          <w:lang w:val="en-US"/>
        </w:rPr>
        <w:t>Clostridium difficile</w:t>
      </w:r>
      <w:r>
        <w:rPr>
          <w:rFonts w:ascii="Arial" w:hAnsi="Arial"/>
          <w:sz w:val="22"/>
          <w:szCs w:val="22"/>
          <w:rtl w:val="0"/>
          <w:lang w:val="en-US"/>
        </w:rPr>
        <w:t xml:space="preserv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w:t>
      </w:r>
      <w:r>
        <w:rPr>
          <w:rFonts w:ascii="Arial" w:hAnsi="Arial"/>
          <w:sz w:val="22"/>
          <w:szCs w:val="22"/>
          <w:shd w:val="clear" w:color="auto" w:fill="ffff00"/>
          <w:rtl w:val="0"/>
          <w:lang w:val="en-US"/>
        </w:rPr>
        <w:t>human references</w:t>
      </w:r>
      <w:r>
        <w:rPr>
          <w:rFonts w:ascii="Arial" w:hAnsi="Arial"/>
          <w:sz w:val="22"/>
          <w:szCs w:val="22"/>
          <w:rtl w:val="0"/>
          <w:lang w:val="en-US"/>
        </w:rPr>
        <w:t>; Vince</w:t>
      </w:r>
      <w:r>
        <w:rPr>
          <w:rFonts w:ascii="Arial" w:hAnsi="Arial" w:hint="default"/>
          <w:sz w:val="22"/>
          <w:szCs w:val="22"/>
          <w:rtl w:val="0"/>
          <w:lang w:val="en-US"/>
        </w:rPr>
        <w:t>’</w:t>
      </w:r>
      <w:r>
        <w:rPr>
          <w:rFonts w:ascii="Arial" w:hAnsi="Arial"/>
          <w:sz w:val="22"/>
          <w:szCs w:val="22"/>
          <w:rtl w:val="0"/>
          <w:lang w:val="en-US"/>
        </w:rPr>
        <w:t>s and Alyx and other clinical papers).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colonization (</w:t>
      </w:r>
      <w:del w:id="1" w:date="2016-09-08T16:43:17Z" w:author="Matthew Jenior">
        <w:r>
          <w:rPr>
            <w:rFonts w:ascii="Arial" w:hAnsi="Arial"/>
            <w:sz w:val="22"/>
            <w:szCs w:val="22"/>
            <w:rtl w:val="0"/>
            <w:lang w:val="en-US"/>
          </w:rPr>
          <w:delText>Kelley</w:delText>
        </w:r>
      </w:del>
      <w:ins w:id="2" w:date="2016-09-08T16:43:18Z" w:author="Matthew Jenior">
        <w:r>
          <w:rPr>
            <w:rFonts w:ascii="Arial" w:hAnsi="Arial"/>
            <w:sz w:val="22"/>
            <w:szCs w:val="22"/>
            <w:rtl w:val="0"/>
            <w:lang w:val="en-US"/>
          </w:rPr>
          <w:t>Chen</w:t>
        </w:r>
      </w:ins>
      <w:r>
        <w:rPr>
          <w:rFonts w:ascii="Arial" w:hAnsi="Arial"/>
          <w:sz w:val="22"/>
          <w:szCs w:val="22"/>
          <w:rtl w:val="0"/>
          <w:lang w:val="en-US"/>
        </w:rPr>
        <w:t xml:space="preserve">, </w:t>
      </w:r>
      <w:ins w:id="3" w:date="2016-09-08T16:43:19Z" w:author="Matthew Jenior">
        <w:r>
          <w:rPr>
            <w:rFonts w:ascii="Arial" w:hAnsi="Arial"/>
            <w:sz w:val="22"/>
            <w:szCs w:val="22"/>
            <w:rtl w:val="0"/>
            <w:lang w:val="en-US"/>
          </w:rPr>
          <w:t>2008</w:t>
        </w:r>
      </w:ins>
      <w:del w:id="4" w:date="2016-09-08T16:44:17Z" w:author="Matthew Jenior">
        <w:r>
          <w:rPr>
            <w:rFonts w:ascii="Arial" w:hAnsi="Arial"/>
            <w:sz w:val="22"/>
            <w:szCs w:val="22"/>
            <w:rtl w:val="0"/>
            <w:lang w:val="en-US"/>
          </w:rPr>
          <w:delText xml:space="preserve">; </w:delText>
        </w:r>
      </w:del>
      <w:del w:id="5" w:date="2016-09-08T16:44:17Z" w:author="Matthew Jenior">
        <w:r>
          <w:rPr>
            <w:rFonts w:ascii="Arial" w:hAnsi="Arial"/>
            <w:sz w:val="22"/>
            <w:szCs w:val="22"/>
            <w:rtl w:val="0"/>
            <w:lang w:val="en-US"/>
          </w:rPr>
          <w:delText xml:space="preserve">Reeves, </w:delText>
        </w:r>
      </w:del>
      <w:r>
        <w:rPr>
          <w:rFonts w:ascii="Arial" w:hAnsi="Arial"/>
          <w:sz w:val="22"/>
          <w:szCs w:val="22"/>
          <w:rtl w:val="0"/>
          <w:lang w:val="en-US"/>
        </w:rPr>
        <w:t xml:space="preserve">; </w:t>
      </w:r>
      <w:r>
        <w:rPr>
          <w:rFonts w:ascii="Arial" w:hAnsi="Arial"/>
          <w:sz w:val="22"/>
          <w:szCs w:val="22"/>
          <w:rtl w:val="0"/>
          <w:lang w:val="en-US"/>
        </w:rPr>
        <w:t xml:space="preserve">Theriot, </w:t>
      </w:r>
      <w:r>
        <w:rPr>
          <w:rFonts w:ascii="Arial" w:hAnsi="Arial"/>
          <w:sz w:val="22"/>
          <w:szCs w:val="22"/>
          <w:rtl w:val="0"/>
          <w:lang w:val="en-US"/>
        </w:rPr>
        <w:t xml:space="preserve">2013; </w:t>
      </w:r>
      <w:r>
        <w:rPr>
          <w:rFonts w:ascii="Arial" w:hAnsi="Arial"/>
          <w:sz w:val="22"/>
          <w:szCs w:val="22"/>
          <w:rtl w:val="0"/>
          <w:lang w:val="en-US"/>
        </w:rPr>
        <w:t xml:space="preserve">Schubert, 2015). Additionally, 18 hours after initially colonizing a treated mouse, </w:t>
      </w:r>
      <w:r>
        <w:rPr>
          <w:rFonts w:ascii="Arial" w:hAnsi="Arial"/>
          <w:i w:val="1"/>
          <w:iCs w:val="1"/>
          <w:sz w:val="22"/>
          <w:szCs w:val="22"/>
          <w:rtl w:val="0"/>
          <w:lang w:val="en-US"/>
        </w:rPr>
        <w:t xml:space="preserve">C. difficile </w:t>
      </w:r>
      <w:r>
        <w:rPr>
          <w:rFonts w:ascii="Arial" w:hAnsi="Arial"/>
          <w:sz w:val="22"/>
          <w:szCs w:val="22"/>
          <w:rtl w:val="0"/>
          <w:lang w:val="en-US"/>
        </w:rPr>
        <w:t>reaches its maximum density in the cecum before beginning to sporulate (Koenigsknecht</w:t>
      </w:r>
      <w:r>
        <w:rPr>
          <w:rFonts w:ascii="Arial" w:hAnsi="Arial"/>
          <w:sz w:val="22"/>
          <w:szCs w:val="22"/>
          <w:rtl w:val="0"/>
          <w:lang w:val="en-US"/>
        </w:rPr>
        <w:t>, 2015</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(Wilson, 1988; Freter, 1987) in which an organism must be able to utilize the available resources to colonize a new environment. </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insert methodsy paragraph ]</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in vitro -&gt; need to do in conventional mus</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focuses on virulence factors -&gt; need to look at metabolism</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metabolomics does not focus on C. difficile, but the entire community and is an echo of metabolism, not immediate</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useful tools</w:t>
      </w:r>
    </w:p>
    <w:p>
      <w:pPr>
        <w:pStyle w:val="Default"/>
        <w:numPr>
          <w:ilvl w:val="1"/>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metatranscriptomics</w:t>
      </w:r>
    </w:p>
    <w:p>
      <w:pPr>
        <w:pStyle w:val="Default"/>
        <w:numPr>
          <w:ilvl w:val="1"/>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metabolic modeling</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 xml:space="preserve">C. difficile </w:t>
      </w:r>
      <w:r>
        <w:rPr>
          <w:rFonts w:ascii="Arial" w:hAnsi="Arial"/>
          <w:sz w:val="22"/>
          <w:szCs w:val="22"/>
          <w:rtl w:val="0"/>
          <w:lang w:val="en-US"/>
        </w:rPr>
        <w:t xml:space="preserve">str. 630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p>
    <w:p>
      <w:pPr>
        <w:pStyle w:val="Default"/>
        <w:spacing w:line="480" w:lineRule="auto"/>
        <w:jc w:val="both"/>
        <w:sectPr>
          <w:pgSz w:w="12240" w:h="15840" w:orient="portrait"/>
          <w:pgMar w:top="1134" w:right="1134" w:bottom="1134" w:left="1134" w:header="720" w:footer="720"/>
          <w:bidi w:val="0"/>
        </w:sect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C. difficile,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w:t>
      </w:r>
      <w:r>
        <w:rPr>
          <w:rFonts w:ascii="Arial" w:hAnsi="Arial"/>
          <w:sz w:val="22"/>
          <w:szCs w:val="22"/>
          <w:rtl w:val="0"/>
          <w:lang w:val="en-US"/>
        </w:rPr>
        <w:t>, 2015</w:t>
      </w:r>
      <w:r>
        <w:rPr>
          <w:rFonts w:ascii="Arial" w:hAnsi="Arial"/>
          <w:sz w:val="22"/>
          <w:szCs w:val="22"/>
          <w:rtl w:val="0"/>
          <w:lang w:val="en-US"/>
        </w:rPr>
        <w:t>). There was not a significant difference in the number of vegetative cells between any susceptible condition tested (all p-values&gt;0.05; Fig 1C). All antibiotic treated and germfree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-values &lt; 0.01) were detected in gnotobiotic mice than in the antibiotic treated mice (Fig. 1D). The spore densities in both streptomycin and clindamycin-treated mice were significantly higher than that in cefoperazone-treated mice. There was significantly more toxin titer in gnotobiotic animals than any other colonized group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1B). Although similar toxin titers were found in both the cefoperazone and clindamycin-treated groups, toxin titer was not detectable in the streptomycin-treated animals. </w:t>
      </w:r>
      <w:r>
        <w:rPr>
          <w:rFonts w:ascii="Arial" w:hAnsi="Arial"/>
          <w:strike w:val="1"/>
          <w:dstrike w:val="0"/>
          <w:sz w:val="22"/>
          <w:szCs w:val="22"/>
          <w:rtl w:val="0"/>
          <w:lang w:val="en-US"/>
        </w:rPr>
        <w:t>There was no correlation between toxin titers and the levels of sporulation for any of the antibiotic treatment groups (Fig. S1A); however, the correlation was significant for the gnotobiotic mice (R=0.XX; Fig. S1B), but is likely due to temporal changes in the course of the infection when no other bacteria are present. For this reason, it may be inappropriate to make comparisons with the gnotobiotic group in certain types of analyses.</w:t>
      </w:r>
      <w:r>
        <w:rPr>
          <w:rFonts w:ascii="Arial" w:hAnsi="Arial"/>
          <w:strike w:val="0"/>
          <w:dstrike w:val="0"/>
          <w:sz w:val="22"/>
          <w:szCs w:val="22"/>
          <w:rtl w:val="0"/>
          <w:lang w:val="en-US"/>
        </w:rPr>
        <w:t xml:space="preserve"> These </w:t>
      </w:r>
      <w:r>
        <w:rPr>
          <w:rFonts w:ascii="Arial" w:hAnsi="Arial"/>
          <w:sz w:val="22"/>
          <w:szCs w:val="22"/>
          <w:rtl w:val="0"/>
          <w:lang w:val="en-US"/>
        </w:rPr>
        <w:t xml:space="preserve">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displays flexible expression of key metabolic regulation factors as well as genes for pathogenesis across antibiotic pretreatments.</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stranded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In order to generate enough mRNA biomass contributed by </w:t>
      </w:r>
      <w:r>
        <w:rPr>
          <w:rFonts w:ascii="Arial" w:hAnsi="Arial"/>
          <w:i w:val="1"/>
          <w:iCs w:val="1"/>
          <w:sz w:val="22"/>
          <w:szCs w:val="22"/>
          <w:rtl w:val="0"/>
          <w:lang w:val="en-US"/>
        </w:rPr>
        <w:t>C. difficile</w:t>
      </w:r>
      <w:r>
        <w:rPr>
          <w:rFonts w:ascii="Arial" w:hAnsi="Arial"/>
          <w:sz w:val="22"/>
          <w:szCs w:val="22"/>
          <w:rtl w:val="0"/>
          <w:lang w:val="en-US"/>
        </w:rPr>
        <w:t>, we needed to pool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Sequencing, read curation, and normalization steps are fully described in Materials &amp; Methods. Fully curated reads were the mapped to C</w:t>
      </w:r>
      <w:r>
        <w:rPr>
          <w:rFonts w:ascii="Arial" w:hAnsi="Arial"/>
          <w:i w:val="1"/>
          <w:iCs w:val="1"/>
          <w:sz w:val="22"/>
          <w:szCs w:val="22"/>
          <w:rtl w:val="0"/>
          <w:lang w:val="en-US"/>
        </w:rPr>
        <w:t>lostridium difficile</w:t>
      </w:r>
      <w:r>
        <w:rPr>
          <w:rFonts w:ascii="Arial" w:hAnsi="Arial"/>
          <w:sz w:val="22"/>
          <w:szCs w:val="22"/>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as shown in Figure 2.</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To first observe markers of global changes in metabolism, we looked for differences in expression in key sigma factors that were previously found to be influenced by the nutrient environment of </w:t>
      </w:r>
      <w:r>
        <w:rPr>
          <w:rFonts w:ascii="Arial" w:hAnsi="Arial"/>
          <w:i w:val="1"/>
          <w:iCs w:val="1"/>
          <w:sz w:val="22"/>
          <w:szCs w:val="22"/>
          <w:rtl w:val="0"/>
          <w:lang w:val="en-US"/>
        </w:rPr>
        <w:t>C. difficile</w:t>
      </w:r>
      <w:r>
        <w:rPr>
          <w:rFonts w:ascii="Arial" w:hAnsi="Arial"/>
          <w:sz w:val="22"/>
          <w:szCs w:val="22"/>
          <w:rtl w:val="0"/>
          <w:lang w:val="en-US"/>
        </w:rPr>
        <w:t xml:space="preserve"> (Fig. 2A).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detectable in each condition, despite apparent differences in toxin and spore production.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both phenotypes (Bouillaut, 2015)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 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which were approximately 10-fold less expressed in Cefoperazone than the others. These sigma factors are involved in expressing genes for proper spore coat assembly and asymmetric division (Donnelly, 2016; Fimlaid, 2013). This agrees with the measured differences in CFU due to spores from Fig. 1D where Cefoperazone pretreatment resulted in delayed sporulation.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2B).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2C).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 Mutants for this gene have been associated with impaired toxin secretion and low </w:t>
      </w:r>
      <w:r>
        <w:rPr>
          <w:rFonts w:ascii="Arial" w:hAnsi="Arial"/>
          <w:i w:val="1"/>
          <w:iCs w:val="1"/>
          <w:sz w:val="22"/>
          <w:szCs w:val="22"/>
          <w:rtl w:val="0"/>
          <w:lang w:val="en-US"/>
        </w:rPr>
        <w:t>in vivo</w:t>
      </w:r>
      <w:r>
        <w:rPr>
          <w:rFonts w:ascii="Arial" w:hAnsi="Arial"/>
          <w:sz w:val="22"/>
          <w:szCs w:val="22"/>
          <w:rtl w:val="0"/>
          <w:lang w:val="en-US"/>
        </w:rPr>
        <w:t xml:space="preserve"> expression of </w:t>
      </w:r>
      <w:r>
        <w:rPr>
          <w:rFonts w:ascii="Arial" w:hAnsi="Arial"/>
          <w:i w:val="1"/>
          <w:iCs w:val="1"/>
          <w:sz w:val="22"/>
          <w:szCs w:val="22"/>
          <w:rtl w:val="0"/>
          <w:lang w:val="en-US"/>
        </w:rPr>
        <w:t>tcdE</w:t>
      </w:r>
      <w:r>
        <w:rPr>
          <w:rFonts w:ascii="Arial" w:hAnsi="Arial"/>
          <w:sz w:val="22"/>
          <w:szCs w:val="22"/>
          <w:rtl w:val="0"/>
          <w:lang w:val="en-US"/>
        </w:rPr>
        <w:t xml:space="preserve"> may partially explain the historically lowered virulence of </w:t>
      </w:r>
      <w:r>
        <w:rPr>
          <w:rFonts w:ascii="Arial" w:hAnsi="Arial"/>
          <w:i w:val="1"/>
          <w:iCs w:val="1"/>
          <w:sz w:val="22"/>
          <w:szCs w:val="22"/>
          <w:rtl w:val="0"/>
          <w:lang w:val="en-US"/>
        </w:rPr>
        <w:t>C. difficile</w:t>
      </w:r>
      <w:r>
        <w:rPr>
          <w:rFonts w:ascii="Arial" w:hAnsi="Arial"/>
          <w:sz w:val="22"/>
          <w:szCs w:val="22"/>
          <w:rtl w:val="0"/>
          <w:lang w:val="en-US"/>
        </w:rPr>
        <w:t xml:space="preserve"> str. 630 (Theriot, 2011).</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2D).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energy metabolism pathways are differentially expressed between colonized environments.</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Fonts w:ascii="Arial" w:hAnsi="Arial"/>
          <w:i w:val="1"/>
          <w:iCs w:val="1"/>
          <w:sz w:val="22"/>
          <w:szCs w:val="22"/>
          <w:rtl w:val="0"/>
          <w:lang w:val="en-US"/>
        </w:rPr>
        <w:t>C. difficile</w:t>
      </w:r>
      <w:r>
        <w:rPr>
          <w:rFonts w:ascii="Arial" w:hAnsi="Arial"/>
          <w:sz w:val="22"/>
          <w:szCs w:val="22"/>
          <w:rtl w:val="0"/>
          <w:lang w:val="en-US"/>
        </w:rPr>
        <w:t xml:space="preserve">  energy metabolism pathways. Mapped transcript read counts again were rarefied iteratively and the means of each gene were plotted as relative abundances along the three axes for the antibiotic pretreatment groups (Fig. 3). Each point represents a unique gene from the annotated genome of </w:t>
      </w:r>
      <w:r>
        <w:rPr>
          <w:rFonts w:ascii="Arial" w:hAnsi="Arial"/>
          <w:i w:val="1"/>
          <w:iCs w:val="1"/>
          <w:sz w:val="22"/>
          <w:szCs w:val="22"/>
          <w:rtl w:val="0"/>
          <w:lang w:val="en-US"/>
        </w:rPr>
        <w:t>C. difficile</w:t>
      </w:r>
      <w:r>
        <w:rPr>
          <w:rFonts w:ascii="Arial" w:hAnsi="Arial"/>
          <w:sz w:val="22"/>
          <w:szCs w:val="22"/>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Fonts w:ascii="Arial" w:hAnsi="Arial"/>
          <w:i w:val="1"/>
          <w:iCs w:val="1"/>
          <w:sz w:val="22"/>
          <w:szCs w:val="22"/>
          <w:rtl w:val="0"/>
          <w:lang w:val="en-US"/>
        </w:rPr>
        <w:t>C. difficile</w:t>
      </w:r>
      <w:r>
        <w:rPr>
          <w:rFonts w:ascii="Arial" w:hAnsi="Arial"/>
          <w:sz w:val="22"/>
          <w:szCs w:val="22"/>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 </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A number of notable within-group differences stood out including one in relative expression abundance for genes associated with sugar alcohol catabolism (Fig. 3E). Transcripts from this gene set are almost undetectable in the Clindamycin pretreated group, however a large difference was found between those genes more associated with Cefoperazone than Streptomycin pretreatment. Those genes closest to the Cefoperazone edge are important for the utilization of mannitol (</w:t>
      </w:r>
      <w:r>
        <w:rPr>
          <w:rFonts w:ascii="Arial" w:hAnsi="Arial"/>
          <w:i w:val="1"/>
          <w:iCs w:val="1"/>
          <w:sz w:val="22"/>
          <w:szCs w:val="22"/>
          <w:rtl w:val="0"/>
          <w:lang w:val="en-US"/>
        </w:rPr>
        <w:t>mtl</w:t>
      </w:r>
      <w:r>
        <w:rPr>
          <w:rFonts w:ascii="Arial" w:hAnsi="Arial"/>
          <w:sz w:val="22"/>
          <w:szCs w:val="22"/>
          <w:rtl w:val="0"/>
          <w:lang w:val="en-US"/>
        </w:rPr>
        <w:t xml:space="preserve"> operon) while those proximal to Streptomycin are involved in sorbitol metabolism (</w:t>
      </w:r>
      <w:r>
        <w:rPr>
          <w:rFonts w:ascii="Arial" w:hAnsi="Arial"/>
          <w:i w:val="1"/>
          <w:iCs w:val="1"/>
          <w:sz w:val="22"/>
          <w:szCs w:val="22"/>
          <w:rtl w:val="0"/>
          <w:lang w:val="en-US"/>
        </w:rPr>
        <w:t xml:space="preserve">srl </w:t>
      </w:r>
      <w:r>
        <w:rPr>
          <w:rFonts w:ascii="Arial" w:hAnsi="Arial"/>
          <w:sz w:val="22"/>
          <w:szCs w:val="22"/>
          <w:rtl w:val="0"/>
          <w:lang w:val="en-US"/>
        </w:rPr>
        <w:t>operon), indicating potential niche segregation or changes in sorbitol availability between groups. Additionally, there was another within-group difference for polysaccharide catabolism between genes associated more with Clindamycin pretreatment versus those associated with Cefoperazone (Fig. 3D). Those genes most associated with Clindamycin are largely members of the beta-glucoside utilization locus (</w:t>
      </w:r>
      <w:r>
        <w:rPr>
          <w:rFonts w:ascii="Arial" w:hAnsi="Arial"/>
          <w:i w:val="1"/>
          <w:iCs w:val="1"/>
          <w:sz w:val="22"/>
          <w:szCs w:val="22"/>
          <w:rtl w:val="0"/>
          <w:lang w:val="en-US"/>
        </w:rPr>
        <w:t>bgl</w:t>
      </w:r>
      <w:r>
        <w:rPr>
          <w:rFonts w:ascii="Arial" w:hAnsi="Arial"/>
          <w:sz w:val="22"/>
          <w:szCs w:val="22"/>
          <w:rtl w:val="0"/>
          <w:lang w:val="en-US"/>
        </w:rPr>
        <w:t xml:space="preserve"> operon), canonically linked with salicin or arbutin metabolism (Schnetz, 1987). Genes more associated with Cefoperazone pretreatment are primarily related to import and utilization of maltose or maltodextrin (</w:t>
      </w:r>
      <w:r>
        <w:rPr>
          <w:rFonts w:ascii="Arial" w:hAnsi="Arial"/>
          <w:i w:val="1"/>
          <w:iCs w:val="1"/>
          <w:sz w:val="22"/>
          <w:szCs w:val="22"/>
          <w:rtl w:val="0"/>
          <w:lang w:val="en-US"/>
        </w:rPr>
        <w:t>maa</w:t>
      </w:r>
      <w:r>
        <w:rPr>
          <w:rFonts w:ascii="Arial" w:hAnsi="Arial"/>
          <w:sz w:val="22"/>
          <w:szCs w:val="22"/>
          <w:rtl w:val="0"/>
          <w:lang w:val="en-US"/>
        </w:rPr>
        <w:t xml:space="preserve"> &amp; </w:t>
      </w:r>
      <w:r>
        <w:rPr>
          <w:rFonts w:ascii="Arial" w:hAnsi="Arial"/>
          <w:i w:val="1"/>
          <w:iCs w:val="1"/>
          <w:sz w:val="22"/>
          <w:szCs w:val="22"/>
          <w:rtl w:val="0"/>
          <w:lang w:val="en-US"/>
        </w:rPr>
        <w:t>map</w:t>
      </w:r>
      <w:r>
        <w:rPr>
          <w:rFonts w:ascii="Arial" w:hAnsi="Arial"/>
          <w:sz w:val="22"/>
          <w:szCs w:val="22"/>
          <w:rtl w:val="0"/>
          <w:lang w:val="en-US"/>
        </w:rPr>
        <w:t xml:space="preserve"> operons) (Boos, 1998). Finally, amino sugar catabolism also displayed some degree of within-group trends (Fig. 3B). Streptomycin pretreatment was enriched for expression of </w:t>
      </w:r>
      <w:r>
        <w:rPr>
          <w:rFonts w:ascii="Arial" w:hAnsi="Arial"/>
          <w:i w:val="1"/>
          <w:iCs w:val="1"/>
          <w:kern w:val="0"/>
          <w:sz w:val="22"/>
          <w:szCs w:val="22"/>
          <w:rtl w:val="0"/>
          <w:lang w:val="en-US"/>
        </w:rPr>
        <w:t>nanA</w:t>
      </w:r>
      <w:r>
        <w:rPr>
          <w:rFonts w:ascii="Arial" w:hAnsi="Arial"/>
          <w:kern w:val="0"/>
          <w:sz w:val="22"/>
          <w:szCs w:val="22"/>
          <w:rtl w:val="0"/>
          <w:lang w:val="en-US"/>
        </w:rPr>
        <w:t xml:space="preserve"> and </w:t>
      </w:r>
      <w:r>
        <w:rPr>
          <w:rFonts w:ascii="Arial" w:hAnsi="Arial"/>
          <w:sz w:val="22"/>
          <w:szCs w:val="22"/>
          <w:rtl w:val="0"/>
          <w:lang w:val="en-US"/>
        </w:rPr>
        <w:t xml:space="preserve">an </w:t>
      </w:r>
      <w:r>
        <w:rPr>
          <w:rFonts w:ascii="Arial" w:hAnsi="Arial"/>
          <w:kern w:val="0"/>
          <w:sz w:val="22"/>
          <w:szCs w:val="22"/>
          <w:rtl w:val="0"/>
          <w:lang w:val="en-US"/>
        </w:rPr>
        <w:t xml:space="preserve">N-acylglucosamine-6-phosphate 2-epimerase. </w:t>
      </w:r>
      <w:r>
        <w:rPr>
          <w:rFonts w:ascii="Arial" w:hAnsi="Arial"/>
          <w:sz w:val="22"/>
          <w:szCs w:val="22"/>
          <w:rtl w:val="0"/>
          <w:lang w:val="en-US"/>
        </w:rPr>
        <w:t xml:space="preserve">These gene products are important for the metabolism of </w:t>
      </w:r>
      <w:r>
        <w:rPr>
          <w:rFonts w:ascii="Arial" w:hAnsi="Arial"/>
          <w:color w:val="1a1a1a"/>
          <w:kern w:val="0"/>
          <w:sz w:val="22"/>
          <w:szCs w:val="22"/>
          <w:u w:color="1a1a1a"/>
          <w:rtl w:val="0"/>
          <w:lang w:val="en-US"/>
        </w:rPr>
        <w:t xml:space="preserve">N-acetylneuraminic acid and N-acetyleglucosamine respectively, which are both obtained from the cleavage of host derived amino sugars in the mucus layer by other bacterial species (Ng, 2013). Streptomycin also appears to be associated with high expression of </w:t>
      </w:r>
      <w:r>
        <w:rPr>
          <w:rFonts w:ascii="Arial" w:hAnsi="Arial"/>
          <w:i w:val="1"/>
          <w:iCs w:val="1"/>
          <w:color w:val="1a1a1a"/>
          <w:kern w:val="0"/>
          <w:sz w:val="22"/>
          <w:szCs w:val="22"/>
          <w:u w:color="1a1a1a"/>
          <w:rtl w:val="0"/>
          <w:lang w:val="en-US"/>
        </w:rPr>
        <w:t>fruABC</w:t>
      </w:r>
      <w:r>
        <w:rPr>
          <w:rFonts w:ascii="Arial" w:hAnsi="Arial"/>
          <w:color w:val="1a1a1a"/>
          <w:kern w:val="0"/>
          <w:sz w:val="22"/>
          <w:szCs w:val="22"/>
          <w:u w:color="1a1a1a"/>
          <w:rtl w:val="0"/>
          <w:lang w:val="en-US"/>
        </w:rPr>
        <w:t xml:space="preserve">, a fructose specific PTS transport system (Fig 3H), and </w:t>
      </w:r>
      <w:r>
        <w:rPr>
          <w:rFonts w:ascii="Arial" w:hAnsi="Arial"/>
          <w:i w:val="1"/>
          <w:iCs w:val="1"/>
          <w:color w:val="1a1a1a"/>
          <w:kern w:val="0"/>
          <w:sz w:val="22"/>
          <w:szCs w:val="22"/>
          <w:u w:color="1a1a1a"/>
          <w:rtl w:val="0"/>
          <w:lang w:val="en-US"/>
        </w:rPr>
        <w:t>fruK</w:t>
      </w:r>
      <w:r>
        <w:rPr>
          <w:rFonts w:ascii="Arial" w:hAnsi="Arial"/>
          <w:color w:val="1a1a1a"/>
          <w:kern w:val="0"/>
          <w:sz w:val="22"/>
          <w:szCs w:val="22"/>
          <w:u w:color="1a1a1a"/>
          <w:rtl w:val="0"/>
          <w:lang w:val="en-US"/>
        </w:rPr>
        <w:t>, which phosphorylates fructose upon import (Fig 3C), supporting that fructose utilization is occurring in this condition as well.</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Addition analysis revealed several between-group significant differences in similarity. Genes in the sugar transport systems, PEP and sugar-specific ABC (Fig. 3H &amp; 3I), are among the groups that segregate relative to each other. Both systems are known carbohydrate importers, however activation of some PEP systems in response to environmental concentrations of certain carbohydrates has been shown to negatively regulate the expression and function of many ABC transporters in some bacterial species (Deutscher, 2006). Further differences in carbohydrate metabolism were also visible when comparing the polysaccharide and monosaccharide catabolism expression sets (Fig. 3D &amp; 3E). Clindamycin and Streptomycin pretreatments had an enrichment of expression of glucosidase genes within polysaccharide catabolism, while Cefoperazone pretreatment had higher expression of genes associated with fructose and mannose metabolism within monosaccharide catabolism. These differences could highlight the ability of </w:t>
      </w:r>
      <w:r>
        <w:rPr>
          <w:rFonts w:ascii="Arial" w:hAnsi="Arial"/>
          <w:i w:val="1"/>
          <w:iCs w:val="1"/>
          <w:sz w:val="22"/>
          <w:szCs w:val="22"/>
          <w:rtl w:val="0"/>
          <w:lang w:val="en-US"/>
        </w:rPr>
        <w:t>C. difficile</w:t>
      </w:r>
      <w:r>
        <w:rPr>
          <w:rFonts w:ascii="Arial" w:hAnsi="Arial"/>
          <w:sz w:val="22"/>
          <w:szCs w:val="22"/>
          <w:rtl w:val="0"/>
          <w:lang w:val="en-US"/>
        </w:rPr>
        <w:t xml:space="preserve"> to adapt to environments with unique concentrations of resources and colonize a variety of nutrient niches during infection.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Conversely, the expression of genes associated with amino acid catabolism were consistently expressed at relatively equal levels across the conditions (Fig. 3F). These points all trend toward the center of the plotting area and show no apparent differences between any treatment group.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w:t>
      </w:r>
      <w:r>
        <w:rPr>
          <w:rFonts w:ascii="Arial" w:hAnsi="Arial"/>
          <w:i w:val="1"/>
          <w:iCs w:val="1"/>
          <w:sz w:val="22"/>
          <w:szCs w:val="22"/>
          <w:rtl w:val="0"/>
          <w:lang w:val="en-US"/>
        </w:rPr>
        <w:t>had</w:t>
      </w:r>
      <w:r>
        <w:rPr>
          <w:rFonts w:ascii="Arial" w:hAnsi="Arial"/>
          <w:sz w:val="22"/>
          <w:szCs w:val="22"/>
          <w:rtl w:val="0"/>
          <w:lang w:val="en-US"/>
        </w:rPr>
        <w:t>,</w:t>
      </w:r>
      <w:r>
        <w:rPr>
          <w:rFonts w:ascii="Arial" w:hAnsi="Arial"/>
          <w:i w:val="1"/>
          <w:iCs w:val="1"/>
          <w:sz w:val="22"/>
          <w:szCs w:val="22"/>
          <w:rtl w:val="0"/>
          <w:lang w:val="en-US"/>
        </w:rPr>
        <w:t xml:space="preserve"> </w:t>
      </w:r>
      <w:r>
        <w:rPr>
          <w:rFonts w:ascii="Arial" w:hAnsi="Arial"/>
          <w:sz w:val="22"/>
          <w:szCs w:val="22"/>
          <w:rtl w:val="0"/>
          <w:lang w:val="en-US"/>
        </w:rPr>
        <w:t xml:space="preserve">and </w:t>
      </w:r>
      <w:r>
        <w:rPr>
          <w:rFonts w:ascii="Arial" w:hAnsi="Arial"/>
          <w:i w:val="1"/>
          <w:iCs w:val="1"/>
          <w:sz w:val="22"/>
          <w:szCs w:val="22"/>
          <w:rtl w:val="0"/>
          <w:lang w:val="en-US"/>
        </w:rPr>
        <w:t xml:space="preserve">prd </w:t>
      </w:r>
      <w:r>
        <w:rPr>
          <w:rFonts w:ascii="Arial" w:hAnsi="Arial"/>
          <w:sz w:val="22"/>
          <w:szCs w:val="22"/>
          <w:rtl w:val="0"/>
          <w:lang w:val="en-US"/>
        </w:rPr>
        <w:t>operons)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Fonts w:ascii="Arial" w:hAnsi="Arial"/>
          <w:i w:val="1"/>
          <w:iCs w:val="1"/>
          <w:sz w:val="22"/>
          <w:szCs w:val="22"/>
          <w:rtl w:val="0"/>
          <w:lang w:val="en-US"/>
        </w:rPr>
        <w:t>C. difficile</w:t>
      </w:r>
      <w:r>
        <w:rPr>
          <w:rFonts w:ascii="Arial" w:hAnsi="Arial"/>
          <w:sz w:val="22"/>
          <w:szCs w:val="22"/>
          <w:rtl w:val="0"/>
          <w:lang w:val="en-US"/>
        </w:rPr>
        <w:t xml:space="preserve"> str. 630 during infection. </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 centrality for all enzyme and substrate nodes in the bipartite metabolic graph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simultaneous pathways including glycolysis, the citric acid cycle, and amino acid biosynthesis which are all critical to life for most free-living bacteria. </w:t>
      </w:r>
    </w:p>
    <w:p>
      <w:pPr>
        <w:pStyle w:val="Default"/>
        <w:spacing w:line="480" w:lineRule="auto"/>
        <w:jc w:val="both"/>
        <w:rPr>
          <w:rStyle w:val="None"/>
          <w:rFonts w:ascii="Arial" w:cs="Arial" w:hAnsi="Arial" w:eastAsia="Arial"/>
          <w:sz w:val="22"/>
          <w:szCs w:val="22"/>
        </w:rPr>
      </w:pPr>
      <w:r>
        <w:rPr>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Fonts w:ascii="Arial" w:hAnsi="Arial"/>
          <w:i w:val="1"/>
          <w:iCs w:val="1"/>
          <w:sz w:val="22"/>
          <w:szCs w:val="22"/>
          <w:rtl w:val="0"/>
          <w:lang w:val="en-US"/>
        </w:rPr>
        <w:t>C. difficile</w:t>
      </w:r>
      <w:r>
        <w:rPr>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Fonts w:ascii="Arial" w:hAnsi="Arial"/>
          <w:b w:val="1"/>
          <w:bCs w:val="1"/>
          <w:sz w:val="22"/>
          <w:szCs w:val="22"/>
          <w:rtl w:val="0"/>
          <w:lang w:val="en-US"/>
        </w:rPr>
        <w:t>t</w:t>
      </w:r>
      <w:r>
        <w:rPr>
          <w:rFonts w:ascii="Arial" w:hAnsi="Arial"/>
          <w:b w:val="1"/>
          <w:bCs w:val="1"/>
          <w:sz w:val="22"/>
          <w:szCs w:val="22"/>
          <w:vertAlign w:val="subscript"/>
          <w:rtl w:val="0"/>
          <w:lang w:val="en-US"/>
        </w:rPr>
        <w:t>o</w:t>
      </w:r>
      <w:r>
        <w:rPr>
          <w:rFonts w:ascii="Arial" w:hAnsi="Arial"/>
          <w:sz w:val="22"/>
          <w:szCs w:val="22"/>
          <w:rtl w:val="0"/>
          <w:lang w:val="en-US"/>
        </w:rPr>
        <w:t xml:space="preserve"> and </w:t>
      </w:r>
      <w:r>
        <w:rPr>
          <w:rFonts w:ascii="Arial" w:hAnsi="Arial"/>
          <w:b w:val="1"/>
          <w:bCs w:val="1"/>
          <w:sz w:val="22"/>
          <w:szCs w:val="22"/>
          <w:rtl w:val="0"/>
          <w:lang w:val="en-US"/>
        </w:rPr>
        <w:t>t</w:t>
      </w:r>
      <w:r>
        <w:rPr>
          <w:rFonts w:ascii="Arial" w:hAnsi="Arial"/>
          <w:b w:val="1"/>
          <w:bCs w:val="1"/>
          <w:sz w:val="22"/>
          <w:szCs w:val="22"/>
          <w:vertAlign w:val="subscript"/>
          <w:rtl w:val="0"/>
          <w:lang w:val="en-US"/>
        </w:rPr>
        <w:t>i</w:t>
      </w:r>
      <w:r>
        <w:rPr>
          <w:rFonts w:ascii="Arial" w:hAnsi="Arial"/>
          <w:sz w:val="22"/>
          <w:szCs w:val="22"/>
          <w:rtl w:val="0"/>
          <w:lang w:val="en-US"/>
        </w:rPr>
        <w:t>), representing the reactions they mediate that either create or utilize the substrate (</w:t>
      </w:r>
      <w:r>
        <w:rPr>
          <w:rFonts w:ascii="Arial" w:hAnsi="Arial"/>
          <w:b w:val="1"/>
          <w:bCs w:val="1"/>
          <w:sz w:val="22"/>
          <w:szCs w:val="22"/>
          <w:rtl w:val="0"/>
          <w:lang w:val="en-US"/>
        </w:rPr>
        <w:t>s</w:t>
      </w:r>
      <w:r>
        <w:rPr>
          <w:rFonts w:ascii="Arial" w:hAnsi="Arial"/>
          <w:sz w:val="22"/>
          <w:szCs w:val="22"/>
          <w:rtl w:val="0"/>
          <w:lang w:val="en-US"/>
        </w:rPr>
        <w:t>). The sum is then taken of transcript abundances for enzyme nodes that connect with a given substrate node with the same direction edge (</w:t>
      </w:r>
      <w:r>
        <w:rPr>
          <w:rFonts w:ascii="Arial" w:hAnsi="Arial"/>
          <w:b w:val="1"/>
          <w:bCs w:val="1"/>
          <w:sz w:val="22"/>
          <w:szCs w:val="22"/>
          <w:rtl w:val="0"/>
          <w:lang w:val="en-US"/>
        </w:rPr>
        <w:t>e</w:t>
      </w:r>
      <w:r>
        <w:rPr>
          <w:rFonts w:ascii="Arial" w:hAnsi="Arial"/>
          <w:b w:val="1"/>
          <w:bCs w:val="1"/>
          <w:sz w:val="22"/>
          <w:szCs w:val="22"/>
          <w:vertAlign w:val="subscript"/>
          <w:rtl w:val="0"/>
          <w:lang w:val="en-US"/>
        </w:rPr>
        <w:t>o</w:t>
      </w:r>
      <w:r>
        <w:rPr>
          <w:rFonts w:ascii="Arial" w:hAnsi="Arial"/>
          <w:sz w:val="22"/>
          <w:szCs w:val="22"/>
          <w:rtl w:val="0"/>
          <w:lang w:val="en-US"/>
        </w:rPr>
        <w:t xml:space="preserve"> or </w:t>
      </w:r>
      <w:r>
        <w:rPr>
          <w:rFonts w:ascii="Arial" w:hAnsi="Arial"/>
          <w:b w:val="1"/>
          <w:bCs w:val="1"/>
          <w:sz w:val="22"/>
          <w:szCs w:val="22"/>
          <w:rtl w:val="0"/>
          <w:lang w:val="en-US"/>
        </w:rPr>
        <w:t>e</w:t>
      </w:r>
      <w:r>
        <w:rPr>
          <w:rFonts w:ascii="Arial" w:hAnsi="Arial"/>
          <w:b w:val="1"/>
          <w:bCs w:val="1"/>
          <w:sz w:val="22"/>
          <w:szCs w:val="22"/>
          <w:vertAlign w:val="subscript"/>
          <w:rtl w:val="0"/>
          <w:lang w:val="en-US"/>
        </w:rPr>
        <w:t>i</w:t>
      </w:r>
      <w:r>
        <w:rPr>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 xml:space="preserve">. Applying this method, we extracted the relative importance values of the 758 unique compounds in the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after 18 hours of infection in each treatment group. We included the transcriptome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w:t>
      </w:r>
      <w:r>
        <w:rPr>
          <w:rStyle w:val="None"/>
          <w:rFonts w:ascii="Arial" w:hAnsi="Arial"/>
          <w:kern w:val="0"/>
          <w:sz w:val="22"/>
          <w:szCs w:val="22"/>
          <w:rtl w:val="0"/>
          <w:lang w:val="en-US"/>
        </w:rPr>
        <w:t>hosphonoacetate</w:t>
      </w:r>
      <w:r>
        <w:rPr>
          <w:rStyle w:val="None"/>
          <w:rFonts w:ascii="Arial" w:hAnsi="Arial"/>
          <w:sz w:val="22"/>
          <w:szCs w:val="22"/>
          <w:rtl w:val="0"/>
          <w:lang w:val="en-US"/>
        </w:rPr>
        <w:t xml:space="preserv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and demonstrated that our importance-defining algorithm was robust could detect biologically relevant patterns of expression.</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are always active to some degree across conditions and are central to the organism</w:t>
      </w:r>
      <w:r>
        <w:rPr>
          <w:rStyle w:val="None"/>
          <w:rFonts w:ascii="Arial" w:hAnsi="Arial" w:hint="default"/>
          <w:sz w:val="22"/>
          <w:szCs w:val="22"/>
          <w:rtl w:val="0"/>
          <w:lang w:val="en-US"/>
        </w:rPr>
        <w:t>’</w:t>
      </w:r>
      <w:r>
        <w:rPr>
          <w:rStyle w:val="None"/>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including D-fructose, mannitol, N-acetylneuraminic acid, salicin, and D-sorbitol (Ng, 2013; Theriot, 2014). These 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may exploit alternative carbon sources between the susceptible environments in colonizes.</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Carbon sources identified as important by metabolic networks support </w:t>
      </w: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growth </w:t>
      </w:r>
      <w:r>
        <w:rPr>
          <w:rStyle w:val="None"/>
          <w:rFonts w:ascii="Arial" w:hAnsi="Arial"/>
          <w:b w:val="1"/>
          <w:bCs w:val="1"/>
          <w:i w:val="1"/>
          <w:iCs w:val="1"/>
          <w:sz w:val="22"/>
          <w:szCs w:val="22"/>
          <w:rtl w:val="0"/>
          <w:lang w:val="en-US"/>
        </w:rPr>
        <w:t>in vitro</w:t>
      </w:r>
      <w:r>
        <w:rPr>
          <w:rStyle w:val="None"/>
          <w:rFonts w:ascii="Arial" w:hAnsi="Arial"/>
          <w:b w:val="1"/>
          <w:bCs w:val="1"/>
          <w:sz w:val="22"/>
          <w:szCs w:val="22"/>
          <w:rtl w:val="0"/>
          <w:lang w:val="en-US"/>
        </w:rPr>
        <w:t>.</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able to utilize each substrate for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This was performed using the modified defined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minimal media (Theriot, 2014), supplemented individually with the selected carbohydrates implicated by high importance scores. Optical density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was measured every 30 minutes over 24 hours of incubation. As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use amino acids (AA) for growth through Stickland fermentation, but is auxotrophic for several, the most useful comparison to make is between a given carbon source and the AA-only control wells (no glucose added). This informed whether the presence of the selected carbohydrate effects has positive or negative effects on the growth 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however this analysis does not preclude the possibility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simply grows equally as well as it does using strictly AA for carbon.</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At least one carbohydrate highlighted as important in each of the antibiotic treatments groups provided high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(Fig. 4C). This included D-fructose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0.671), mannitol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0.464), and salicin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0.888). Each resulted in significantly more growth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 than AA-only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0.556) than AA-only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These results indicate potential efficiency or preferences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the each carbohydrate source tested.</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0.089). Mannitol was second at 7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0.044), and salicin was third at 13.5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0.076). Interestingly, the salicin growth curve was still near its maximum growth rate at the 12 hour time point, while the D-fructose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0.006) and mannitol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0.888) than BHI rich media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some curves is most likely due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ceasing division and switching to primarily sporulation, which has been associated with other bacterial species (Van Beilen, 2013). </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0.095 at 6.5 hours) is the highest reached by any media tested, yet the maximum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than D-sorbitol alone. This could suggest a combinatorial effect of D-fructose and D-sorbitol together on the growth of </w:t>
      </w:r>
      <w:r>
        <w:rPr>
          <w:rStyle w:val="None"/>
          <w:rFonts w:ascii="Arial" w:hAnsi="Arial"/>
          <w:i w:val="1"/>
          <w:iCs w:val="1"/>
          <w:sz w:val="22"/>
          <w:szCs w:val="22"/>
          <w:rtl w:val="0"/>
          <w:lang w:val="en-US"/>
        </w:rPr>
        <w:t>C. difficile</w:t>
      </w:r>
      <w:r>
        <w:rPr>
          <w:rStyle w:val="None"/>
          <w:rFonts w:ascii="Arial" w:hAnsi="Arial"/>
          <w:sz w:val="22"/>
          <w:szCs w:val="2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In vivo </w:t>
      </w:r>
      <w:r>
        <w:rPr>
          <w:rStyle w:val="None"/>
          <w:rFonts w:ascii="Arial" w:hAnsi="Arial"/>
          <w:b w:val="1"/>
          <w:bCs w:val="1"/>
          <w:sz w:val="22"/>
          <w:szCs w:val="22"/>
          <w:rtl w:val="0"/>
          <w:lang w:val="en-US"/>
        </w:rPr>
        <w:t xml:space="preserve">concentrations of predicted nutrients are </w:t>
      </w:r>
      <w:r>
        <w:rPr>
          <w:rStyle w:val="None"/>
          <w:rFonts w:ascii="Arial" w:hAnsi="Arial" w:hint="default"/>
          <w:b w:val="1"/>
          <w:bCs w:val="1"/>
          <w:sz w:val="22"/>
          <w:szCs w:val="22"/>
          <w:rtl w:val="0"/>
          <w:lang w:val="en-US"/>
        </w:rPr>
        <w:t>…</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In order to test if the identified carbohydrates are present or enriched in their respective antibiotic treatments, we performed metabolomic analysis from cecal content from the same animals. (Fig. 5A) (Fig. 5B)</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kern w:val="0"/>
          <w:sz w:val="22"/>
          <w:szCs w:val="22"/>
        </w:rPr>
      </w:pPr>
      <w:r>
        <w:rPr>
          <w:rStyle w:val="None"/>
          <w:rFonts w:ascii="Arial" w:hAnsi="Arial"/>
          <w:b w:val="1"/>
          <w:bCs w:val="1"/>
          <w:sz w:val="22"/>
          <w:szCs w:val="22"/>
          <w:rtl w:val="0"/>
          <w:lang w:val="en-US"/>
        </w:rPr>
        <w:t>Discussion</w:t>
      </w:r>
    </w:p>
    <w:p>
      <w:pPr>
        <w:pStyle w:val="Default"/>
        <w:spacing w:line="480" w:lineRule="auto"/>
        <w:ind w:firstLine="709"/>
        <w:jc w:val="both"/>
        <w:rPr>
          <w:rStyle w:val="None"/>
          <w:rFonts w:ascii="Arial" w:cs="Arial" w:hAnsi="Arial" w:eastAsia="Arial"/>
          <w:sz w:val="22"/>
          <w:szCs w:val="22"/>
          <w:shd w:val="clear" w:color="auto" w:fill="ffff00"/>
        </w:rPr>
      </w:pPr>
      <w:r>
        <w:rPr>
          <w:rStyle w:val="None"/>
          <w:rFonts w:ascii="Arial" w:hAnsi="Arial"/>
          <w:sz w:val="22"/>
          <w:szCs w:val="22"/>
          <w:shd w:val="clear" w:color="auto" w:fill="ffff00"/>
          <w:rtl w:val="0"/>
          <w:lang w:val="en-US"/>
        </w:rPr>
        <w:t xml:space="preserve">[from Introduction] </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kern w:val="0"/>
          <w:sz w:val="22"/>
          <w:szCs w:val="22"/>
        </w:rPr>
      </w:pPr>
    </w:p>
    <w:p>
      <w:pPr>
        <w:pStyle w:val="Default"/>
        <w:spacing w:line="480" w:lineRule="auto"/>
        <w:jc w:val="both"/>
        <w:rPr>
          <w:rStyle w:val="None"/>
          <w:rFonts w:ascii="Arial" w:cs="Arial" w:hAnsi="Arial" w:eastAsia="Arial"/>
          <w:kern w:val="0"/>
          <w:sz w:val="22"/>
          <w:szCs w:val="22"/>
        </w:rPr>
      </w:pPr>
    </w:p>
    <w:p>
      <w:pPr>
        <w:pStyle w:val="Default"/>
        <w:spacing w:line="480" w:lineRule="auto"/>
        <w:jc w:val="both"/>
        <w:rPr>
          <w:rStyle w:val="None"/>
          <w:rFonts w:ascii="Arial" w:cs="Arial" w:hAnsi="Arial" w:eastAsia="Arial"/>
          <w:kern w:val="0"/>
          <w:sz w:val="22"/>
          <w:szCs w:val="22"/>
        </w:rPr>
      </w:pPr>
    </w:p>
    <w:p>
      <w:pPr>
        <w:pStyle w:val="Default"/>
        <w:spacing w:line="480" w:lineRule="auto"/>
        <w:jc w:val="both"/>
        <w:rPr>
          <w:rStyle w:val="None"/>
          <w:rFonts w:ascii="Arial" w:cs="Arial" w:hAnsi="Arial" w:eastAsia="Arial"/>
          <w:kern w:val="0"/>
          <w:sz w:val="22"/>
          <w:szCs w:val="22"/>
        </w:rPr>
      </w:pPr>
      <w:r>
        <w:rPr>
          <w:rStyle w:val="None"/>
          <w:rFonts w:ascii="Arial" w:cs="Arial" w:hAnsi="Arial" w:eastAsia="Arial"/>
          <w:kern w:val="0"/>
          <w:sz w:val="22"/>
          <w:szCs w:val="22"/>
          <w:rtl w:val="0"/>
        </w:rPr>
        <w:tab/>
        <w:t xml:space="preserve">Our results indicate that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occupies separate nutrient niches across susceptible gut environments based on which substrates are available. Both </w:t>
      </w:r>
      <w:r>
        <w:rPr>
          <w:rStyle w:val="None"/>
          <w:rFonts w:ascii="Arial" w:hAnsi="Arial"/>
          <w:i w:val="1"/>
          <w:iCs w:val="1"/>
          <w:kern w:val="0"/>
          <w:sz w:val="22"/>
          <w:szCs w:val="22"/>
          <w:rtl w:val="0"/>
          <w:lang w:val="en-US"/>
        </w:rPr>
        <w:t>in vivo</w:t>
      </w:r>
      <w:r>
        <w:rPr>
          <w:rStyle w:val="None"/>
          <w:rFonts w:ascii="Arial" w:hAnsi="Arial"/>
          <w:kern w:val="0"/>
          <w:sz w:val="22"/>
          <w:szCs w:val="22"/>
          <w:rtl w:val="0"/>
          <w:lang w:val="en-US"/>
        </w:rPr>
        <w:t xml:space="preserve"> and </w:t>
      </w:r>
      <w:r>
        <w:rPr>
          <w:rStyle w:val="None"/>
          <w:rFonts w:ascii="Arial" w:hAnsi="Arial"/>
          <w:i w:val="1"/>
          <w:iCs w:val="1"/>
          <w:kern w:val="0"/>
          <w:sz w:val="22"/>
          <w:szCs w:val="22"/>
          <w:rtl w:val="0"/>
          <w:lang w:val="en-US"/>
        </w:rPr>
        <w:t xml:space="preserve">in vitro </w:t>
      </w:r>
      <w:r>
        <w:rPr>
          <w:rStyle w:val="None"/>
          <w:rFonts w:ascii="Arial" w:hAnsi="Arial"/>
          <w:kern w:val="0"/>
          <w:sz w:val="22"/>
          <w:szCs w:val="22"/>
          <w:rtl w:val="0"/>
          <w:lang w:val="en-US"/>
        </w:rPr>
        <w:t xml:space="preserve">data support that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in each of condition. By directly examining the transcription of specific metabolic pathways, we were able to gain a greater understanding of the plasticity that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possesses for nutrient utilization.</w:t>
      </w:r>
    </w:p>
    <w:p>
      <w:pPr>
        <w:pStyle w:val="Default"/>
        <w:spacing w:line="480" w:lineRule="auto"/>
        <w:jc w:val="both"/>
        <w:rPr>
          <w:rStyle w:val="None"/>
          <w:rFonts w:ascii="Arial" w:cs="Arial" w:hAnsi="Arial" w:eastAsia="Arial"/>
          <w:kern w:val="0"/>
          <w:sz w:val="22"/>
          <w:szCs w:val="22"/>
        </w:rPr>
      </w:pPr>
      <w:r>
        <w:rPr>
          <w:rStyle w:val="None"/>
          <w:rFonts w:ascii="Arial" w:cs="Arial" w:hAnsi="Arial" w:eastAsia="Arial"/>
          <w:kern w:val="0"/>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w:rFonts w:ascii="Arial" w:hAnsi="Arial"/>
          <w:i w:val="1"/>
          <w:iCs w:val="1"/>
          <w:kern w:val="0"/>
          <w:sz w:val="22"/>
          <w:szCs w:val="22"/>
          <w:rtl w:val="0"/>
          <w:lang w:val="en-US"/>
        </w:rPr>
        <w:t>spo0A</w:t>
      </w:r>
      <w:r>
        <w:rPr>
          <w:rStyle w:val="None"/>
          <w:rFonts w:ascii="Arial" w:hAnsi="Arial"/>
          <w:kern w:val="0"/>
          <w:sz w:val="22"/>
          <w:szCs w:val="22"/>
          <w:rtl w:val="0"/>
          <w:lang w:val="en-US"/>
        </w:rPr>
        <w:t xml:space="preserve">, which was consistently highly expressed, </w:t>
      </w:r>
      <w:r>
        <w:rPr>
          <w:rStyle w:val="None"/>
          <w:rFonts w:ascii="Arial" w:hAnsi="Arial"/>
          <w:i w:val="1"/>
          <w:iCs w:val="1"/>
          <w:kern w:val="0"/>
          <w:sz w:val="22"/>
          <w:szCs w:val="22"/>
          <w:rtl w:val="0"/>
          <w:lang w:val="en-US"/>
        </w:rPr>
        <w:t>spo</w:t>
      </w:r>
      <w:r>
        <w:rPr>
          <w:rStyle w:val="None"/>
          <w:rFonts w:ascii="Arial" w:hAnsi="Arial"/>
          <w:kern w:val="0"/>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has begun its final phase before transmission either other antibiotic group. In addition to lifestyle associated genes,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displayed increased relative abundance in gene expression associated with catabolizing monosaccharides and simple sugar alcohols. However,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expression in the Clindamycin treated animals seemed to favor fermentation of polysaccharides. These differences could signify a focus in nutrient catabolism for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in some treatments and virulence/transmission in others.</w:t>
      </w:r>
    </w:p>
    <w:p>
      <w:pPr>
        <w:pStyle w:val="Default"/>
        <w:spacing w:line="480" w:lineRule="auto"/>
        <w:jc w:val="both"/>
        <w:rPr>
          <w:rStyle w:val="None"/>
          <w:rFonts w:ascii="Arial" w:cs="Arial" w:hAnsi="Arial" w:eastAsia="Arial"/>
          <w:kern w:val="0"/>
          <w:sz w:val="22"/>
          <w:szCs w:val="22"/>
        </w:rPr>
      </w:pPr>
      <w:r>
        <w:rPr>
          <w:rStyle w:val="None"/>
          <w:rFonts w:ascii="Arial" w:cs="Arial" w:hAnsi="Arial" w:eastAsia="Arial"/>
          <w:kern w:val="0"/>
          <w:sz w:val="22"/>
          <w:szCs w:val="22"/>
          <w:rtl w:val="0"/>
        </w:rPr>
        <w:tab/>
        <w:t xml:space="preserve">There is also evidence for other bacterial species contributing to pools of resources that are usable by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for growth (Ng, 2013; Ferreyra, 2014). Schubert et. al. 2015 demonstrated that the same Clindamycin model of infection used here, results in a bloom in relative abundance of the commensal species </w:t>
      </w:r>
      <w:r>
        <w:rPr>
          <w:rStyle w:val="None"/>
          <w:rFonts w:ascii="Arial" w:hAnsi="Arial"/>
          <w:i w:val="1"/>
          <w:iCs w:val="1"/>
          <w:kern w:val="0"/>
          <w:sz w:val="22"/>
          <w:szCs w:val="22"/>
          <w:rtl w:val="0"/>
          <w:lang w:val="en-US"/>
        </w:rPr>
        <w:t>Akkermansia muciniphila</w:t>
      </w:r>
      <w:r>
        <w:rPr>
          <w:rStyle w:val="None"/>
          <w:rFonts w:ascii="Arial" w:hAnsi="Arial"/>
          <w:kern w:val="0"/>
          <w:sz w:val="22"/>
          <w:szCs w:val="22"/>
          <w:rtl w:val="0"/>
          <w:lang w:val="en-US"/>
        </w:rPr>
        <w:t xml:space="preserve"> at the time of infection. It has been previously shown that this bacterium is capable of cleaving host associated glycans and liberating short amino sugars, including salicin (Ganesh, 2013), which is a functionality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lacks (Sebaihia, 2006). Within the scope of this study, these findings are especially intriguing as salicin was one of the most important substrates to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when colonizing Clindamycin treated animals. Additionally, modeling analysis of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colonizing germfree mice revealed N-acetylneuraminic acid to be what was the most important carbon source in this condition. The capacity to catabolize this amino sugar and others like it is highly distributed among bacterial species that inhabit the mammalian gut (Vimr, 2004), meaning that it is an edge of strong competition with the normal microbiota and could demonstrate a preference of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for N-acetylneuraminic acid as a growth substrate. In light of all of these studies our method may also strongly support that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w:t>
      </w:r>
    </w:p>
    <w:p>
      <w:pPr>
        <w:pStyle w:val="Default"/>
        <w:spacing w:line="480" w:lineRule="auto"/>
        <w:jc w:val="both"/>
        <w:rPr>
          <w:rStyle w:val="None"/>
          <w:rFonts w:ascii="Arial" w:cs="Arial" w:hAnsi="Arial" w:eastAsia="Arial"/>
          <w:sz w:val="22"/>
          <w:szCs w:val="22"/>
        </w:rPr>
      </w:pPr>
      <w:r>
        <w:rPr>
          <w:rStyle w:val="None"/>
          <w:rFonts w:ascii="Arial" w:cs="Arial" w:hAnsi="Arial" w:eastAsia="Arial"/>
          <w:kern w:val="0"/>
          <w:sz w:val="22"/>
          <w:szCs w:val="22"/>
          <w:rtl w:val="0"/>
        </w:rPr>
        <w:tab/>
        <w:t xml:space="preserve">These results may also indicate that further considerations are needed when attempting to design more targeted probiotics for the prevention or elimination of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from the human gut. Different classes of antibiotics may each result in a unique gut environment which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In conclusion,</w:t>
      </w:r>
      <w:r>
        <w:rPr>
          <w:rStyle w:val="None"/>
          <w:rFonts w:ascii="Arial" w:hAnsi="Arial"/>
          <w:kern w:val="0"/>
          <w:sz w:val="22"/>
          <w:szCs w:val="22"/>
          <w:rtl w:val="0"/>
          <w:lang w:val="en-US"/>
        </w:rPr>
        <w:t xml:space="preserve"> our</w:t>
      </w:r>
      <w:r>
        <w:rPr>
          <w:rStyle w:val="None"/>
          <w:rFonts w:ascii="Arial" w:hAnsi="Arial"/>
          <w:sz w:val="22"/>
          <w:szCs w:val="22"/>
          <w:rtl w:val="0"/>
          <w:lang w:val="en-US"/>
        </w:rPr>
        <w:t xml:space="preserve"> findings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able to cope with unique nutrient availabilities across vulnerable gut environments which it colonizes. The data also support that separate classes of antibiotics may cause susceptibility to CDI through slightly different means by allowing for increases in relative concentrations of different carbon sources. Limitation of specific subsets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 by specific of the gut microbiota to may represent the key to targeted colonization prevention. If we begin to understand the limited number of dimensions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inhabit within its niche space, we may be able to design targeted probiotics to fill those niches in susceptible individuals. </w:t>
      </w:r>
      <w:r>
        <w:rPr>
          <w:rStyle w:val="None"/>
          <w:rFonts w:ascii="Arial" w:hAnsi="Arial"/>
          <w:kern w:val="0"/>
          <w:sz w:val="22"/>
          <w:szCs w:val="22"/>
          <w:rtl w:val="0"/>
          <w:lang w:val="en-US"/>
        </w:rPr>
        <w:t xml:space="preserve">There could also be many not yet appreciated environmental factors that influence the metabolic program of </w:t>
      </w:r>
      <w:r>
        <w:rPr>
          <w:rStyle w:val="None"/>
          <w:rFonts w:ascii="Arial" w:hAnsi="Arial"/>
          <w:i w:val="1"/>
          <w:iCs w:val="1"/>
          <w:kern w:val="0"/>
          <w:sz w:val="22"/>
          <w:szCs w:val="22"/>
          <w:rtl w:val="0"/>
          <w:lang w:val="en-US"/>
        </w:rPr>
        <w:t>C. difficile</w:t>
      </w:r>
      <w:r>
        <w:rPr>
          <w:rStyle w:val="None"/>
          <w:rFonts w:ascii="Arial" w:hAnsi="Arial"/>
          <w:kern w:val="0"/>
          <w:sz w:val="22"/>
          <w:szCs w:val="22"/>
          <w:rtl w:val="0"/>
          <w:lang w:val="en-US"/>
        </w:rPr>
        <w:t xml:space="preserve"> during infection. </w:t>
      </w:r>
      <w:r>
        <w:rPr>
          <w:rStyle w:val="None"/>
          <w:rFonts w:ascii="Arial" w:hAnsi="Arial"/>
          <w:sz w:val="22"/>
          <w:szCs w:val="22"/>
          <w:rtl w:val="0"/>
          <w:lang w:val="en-US"/>
        </w:rPr>
        <w:t>In the future, this may need to a consideration during treatment as the correct course of action could be situational based on the factors are initially causing patients to become susceptible to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 </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Holm-Bonferroni corrected Wilcoxon tests.</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spun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pacing w:line="480" w:lineRule="auto"/>
        <w:rPr>
          <w:rStyle w:val="None"/>
          <w:rFonts w:ascii="Arial" w:cs="Arial" w:hAnsi="Arial" w:eastAsia="Arial"/>
          <w:sz w:val="22"/>
          <w:szCs w:val="22"/>
        </w:rPr>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and library preparation. </w:t>
      </w:r>
      <w:r>
        <w:rPr>
          <w:rStyle w:val="None"/>
          <w:rFonts w:ascii="Arial" w:hAnsi="Arial"/>
          <w:sz w:val="22"/>
          <w:szCs w:val="22"/>
          <w:rtl w:val="0"/>
          <w:lang w:val="en-US"/>
        </w:rPr>
        <w:t>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15 minutes. </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pPr>
        <w:pStyle w:val="Default"/>
        <w:spacing w:line="480" w:lineRule="auto"/>
        <w:jc w:val="both"/>
        <w:rPr>
          <w:rStyle w:val="None"/>
          <w:rFonts w:ascii="Arial" w:cs="Arial" w:hAnsi="Arial" w:eastAsia="Arial"/>
          <w:sz w:val="22"/>
          <w:szCs w:val="22"/>
        </w:rPr>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pacing w:line="480" w:lineRule="auto"/>
        <w:jc w:val="both"/>
        <w:rPr>
          <w:rStyle w:val="None"/>
          <w:rFonts w:ascii="Arial" w:cs="Arial" w:hAnsi="Arial" w:eastAsia="Arial"/>
          <w:b w:val="1"/>
          <w:bCs w:val="1"/>
          <w:sz w:val="22"/>
          <w:szCs w:val="22"/>
        </w:rPr>
      </w:pPr>
      <w:r>
        <w:rPr>
          <w:rStyle w:val="None"/>
          <w:rFonts w:ascii="Arial" w:cs="Arial" w:hAnsi="Arial" w:eastAsia="Arial"/>
          <w:sz w:val="22"/>
          <w:szCs w:val="22"/>
        </w:rPr>
        <w:tab/>
      </w: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p>
    <w:p>
      <w:pPr>
        <w:pStyle w:val="Default"/>
        <w:spacing w:line="480" w:lineRule="auto"/>
        <w:jc w:val="center"/>
        <w:rPr>
          <w:rStyle w:val="None"/>
          <w:rFonts w:ascii="Arial" w:cs="Arial" w:hAnsi="Arial" w:eastAsia="Arial"/>
          <w:sz w:val="22"/>
          <w:szCs w:val="22"/>
        </w:rPr>
      </w:pPr>
      <w:r>
        <w:rPr>
          <w:rStyle w:val="None"/>
          <w:rFonts w:ascii="Arial" w:hAnsi="Arial"/>
          <w:sz w:val="22"/>
          <w:szCs w:val="22"/>
          <w:rtl w:val="0"/>
          <w:lang w:val="en-US"/>
        </w:rPr>
        <w:t>insert the equation here again</w:t>
      </w:r>
    </w:p>
    <w:p>
      <w:pPr>
        <w:pStyle w:val="Default"/>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If a compound is more likely to be produced, the more negative the resulting score will be. The general concept for the bipartite metabolic networks and substrate importance algorithm were partially based on methods created to infer metabolite preference of </w:t>
      </w:r>
      <w:r>
        <w:rPr>
          <w:rStyle w:val="None"/>
          <w:rFonts w:ascii="Arial" w:hAnsi="Arial"/>
          <w:i w:val="1"/>
          <w:iCs w:val="1"/>
          <w:sz w:val="22"/>
          <w:szCs w:val="22"/>
          <w:rtl w:val="0"/>
          <w:lang w:val="en-US"/>
        </w:rPr>
        <w:t xml:space="preserve">Saccharomyces cerevisiae </w:t>
      </w:r>
      <w:r>
        <w:rPr>
          <w:rStyle w:val="None"/>
          <w:rFonts w:ascii="Arial" w:hAnsi="Arial"/>
          <w:sz w:val="22"/>
          <w:szCs w:val="22"/>
          <w:rtl w:val="0"/>
          <w:lang w:val="en-US"/>
        </w:rPr>
        <w:t xml:space="preserve">grown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and using repeated transcriptomic sequencing efforts (Patil,  2005). These methods have been written into a single python script, along with supporting reference files, and is presented as BiGSMAll (BacterIal Genome-Scale Metabolic models for AppLied reverse ecoLogy),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compound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kern w:val="0"/>
          <w:sz w:val="22"/>
          <w:szCs w:val="22"/>
        </w:rPr>
      </w:pPr>
      <w:r>
        <w:rPr>
          <w:rStyle w:val="None"/>
          <w:rFonts w:ascii="Arial" w:hAnsi="Arial"/>
          <w:b w:val="1"/>
          <w:bCs w:val="1"/>
          <w:kern w:val="0"/>
          <w:sz w:val="22"/>
          <w:szCs w:val="22"/>
          <w:rtl w:val="0"/>
          <w:lang w:val="en-US"/>
        </w:rPr>
        <w:t xml:space="preserve">Untargeted liquid chromatography-mass spectrometry for metabolite content of mouse cecal content. </w:t>
      </w:r>
      <w:r>
        <w:rPr>
          <w:rStyle w:val="None"/>
          <w:rFonts w:ascii="Arial" w:hAnsi="Arial"/>
          <w:kern w:val="0"/>
          <w:sz w:val="22"/>
          <w:szCs w:val="22"/>
          <w:rtl w:val="0"/>
          <w:lang w:val="en-US"/>
        </w:rPr>
        <w:t xml:space="preserve">Flash frozen aliquot of cecal content was </w:t>
      </w:r>
    </w:p>
    <w:p>
      <w:pPr>
        <w:pStyle w:val="Default"/>
        <w:spacing w:line="480" w:lineRule="auto"/>
        <w:jc w:val="both"/>
        <w:rPr>
          <w:rStyle w:val="None"/>
          <w:rFonts w:ascii="Arial" w:cs="Arial" w:hAnsi="Arial" w:eastAsia="Arial"/>
          <w:kern w:val="0"/>
          <w:sz w:val="22"/>
          <w:szCs w:val="22"/>
        </w:rPr>
      </w:pPr>
    </w:p>
    <w:p>
      <w:pPr>
        <w:pStyle w:val="Text body"/>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kern w:val="0"/>
          <w:sz w:val="22"/>
          <w:szCs w:val="22"/>
          <w:rtl w:val="0"/>
          <w:lang w:val="en-US"/>
        </w:rPr>
        <w:t>Figure Legends</w:t>
      </w: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1 | Experimental timelines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Experimental timelines for the antibiotic treatments used to sensitize animals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and infection (n = 9 per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Toxin titer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assessed through differential plating (plated without germinant) and </w:t>
      </w:r>
      <w:r>
        <w:rPr>
          <w:rStyle w:val="None"/>
          <w:rFonts w:ascii="Arial" w:hAnsi="Arial"/>
          <w:b w:val="1"/>
          <w:bCs w:val="1"/>
          <w:sz w:val="22"/>
          <w:szCs w:val="22"/>
          <w:rtl w:val="0"/>
          <w:lang w:val="en-US"/>
        </w:rPr>
        <w:t xml:space="preser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measured with an alternative plating strategy (heating to 65</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w:rFonts w:ascii="Arial" w:hAnsi="Arial"/>
          <w:i w:val="1"/>
          <w:iCs w:val="1"/>
          <w:sz w:val="22"/>
          <w:szCs w:val="22"/>
          <w:rtl w:val="0"/>
          <w:lang w:val="en-US"/>
        </w:rPr>
        <w:t xml:space="preserve">C. difficile </w:t>
      </w:r>
      <w:r>
        <w:rPr>
          <w:rStyle w:val="None"/>
          <w:rFonts w:ascii="Arial" w:hAnsi="Arial"/>
          <w:sz w:val="22"/>
          <w:szCs w:val="22"/>
          <w:rtl w:val="0"/>
          <w:lang w:val="en-US"/>
        </w:rPr>
        <w:t>colonization.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2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CdtR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3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w:rFonts w:ascii="Arial" w:hAnsi="Arial"/>
          <w:b w:val="1"/>
          <w:bCs w:val="1"/>
          <w:sz w:val="22"/>
          <w:szCs w:val="22"/>
          <w:rtl w:val="0"/>
          <w:lang w:val="en-US"/>
        </w:rPr>
        <w:t xml:space="preserve"> B) </w:t>
      </w:r>
      <w:r>
        <w:rPr>
          <w:rStyle w:val="None"/>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w:rFonts w:ascii="Arial" w:hAnsi="Arial"/>
          <w:b w:val="1"/>
          <w:bCs w:val="1"/>
          <w:sz w:val="22"/>
          <w:szCs w:val="22"/>
          <w:rtl w:val="0"/>
          <w:lang w:val="en-US"/>
        </w:rPr>
        <w:t xml:space="preserve">C)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5 |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concentrations from targeted LC-MS analysis of predicted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nutrient sources from metabolic models. A)</w:t>
      </w:r>
      <w:r>
        <w:rPr>
          <w:rStyle w:val="None"/>
          <w:rFonts w:ascii="Arial" w:hAnsi="Arial"/>
          <w:sz w:val="22"/>
          <w:szCs w:val="22"/>
          <w:rtl w:val="0"/>
          <w:lang w:val="en-US"/>
        </w:rPr>
        <w:t xml:space="preserve"> Heatmap, group by treatment group on x-axis and hierarchical clustering on y-axis. Comparing No Antibiotics to each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Bar charts of the actual concentrations for the substrates identified through metabolic modeling, shown in Figure 4.</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pacing w:line="480" w:lineRule="auto"/>
        <w:jc w:val="both"/>
        <w:rPr>
          <w:rFonts w:ascii="Arial" w:cs="Arial" w:hAnsi="Arial" w:eastAsia="Arial"/>
          <w:sz w:val="22"/>
          <w:szCs w:val="22"/>
        </w:rPr>
      </w:pPr>
    </w:p>
    <w:p>
      <w:pPr>
        <w:pStyle w:val="Default"/>
        <w:spacing w:line="480" w:lineRule="auto"/>
        <w:ind w:left="480" w:hanging="480"/>
        <w:jc w:val="both"/>
        <w:rPr>
          <w:rStyle w:val="None"/>
          <w:rFonts w:ascii="Arial" w:cs="Arial" w:hAnsi="Arial" w:eastAsia="Arial"/>
          <w:b w:val="1"/>
          <w:bCs w:val="1"/>
          <w:kern w:val="0"/>
          <w:sz w:val="22"/>
          <w:szCs w:val="22"/>
        </w:rPr>
      </w:pPr>
      <w:r>
        <w:rPr>
          <w:rStyle w:val="None"/>
          <w:rFonts w:ascii="Arial" w:hAnsi="Arial"/>
          <w:b w:val="1"/>
          <w:bCs w:val="1"/>
          <w:kern w:val="0"/>
          <w:sz w:val="22"/>
          <w:szCs w:val="22"/>
          <w:rtl w:val="0"/>
          <w:lang w:val="en-US"/>
        </w:rPr>
        <w:t xml:space="preserve">Supplementary Figure 5 |  Additional growth curves. </w:t>
      </w:r>
      <w:r>
        <w:rPr>
          <w:rStyle w:val="None"/>
          <w:rFonts w:ascii="Arial" w:hAnsi="Arial"/>
          <w:kern w:val="0"/>
          <w:sz w:val="22"/>
          <w:szCs w:val="22"/>
          <w:rtl w:val="0"/>
          <w:lang w:val="en-US"/>
        </w:rPr>
        <w:t>Description.</w:t>
      </w:r>
    </w:p>
    <w:p>
      <w:pPr>
        <w:pStyle w:val="Text body"/>
        <w:spacing w:line="480" w:lineRule="auto"/>
        <w:ind w:left="480" w:hanging="480"/>
        <w:jc w:val="both"/>
        <w:rPr>
          <w:rStyle w:val="None"/>
          <w:rFonts w:ascii="Arial" w:cs="Arial" w:hAnsi="Arial" w:eastAsia="Arial"/>
          <w:b w:val="1"/>
          <w:bCs w:val="1"/>
          <w:kern w:val="0"/>
          <w:sz w:val="22"/>
          <w:szCs w:val="22"/>
        </w:rPr>
      </w:pPr>
    </w:p>
    <w:p>
      <w:pPr>
        <w:pStyle w:val="Default"/>
        <w:spacing w:line="480" w:lineRule="auto"/>
        <w:ind w:left="480" w:hanging="480"/>
        <w:jc w:val="both"/>
        <w:rPr>
          <w:rStyle w:val="None"/>
          <w:rFonts w:ascii="Arial" w:cs="Arial" w:hAnsi="Arial" w:eastAsia="Arial"/>
          <w:b w:val="1"/>
          <w:bCs w:val="1"/>
          <w:kern w:val="0"/>
          <w:sz w:val="22"/>
          <w:szCs w:val="22"/>
        </w:rPr>
      </w:pPr>
      <w:r>
        <w:rPr>
          <w:rStyle w:val="None"/>
          <w:rFonts w:ascii="Arial" w:hAnsi="Arial"/>
          <w:b w:val="1"/>
          <w:bCs w:val="1"/>
          <w:kern w:val="0"/>
          <w:sz w:val="22"/>
          <w:szCs w:val="22"/>
          <w:rtl w:val="0"/>
          <w:lang w:val="en-US"/>
        </w:rPr>
        <w:t xml:space="preserve">Supplementary Figure 6 |  Acetate data supporting network output. </w:t>
      </w:r>
      <w:r>
        <w:rPr>
          <w:rStyle w:val="None"/>
          <w:rFonts w:ascii="Arial" w:hAnsi="Arial"/>
          <w:kern w:val="0"/>
          <w:sz w:val="22"/>
          <w:szCs w:val="22"/>
          <w:rtl w:val="0"/>
          <w:lang w:val="en-US"/>
        </w:rPr>
        <w:t>Description.</w:t>
      </w:r>
    </w:p>
    <w:p>
      <w:pPr>
        <w:pStyle w:val="Default"/>
        <w:spacing w:line="480" w:lineRule="auto"/>
        <w:ind w:left="480" w:hanging="480"/>
        <w:jc w:val="both"/>
        <w:rPr>
          <w:rStyle w:val="None"/>
          <w:rFonts w:ascii="Arial" w:cs="Arial" w:hAnsi="Arial" w:eastAsia="Arial"/>
          <w:b w:val="1"/>
          <w:bCs w:val="1"/>
          <w:kern w:val="0"/>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ind w:left="480" w:hanging="480"/>
        <w:rPr>
          <w:ins w:id="6" w:date="2016-09-08T16:43:32Z" w:author="Matthew Jenior"/>
          <w:rStyle w:val="None"/>
          <w:rFonts w:ascii="Arial" w:cs="Arial" w:hAnsi="Arial" w:eastAsia="Arial"/>
          <w:sz w:val="18"/>
          <w:szCs w:val="18"/>
        </w:rPr>
      </w:pPr>
      <w:ins w:id="7" w:date="2016-09-08T16:43:32Z" w:author="Matthew Jenio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ins>
      <w:ins w:id="8" w:date="2016-09-08T16:43:32Z" w:author="Matthew Jenior">
        <w:r>
          <w:rPr>
            <w:rStyle w:val="None"/>
            <w:rFonts w:ascii="Arial" w:hAnsi="Arial" w:hint="default"/>
            <w:sz w:val="18"/>
            <w:szCs w:val="18"/>
            <w:rtl w:val="0"/>
            <w:lang w:val="en-US"/>
          </w:rPr>
          <w:t>–</w:t>
        </w:r>
      </w:ins>
      <w:ins w:id="9" w:date="2016-09-08T16:43:32Z" w:author="Matthew Jenior">
        <w:r>
          <w:rPr>
            <w:rStyle w:val="None"/>
            <w:rFonts w:ascii="Arial" w:hAnsi="Arial"/>
            <w:sz w:val="18"/>
            <w:szCs w:val="18"/>
            <w:rtl w:val="0"/>
            <w:lang w:val="en-US"/>
          </w:rPr>
          <w:t>1992. http://doi.org/10.1053/j.gastro.2008.09.002</w:t>
        </w:r>
      </w:ins>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Ho, T. D., &amp; Ellermeier, C. D. (2015). Ferric uptake regulator fur control of putative iron acquisition systems in Clostridium 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en-US"/>
        </w:rPr>
        <w:t>2940. http://doi.org/10.1128/JB.00098-15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Hundsberger, T., Braun, V., Weidmann, M., Leukel, P., Sauerborn, M., &amp; von Eichel-Streiber, C. (1997). Transcription analysis 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742. http://doi.org/10.1111/j.1432-1033.1997.t01-1-00735.x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Janoir, C., Den</w:t>
      </w:r>
      <w:r>
        <w:rPr>
          <w:rStyle w:val="None"/>
          <w:rFonts w:ascii="Arial" w:hAnsi="Arial" w:hint="default"/>
          <w:sz w:val="18"/>
          <w:szCs w:val="18"/>
          <w:rtl w:val="0"/>
          <w:lang w:val="en-US"/>
        </w:rPr>
        <w:t>è</w:t>
      </w:r>
      <w:r>
        <w:rPr>
          <w:rStyle w:val="None"/>
          <w:rFonts w:ascii="Arial" w:hAnsi="Arial"/>
          <w:sz w:val="18"/>
          <w:szCs w:val="18"/>
          <w:rtl w:val="0"/>
          <w:lang w:val="en-US"/>
        </w:rPr>
        <w:t xml:space="preserve">ve, C., Bouttier, S., Barbut, F., Hoys, S., Caleechum, L., &amp; Dupuy, B. (2013). Adaptive strategies and pathogenesis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 http://doi.org/10.1128/IAI.00515-13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2"/>
        </w:rPr>
        <w:fldChar w:fldCharType="begin" w:fldLock="0"/>
      </w:r>
      <w:r>
        <w:rPr>
          <w:rStyle w:val="Hyperlink.2"/>
        </w:rPr>
        <w:instrText xml:space="preserve"> HYPERLINK "http://doi.org/10.1056/NEJMoa1408913"</w:instrText>
      </w:r>
      <w:r>
        <w:rPr>
          <w:rStyle w:val="Hyperlink.2"/>
        </w:rPr>
        <w:fldChar w:fldCharType="separate" w:fldLock="0"/>
      </w:r>
      <w:r>
        <w:rPr>
          <w:rStyle w:val="Hyperlink.2"/>
          <w:rtl w:val="0"/>
          <w:lang w:val="en-US"/>
        </w:rPr>
        <w:t>http://doi.org/10.1056/NEJMoa1408913</w:t>
      </w:r>
      <w:r>
        <w:rPr/>
        <w:fldChar w:fldCharType="end" w:fldLock="0"/>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ind w:left="480" w:hanging="480"/>
        <w:rPr>
          <w:rStyle w:val="None"/>
          <w:rFonts w:ascii="Arial" w:cs="Arial" w:hAnsi="Arial" w:eastAsia="Arial"/>
          <w:kern w:val="0"/>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pacing w:line="100" w:lineRule="atLeast"/>
        <w:ind w:left="480" w:hanging="480"/>
        <w:jc w:val="both"/>
      </w:pPr>
      <w:r>
        <w:rPr>
          <w:rStyle w:val="None"/>
          <w:rFonts w:ascii="Arial" w:hAnsi="Arial"/>
          <w:kern w:val="0"/>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kern w:val="0"/>
          <w:sz w:val="18"/>
          <w:szCs w:val="18"/>
          <w:rtl w:val="0"/>
          <w:lang w:val="en-US"/>
        </w:rPr>
        <w:t>European Journal of Clinical Microbiology and Infectious Diseases</w:t>
      </w:r>
      <w:r>
        <w:rPr>
          <w:rStyle w:val="None"/>
          <w:rFonts w:ascii="Arial" w:hAnsi="Arial"/>
          <w:kern w:val="0"/>
          <w:sz w:val="18"/>
          <w:szCs w:val="18"/>
          <w:rtl w:val="0"/>
          <w:lang w:val="en-US"/>
        </w:rPr>
        <w:t xml:space="preserve">. </w:t>
      </w:r>
      <w:r>
        <w:rPr>
          <w:rStyle w:val="Hyperlink.3"/>
        </w:rPr>
        <w:fldChar w:fldCharType="begin" w:fldLock="0"/>
      </w:r>
      <w:r>
        <w:rPr>
          <w:rStyle w:val="Hyperlink.3"/>
        </w:rPr>
        <w:instrText xml:space="preserve"> HYPERLINK "http://doi.org/10.1007/s10096-015-2479-6"</w:instrText>
      </w:r>
      <w:r>
        <w:rPr>
          <w:rStyle w:val="Hyperlink.3"/>
        </w:rPr>
        <w:fldChar w:fldCharType="separate" w:fldLock="0"/>
      </w:r>
      <w:r>
        <w:rPr>
          <w:rStyle w:val="Hyperlink.3"/>
          <w:rtl w:val="0"/>
          <w:lang w:val="en-US"/>
        </w:rPr>
        <w:t>http://doi.org/10.1007/s10096-015-2479-6</w:t>
      </w:r>
      <w:r>
        <w:rPr/>
        <w:fldChar w:fldCharType="end" w:fldLock="0"/>
      </w:r>
    </w:p>
    <w:sectPr>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6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9"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trackRevisions/>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Arial" w:cs="Arial" w:hAnsi="Arial" w:eastAsia="Arial"/>
      <w:color w:val="000080"/>
      <w:sz w:val="22"/>
      <w:szCs w:val="22"/>
      <w:u w:val="single" w:color="000080"/>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Hyperlink.2">
    <w:name w:val="Hyperlink.2"/>
    <w:basedOn w:val="None"/>
    <w:next w:val="Hyperlink.2"/>
    <w:rPr>
      <w:rFonts w:ascii="Arial" w:cs="Arial" w:hAnsi="Arial" w:eastAsia="Arial"/>
      <w:color w:val="000080"/>
      <w:sz w:val="18"/>
      <w:szCs w:val="18"/>
      <w:u w:val="single" w:color="000080"/>
    </w:rPr>
  </w:style>
  <w:style w:type="character" w:styleId="Hyperlink.3">
    <w:name w:val="Hyperlink.3"/>
    <w:basedOn w:val="None"/>
    <w:next w:val="Hyperlink.3"/>
    <w:rPr>
      <w:rFonts w:ascii="Arial" w:cs="Arial" w:hAnsi="Arial" w:eastAsia="Arial"/>
      <w:outline w:val="0"/>
      <w:color w:val="000000"/>
      <w:spacing w:val="0"/>
      <w:kern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