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168C7" w14:textId="77777777" w:rsidR="004C352D" w:rsidRDefault="00BC6DB8">
      <w:pPr>
        <w:pStyle w:val="Default"/>
        <w:shd w:val="clear" w:color="auto" w:fill="FFFFFF"/>
        <w:spacing w:line="480" w:lineRule="auto"/>
        <w:jc w:val="both"/>
        <w:rPr>
          <w:rFonts w:ascii="Arial" w:eastAsia="Arial" w:hAnsi="Arial" w:cs="Arial"/>
          <w:i/>
          <w:iCs/>
          <w:color w:val="2C2D30"/>
          <w:sz w:val="22"/>
          <w:szCs w:val="22"/>
          <w:u w:color="2C2D30"/>
        </w:rPr>
      </w:pPr>
      <w:r>
        <w:rPr>
          <w:rFonts w:ascii="Arial" w:hAnsi="Arial"/>
          <w:b/>
          <w:bCs/>
          <w:sz w:val="22"/>
          <w:szCs w:val="22"/>
        </w:rPr>
        <w:t>Title</w:t>
      </w:r>
    </w:p>
    <w:p w14:paraId="0E4DA1D7" w14:textId="77777777" w:rsidR="004C352D" w:rsidRDefault="00BC6DB8">
      <w:pPr>
        <w:pStyle w:val="Default"/>
        <w:shd w:val="clear" w:color="auto" w:fill="FFFFFF"/>
        <w:spacing w:line="480" w:lineRule="auto"/>
        <w:jc w:val="both"/>
        <w:rPr>
          <w:rFonts w:ascii="Arial" w:eastAsia="Arial" w:hAnsi="Arial" w:cs="Arial"/>
          <w:b/>
          <w:bCs/>
          <w:sz w:val="22"/>
          <w:szCs w:val="22"/>
        </w:rPr>
      </w:pPr>
      <w:r>
        <w:rPr>
          <w:rFonts w:ascii="Arial" w:hAnsi="Arial"/>
          <w:i/>
          <w:iCs/>
          <w:color w:val="2C2D30"/>
          <w:sz w:val="22"/>
          <w:szCs w:val="22"/>
          <w:u w:color="2C2D30"/>
        </w:rPr>
        <w:t>Clostridium difficile</w:t>
      </w:r>
      <w:r>
        <w:rPr>
          <w:rFonts w:ascii="Arial" w:hAnsi="Arial"/>
          <w:color w:val="2C2D30"/>
          <w:sz w:val="22"/>
          <w:szCs w:val="22"/>
          <w:u w:color="2C2D30"/>
        </w:rPr>
        <w:t xml:space="preserve"> colonizes alternative nutrient niches during infection across susceptible murine gut environments</w:t>
      </w:r>
    </w:p>
    <w:p w14:paraId="53467F35" w14:textId="77777777" w:rsidR="004C352D" w:rsidRDefault="004C352D">
      <w:pPr>
        <w:pStyle w:val="Default"/>
        <w:shd w:val="clear" w:color="auto" w:fill="FFFFFF"/>
        <w:spacing w:line="480" w:lineRule="auto"/>
        <w:jc w:val="both"/>
        <w:rPr>
          <w:rFonts w:ascii="Arial" w:eastAsia="Arial" w:hAnsi="Arial" w:cs="Arial"/>
          <w:b/>
          <w:bCs/>
          <w:sz w:val="22"/>
          <w:szCs w:val="22"/>
        </w:rPr>
      </w:pPr>
    </w:p>
    <w:p w14:paraId="528B06BE"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Authors</w:t>
      </w:r>
    </w:p>
    <w:p w14:paraId="3A8E95D8" w14:textId="77777777" w:rsidR="004C352D" w:rsidRDefault="00BC6DB8">
      <w:pPr>
        <w:pStyle w:val="Default"/>
        <w:shd w:val="clear" w:color="auto" w:fill="FFFFFF"/>
        <w:spacing w:line="480" w:lineRule="auto"/>
        <w:jc w:val="both"/>
        <w:rPr>
          <w:rFonts w:ascii="Arial" w:eastAsia="Arial" w:hAnsi="Arial" w:cs="Arial"/>
          <w:b/>
          <w:bCs/>
          <w:sz w:val="22"/>
          <w:szCs w:val="22"/>
        </w:rPr>
      </w:pPr>
      <w:r>
        <w:rPr>
          <w:rFonts w:ascii="Arial" w:hAnsi="Arial"/>
          <w:sz w:val="22"/>
          <w:szCs w:val="22"/>
        </w:rPr>
        <w:t>Jenior ML</w:t>
      </w:r>
      <w:r>
        <w:rPr>
          <w:rFonts w:ascii="Arial" w:hAnsi="Arial"/>
          <w:sz w:val="22"/>
          <w:szCs w:val="22"/>
          <w:vertAlign w:val="superscript"/>
        </w:rPr>
        <w:t>1</w:t>
      </w:r>
      <w:r>
        <w:rPr>
          <w:rFonts w:ascii="Arial" w:hAnsi="Arial"/>
          <w:sz w:val="22"/>
          <w:szCs w:val="22"/>
        </w:rPr>
        <w:t>, Leslie JL</w:t>
      </w:r>
      <w:r>
        <w:rPr>
          <w:rFonts w:ascii="Arial" w:hAnsi="Arial"/>
          <w:sz w:val="22"/>
          <w:szCs w:val="22"/>
          <w:vertAlign w:val="superscript"/>
        </w:rPr>
        <w:t>1</w:t>
      </w:r>
      <w:r>
        <w:rPr>
          <w:rFonts w:ascii="Arial" w:hAnsi="Arial"/>
          <w:sz w:val="22"/>
          <w:szCs w:val="22"/>
        </w:rPr>
        <w:t>, Young VB</w:t>
      </w:r>
      <w:r>
        <w:rPr>
          <w:rFonts w:ascii="Arial" w:hAnsi="Arial"/>
          <w:sz w:val="22"/>
          <w:szCs w:val="22"/>
          <w:vertAlign w:val="superscript"/>
        </w:rPr>
        <w:t>1,2</w:t>
      </w:r>
      <w:r>
        <w:rPr>
          <w:rFonts w:ascii="Arial" w:hAnsi="Arial"/>
          <w:sz w:val="22"/>
          <w:szCs w:val="22"/>
        </w:rPr>
        <w:t>, and Schloss PD</w:t>
      </w:r>
      <w:r>
        <w:rPr>
          <w:rFonts w:ascii="Arial" w:hAnsi="Arial"/>
          <w:sz w:val="22"/>
          <w:szCs w:val="22"/>
          <w:vertAlign w:val="superscript"/>
        </w:rPr>
        <w:t>1</w:t>
      </w:r>
    </w:p>
    <w:p w14:paraId="0B174BC0" w14:textId="77777777" w:rsidR="004C352D" w:rsidRDefault="004C352D">
      <w:pPr>
        <w:pStyle w:val="Default"/>
        <w:shd w:val="clear" w:color="auto" w:fill="FFFFFF"/>
        <w:spacing w:line="480" w:lineRule="auto"/>
        <w:jc w:val="both"/>
        <w:rPr>
          <w:rFonts w:ascii="Arial" w:eastAsia="Arial" w:hAnsi="Arial" w:cs="Arial"/>
          <w:b/>
          <w:bCs/>
          <w:sz w:val="22"/>
          <w:szCs w:val="22"/>
        </w:rPr>
      </w:pPr>
    </w:p>
    <w:p w14:paraId="17C1B4C8"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Affiliations</w:t>
      </w:r>
    </w:p>
    <w:p w14:paraId="7D4120B0"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sz w:val="22"/>
          <w:szCs w:val="22"/>
        </w:rPr>
        <w:t>1. Department of Microbiology &amp; Immunology; University of Michigan; Ann Arbor, MI</w:t>
      </w:r>
    </w:p>
    <w:p w14:paraId="468FFD71"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sz w:val="22"/>
          <w:szCs w:val="22"/>
        </w:rPr>
        <w:t>2</w:t>
      </w:r>
      <w:bookmarkStart w:id="0" w:name="_DdeLink__1571_979451698"/>
      <w:r>
        <w:rPr>
          <w:rFonts w:ascii="Arial" w:hAnsi="Arial"/>
          <w:sz w:val="22"/>
          <w:szCs w:val="22"/>
        </w:rPr>
        <w:t>. Department of Internal Medicine</w:t>
      </w:r>
      <w:bookmarkEnd w:id="0"/>
      <w:r>
        <w:rPr>
          <w:rFonts w:ascii="Arial" w:hAnsi="Arial"/>
          <w:sz w:val="22"/>
          <w:szCs w:val="22"/>
        </w:rPr>
        <w:t>; University of Michigan Health System; Ann Arbor, MI</w:t>
      </w:r>
    </w:p>
    <w:p w14:paraId="1CFABB7C" w14:textId="77777777" w:rsidR="004C352D" w:rsidRDefault="004C352D">
      <w:pPr>
        <w:pStyle w:val="Default"/>
        <w:shd w:val="clear" w:color="auto" w:fill="FFFFFF"/>
        <w:spacing w:line="480" w:lineRule="auto"/>
        <w:jc w:val="both"/>
        <w:rPr>
          <w:rFonts w:ascii="Arial" w:eastAsia="Arial" w:hAnsi="Arial" w:cs="Arial"/>
          <w:sz w:val="22"/>
          <w:szCs w:val="22"/>
        </w:rPr>
      </w:pPr>
    </w:p>
    <w:p w14:paraId="59F738F2"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Abstract</w:t>
      </w:r>
    </w:p>
    <w:p w14:paraId="7C507EE4" w14:textId="77777777" w:rsidR="004C352D" w:rsidRDefault="00BC6DB8">
      <w:pPr>
        <w:pStyle w:val="Default"/>
        <w:shd w:val="clear" w:color="auto" w:fill="FFFFFF"/>
        <w:spacing w:line="480" w:lineRule="auto"/>
        <w:jc w:val="both"/>
        <w:sectPr w:rsidR="004C352D">
          <w:headerReference w:type="default" r:id="rId7"/>
          <w:footerReference w:type="default" r:id="rId8"/>
          <w:pgSz w:w="12240" w:h="15840"/>
          <w:pgMar w:top="1134" w:right="1134" w:bottom="1134" w:left="1134" w:header="720" w:footer="720" w:gutter="0"/>
          <w:cols w:space="720"/>
          <w:bidi/>
        </w:sectPr>
      </w:pPr>
      <w:r>
        <w:rPr>
          <w:rFonts w:ascii="Arial" w:eastAsia="Arial" w:hAnsi="Arial" w:cs="Arial"/>
          <w:sz w:val="22"/>
          <w:szCs w:val="22"/>
        </w:rPr>
        <w:tab/>
      </w:r>
      <w:r>
        <w:rPr>
          <w:rFonts w:ascii="Arial" w:hAnsi="Arial"/>
          <w:i/>
          <w:iCs/>
          <w:sz w:val="22"/>
          <w:szCs w:val="22"/>
        </w:rPr>
        <w:t>Clostridium difficile</w:t>
      </w:r>
      <w:r>
        <w:rPr>
          <w:rFonts w:ascii="Arial" w:hAnsi="Arial"/>
          <w:sz w:val="22"/>
          <w:szCs w:val="22"/>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iCs/>
          <w:sz w:val="22"/>
          <w:szCs w:val="22"/>
        </w:rPr>
        <w:t>C. difficile</w:t>
      </w:r>
      <w:r>
        <w:rPr>
          <w:rFonts w:ascii="Arial" w:hAnsi="Arial"/>
          <w:sz w:val="22"/>
          <w:szCs w:val="22"/>
        </w:rPr>
        <w:t xml:space="preserve">. In this study, we orally challenged C57BL/6 mice with </w:t>
      </w:r>
      <w:r>
        <w:rPr>
          <w:rFonts w:ascii="Arial" w:hAnsi="Arial"/>
          <w:i/>
          <w:iCs/>
          <w:sz w:val="22"/>
          <w:szCs w:val="22"/>
        </w:rPr>
        <w:t>C. difficile</w:t>
      </w:r>
      <w:r>
        <w:rPr>
          <w:rFonts w:ascii="Arial" w:hAnsi="Arial"/>
          <w:sz w:val="22"/>
          <w:szCs w:val="22"/>
        </w:rPr>
        <w:t xml:space="preserve"> str. 630 and demonstrated that it was able to colonize the ceca in three separate models of antibiotic induced susceptibility to the same high degree (~1×10</w:t>
      </w:r>
      <w:r>
        <w:rPr>
          <w:rFonts w:ascii="Arial" w:hAnsi="Arial"/>
          <w:sz w:val="22"/>
          <w:szCs w:val="22"/>
          <w:vertAlign w:val="superscript"/>
        </w:rPr>
        <w:t>8</w:t>
      </w:r>
      <w:r>
        <w:rPr>
          <w:rFonts w:ascii="Arial" w:hAnsi="Arial"/>
          <w:sz w:val="22"/>
          <w:szCs w:val="22"/>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iCs/>
          <w:sz w:val="22"/>
          <w:szCs w:val="22"/>
        </w:rPr>
        <w:t>C. difficile</w:t>
      </w:r>
      <w:r>
        <w:rPr>
          <w:rFonts w:ascii="Arial" w:hAnsi="Arial"/>
          <w:sz w:val="22"/>
          <w:szCs w:val="22"/>
        </w:rPr>
        <w:t xml:space="preserve"> inhabits between susceptible gut conditions. To more closely investigate the specific responses of </w:t>
      </w:r>
      <w:r>
        <w:rPr>
          <w:rFonts w:ascii="Arial" w:hAnsi="Arial"/>
          <w:i/>
          <w:iCs/>
          <w:sz w:val="22"/>
          <w:szCs w:val="22"/>
        </w:rPr>
        <w:t>C. difficile</w:t>
      </w:r>
      <w:r>
        <w:rPr>
          <w:rFonts w:ascii="Arial" w:hAnsi="Arial"/>
          <w:sz w:val="22"/>
          <w:szCs w:val="22"/>
        </w:rPr>
        <w:t xml:space="preserve"> as it colonizes the GI tract of mice, we performed </w:t>
      </w:r>
      <w:r>
        <w:rPr>
          <w:rFonts w:ascii="Arial" w:hAnsi="Arial"/>
          <w:i/>
          <w:iCs/>
          <w:sz w:val="22"/>
          <w:szCs w:val="22"/>
        </w:rPr>
        <w:t>in vivo</w:t>
      </w:r>
      <w:r>
        <w:rPr>
          <w:rFonts w:ascii="Arial" w:hAnsi="Arial"/>
          <w:sz w:val="22"/>
          <w:szCs w:val="22"/>
        </w:rPr>
        <w:t xml:space="preserve"> </w:t>
      </w:r>
      <w:r>
        <w:rPr>
          <w:rFonts w:ascii="Arial" w:hAnsi="Arial"/>
          <w:i/>
          <w:iCs/>
          <w:sz w:val="22"/>
          <w:szCs w:val="22"/>
        </w:rPr>
        <w:t>C. difficile</w:t>
      </w:r>
      <w:r>
        <w:rPr>
          <w:rFonts w:ascii="Arial" w:hAnsi="Arial"/>
          <w:sz w:val="22"/>
          <w:szCs w:val="22"/>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w:t>
      </w:r>
      <w:r>
        <w:rPr>
          <w:rFonts w:ascii="Arial" w:hAnsi="Arial"/>
          <w:sz w:val="22"/>
          <w:szCs w:val="22"/>
        </w:rPr>
        <w:lastRenderedPageBreak/>
        <w:t xml:space="preserve">to observe numerous variations between condition in metabolic pathways associated with carbohydrate and amino acid catabolism, indicating that </w:t>
      </w:r>
      <w:r>
        <w:rPr>
          <w:rFonts w:ascii="Arial" w:hAnsi="Arial"/>
          <w:i/>
          <w:iCs/>
          <w:sz w:val="22"/>
          <w:szCs w:val="22"/>
        </w:rPr>
        <w:t>C. difficile</w:t>
      </w:r>
      <w:r>
        <w:rPr>
          <w:rFonts w:ascii="Arial" w:hAnsi="Arial"/>
          <w:sz w:val="22"/>
          <w:szCs w:val="22"/>
        </w:rPr>
        <w:t xml:space="preserve"> likely colonizes alternative nutrient niches across the environments it colonizes. In order to assess which aspects of the gut environment </w:t>
      </w:r>
      <w:r>
        <w:rPr>
          <w:rFonts w:ascii="Arial" w:hAnsi="Arial"/>
          <w:i/>
          <w:iCs/>
          <w:sz w:val="22"/>
          <w:szCs w:val="22"/>
        </w:rPr>
        <w:t>C. difficile</w:t>
      </w:r>
      <w:r>
        <w:rPr>
          <w:rFonts w:ascii="Arial" w:hAnsi="Arial"/>
          <w:sz w:val="22"/>
          <w:szCs w:val="22"/>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iCs/>
          <w:sz w:val="22"/>
          <w:szCs w:val="22"/>
        </w:rPr>
        <w:t>C. difficile</w:t>
      </w:r>
      <w:r>
        <w:rPr>
          <w:rFonts w:ascii="Arial" w:hAnsi="Arial"/>
          <w:sz w:val="22"/>
          <w:szCs w:val="22"/>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iCs/>
          <w:sz w:val="22"/>
          <w:szCs w:val="22"/>
        </w:rPr>
        <w:t>C. difficile</w:t>
      </w:r>
      <w:r>
        <w:rPr>
          <w:rFonts w:ascii="Arial" w:hAnsi="Arial"/>
          <w:sz w:val="22"/>
          <w:szCs w:val="22"/>
        </w:rPr>
        <w:t xml:space="preserve"> core metabolism. Applying the importance algorithm, we found that </w:t>
      </w:r>
      <w:r>
        <w:rPr>
          <w:rFonts w:ascii="Arial" w:hAnsi="Arial"/>
          <w:i/>
          <w:iCs/>
          <w:sz w:val="22"/>
          <w:szCs w:val="22"/>
        </w:rPr>
        <w:t>C. difficile</w:t>
      </w:r>
      <w:r>
        <w:rPr>
          <w:rFonts w:ascii="Arial" w:hAnsi="Arial"/>
          <w:sz w:val="22"/>
          <w:szCs w:val="22"/>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rPr>
        <w:t>C. difficile</w:t>
      </w:r>
      <w:r>
        <w:rPr>
          <w:rFonts w:ascii="Arial" w:hAnsi="Arial"/>
          <w:sz w:val="22"/>
          <w:szCs w:val="22"/>
        </w:rPr>
        <w:t xml:space="preserve"> differentially utilizes across the susceptible gut environments it colonizes. We then confirmed the capacity of each implicated substrate to support substantial </w:t>
      </w:r>
      <w:r>
        <w:rPr>
          <w:rFonts w:ascii="Arial" w:hAnsi="Arial"/>
          <w:i/>
          <w:iCs/>
          <w:sz w:val="22"/>
          <w:szCs w:val="22"/>
        </w:rPr>
        <w:t>C. difficile</w:t>
      </w:r>
      <w:r>
        <w:rPr>
          <w:rFonts w:ascii="Arial" w:hAnsi="Arial"/>
          <w:sz w:val="22"/>
          <w:szCs w:val="22"/>
        </w:rPr>
        <w:t xml:space="preserve"> growth </w:t>
      </w:r>
      <w:r>
        <w:rPr>
          <w:rFonts w:ascii="Arial" w:hAnsi="Arial"/>
          <w:i/>
          <w:iCs/>
          <w:sz w:val="22"/>
          <w:szCs w:val="22"/>
        </w:rPr>
        <w:t>in vitro</w:t>
      </w:r>
      <w:r>
        <w:rPr>
          <w:rFonts w:ascii="Arial" w:hAnsi="Arial"/>
          <w:sz w:val="22"/>
          <w:szCs w:val="22"/>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iCs/>
          <w:sz w:val="22"/>
          <w:szCs w:val="22"/>
        </w:rPr>
        <w:t>C. difficile</w:t>
      </w:r>
      <w:r>
        <w:rPr>
          <w:rFonts w:ascii="Arial" w:hAnsi="Arial"/>
          <w:sz w:val="22"/>
          <w:szCs w:val="22"/>
        </w:rPr>
        <w:t xml:space="preserve"> during infection, and may lead to the discovery of targeted measures for </w:t>
      </w:r>
      <w:r>
        <w:rPr>
          <w:rFonts w:ascii="Arial" w:hAnsi="Arial"/>
          <w:i/>
          <w:iCs/>
          <w:sz w:val="22"/>
          <w:szCs w:val="22"/>
        </w:rPr>
        <w:t xml:space="preserve">C. difficile </w:t>
      </w:r>
      <w:r>
        <w:rPr>
          <w:rFonts w:ascii="Arial" w:hAnsi="Arial"/>
          <w:sz w:val="22"/>
          <w:szCs w:val="22"/>
        </w:rPr>
        <w:t>colonization prevention.</w:t>
      </w:r>
    </w:p>
    <w:p w14:paraId="3720EF02"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lastRenderedPageBreak/>
        <w:t>Introduction</w:t>
      </w:r>
    </w:p>
    <w:p w14:paraId="057DF513"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rPr>
        <w:t>C. difficile</w:t>
      </w:r>
      <w:r>
        <w:rPr>
          <w:rFonts w:ascii="Arial" w:hAnsi="Arial"/>
          <w:sz w:val="22"/>
          <w:szCs w:val="22"/>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14:paraId="4C2F891B" w14:textId="77777777" w:rsidR="004C352D" w:rsidRDefault="00BC6DB8">
      <w:pPr>
        <w:pStyle w:val="Default"/>
        <w:shd w:val="clear" w:color="auto" w:fill="FFFFFF"/>
        <w:spacing w:line="480" w:lineRule="auto"/>
        <w:ind w:firstLine="709"/>
        <w:jc w:val="both"/>
        <w:rPr>
          <w:rFonts w:ascii="Arial" w:eastAsia="Arial" w:hAnsi="Arial" w:cs="Arial"/>
          <w:sz w:val="22"/>
          <w:szCs w:val="22"/>
        </w:rPr>
      </w:pPr>
      <w:r>
        <w:rPr>
          <w:rFonts w:ascii="Arial" w:hAnsi="Arial"/>
          <w:sz w:val="22"/>
          <w:szCs w:val="22"/>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rPr>
        <w:t xml:space="preserve">C. difficile </w:t>
      </w:r>
      <w:r>
        <w:rPr>
          <w:rFonts w:ascii="Arial" w:hAnsi="Arial"/>
          <w:sz w:val="22"/>
          <w:szCs w:val="22"/>
        </w:rPr>
        <w:t xml:space="preserve">colonization (Chen, 2008; Theriot, 2013; Schubert, 2015). Additionally, 18 hours after initially colonizing a cefoperazone treated mouse, </w:t>
      </w:r>
      <w:r>
        <w:rPr>
          <w:rFonts w:ascii="Arial" w:hAnsi="Arial"/>
          <w:i/>
          <w:iCs/>
          <w:sz w:val="22"/>
          <w:szCs w:val="22"/>
        </w:rPr>
        <w:t xml:space="preserve">C. difficile </w:t>
      </w:r>
      <w:r>
        <w:rPr>
          <w:rFonts w:ascii="Arial" w:hAnsi="Arial"/>
          <w:sz w:val="22"/>
          <w:szCs w:val="22"/>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rPr>
        <w:t>C. difficile</w:t>
      </w:r>
      <w:r>
        <w:rPr>
          <w:rFonts w:ascii="Arial" w:hAnsi="Arial"/>
          <w:sz w:val="22"/>
          <w:szCs w:val="22"/>
        </w:rPr>
        <w:t xml:space="preserve">. Building upon these results, others have shown that many of these antibiotic classes also alter the gut metabolome, increasing the concentrations of known </w:t>
      </w:r>
      <w:r>
        <w:rPr>
          <w:rFonts w:ascii="Arial" w:hAnsi="Arial"/>
          <w:i/>
          <w:iCs/>
          <w:sz w:val="22"/>
          <w:szCs w:val="22"/>
        </w:rPr>
        <w:t>C. difficile</w:t>
      </w:r>
      <w:r>
        <w:rPr>
          <w:rFonts w:ascii="Arial" w:hAnsi="Arial"/>
          <w:sz w:val="22"/>
          <w:szCs w:val="22"/>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rPr>
        <w:t>C. difficile</w:t>
      </w:r>
      <w:r>
        <w:rPr>
          <w:rFonts w:ascii="Arial" w:hAnsi="Arial"/>
          <w:sz w:val="22"/>
          <w:szCs w:val="22"/>
        </w:rPr>
        <w:t xml:space="preserve"> through limitation of substrates it needs to grow. The ability of a healthy gut community to exclude </w:t>
      </w:r>
      <w:r>
        <w:rPr>
          <w:rFonts w:ascii="Arial" w:hAnsi="Arial"/>
          <w:i/>
          <w:iCs/>
          <w:sz w:val="22"/>
          <w:szCs w:val="22"/>
        </w:rPr>
        <w:t>C. difficile</w:t>
      </w:r>
      <w:r>
        <w:rPr>
          <w:rFonts w:ascii="Arial" w:hAnsi="Arial"/>
          <w:sz w:val="22"/>
          <w:szCs w:val="22"/>
        </w:rPr>
        <w:t xml:space="preserve"> colonization is suggestive of the nutrient-niche hypothesis (Freter, 1983; Wilson, 1988) in which an organism must be able to utilize a subset of available resources better than all competitors to colonize the intestine.</w:t>
      </w:r>
    </w:p>
    <w:p w14:paraId="56ABBB48" w14:textId="77777777" w:rsidR="004C352D" w:rsidRDefault="00BC6DB8">
      <w:pPr>
        <w:pStyle w:val="Default"/>
        <w:shd w:val="clear" w:color="auto" w:fill="FFFFFF"/>
        <w:spacing w:line="480" w:lineRule="auto"/>
        <w:ind w:firstLine="709"/>
        <w:jc w:val="both"/>
      </w:pPr>
      <w:r>
        <w:rPr>
          <w:rFonts w:ascii="Arial" w:hAnsi="Arial"/>
          <w:sz w:val="22"/>
          <w:szCs w:val="22"/>
        </w:rPr>
        <w:t xml:space="preserve">Based on its genome sequence and </w:t>
      </w:r>
      <w:r>
        <w:rPr>
          <w:rFonts w:ascii="Arial" w:hAnsi="Arial"/>
          <w:i/>
          <w:iCs/>
          <w:sz w:val="22"/>
          <w:szCs w:val="22"/>
        </w:rPr>
        <w:t>in vitro</w:t>
      </w:r>
      <w:r>
        <w:rPr>
          <w:rFonts w:ascii="Arial" w:hAnsi="Arial"/>
          <w:sz w:val="22"/>
          <w:szCs w:val="22"/>
        </w:rPr>
        <w:t xml:space="preserve"> growth characteristics, </w:t>
      </w:r>
      <w:r>
        <w:rPr>
          <w:rFonts w:ascii="Arial" w:hAnsi="Arial"/>
          <w:i/>
          <w:iCs/>
          <w:sz w:val="22"/>
          <w:szCs w:val="22"/>
        </w:rPr>
        <w:t>C. difficile</w:t>
      </w:r>
      <w:r>
        <w:rPr>
          <w:rFonts w:ascii="Arial" w:hAnsi="Arial"/>
          <w:sz w:val="22"/>
          <w:szCs w:val="22"/>
        </w:rPr>
        <w:t xml:space="preserve"> appears to be </w:t>
      </w:r>
      <w:r>
        <w:rPr>
          <w:rFonts w:ascii="Arial" w:hAnsi="Arial"/>
          <w:sz w:val="22"/>
          <w:szCs w:val="22"/>
        </w:rPr>
        <w:lastRenderedPageBreak/>
        <w:t xml:space="preserve">able to fill multiple nutrient niches. </w:t>
      </w:r>
      <w:r>
        <w:rPr>
          <w:rFonts w:ascii="Arial" w:hAnsi="Arial"/>
          <w:i/>
          <w:iCs/>
          <w:sz w:val="22"/>
          <w:szCs w:val="22"/>
        </w:rPr>
        <w:t xml:space="preserve">C. difficile </w:t>
      </w:r>
      <w:r>
        <w:rPr>
          <w:rFonts w:ascii="Arial" w:hAnsi="Arial"/>
          <w:sz w:val="22"/>
          <w:szCs w:val="22"/>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rPr>
        <w:t>C. difficile</w:t>
      </w:r>
      <w:r>
        <w:rPr>
          <w:rFonts w:ascii="Arial" w:hAnsi="Arial"/>
          <w:sz w:val="22"/>
          <w:szCs w:val="22"/>
        </w:rPr>
        <w:t xml:space="preserve">’s pathogenesis. For example, </w:t>
      </w:r>
      <w:r>
        <w:rPr>
          <w:rFonts w:ascii="Arial" w:hAnsi="Arial"/>
          <w:i/>
          <w:iCs/>
          <w:sz w:val="22"/>
          <w:szCs w:val="22"/>
        </w:rPr>
        <w:t xml:space="preserve">in vitro </w:t>
      </w:r>
      <w:r>
        <w:rPr>
          <w:rFonts w:ascii="Arial" w:hAnsi="Arial"/>
          <w:sz w:val="22"/>
          <w:szCs w:val="22"/>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rPr>
        <w:t>ccpA,</w:t>
      </w:r>
      <w:r>
        <w:rPr>
          <w:rFonts w:ascii="Arial" w:hAnsi="Arial"/>
          <w:sz w:val="22"/>
          <w:szCs w:val="22"/>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rPr>
        <w:t>C. difficile</w:t>
      </w:r>
      <w:r>
        <w:rPr>
          <w:rFonts w:ascii="Arial" w:hAnsi="Arial"/>
          <w:sz w:val="22"/>
          <w:szCs w:val="22"/>
        </w:rPr>
        <w:t xml:space="preserve"> when colonizing across sensitive hosts.</w:t>
      </w:r>
    </w:p>
    <w:p w14:paraId="153C9745" w14:textId="138CF5EA" w:rsidR="004C352D" w:rsidRDefault="00BC6DB8">
      <w:pPr>
        <w:pStyle w:val="Default"/>
        <w:shd w:val="clear" w:color="auto" w:fill="FFFFFF"/>
        <w:spacing w:line="480" w:lineRule="auto"/>
        <w:jc w:val="both"/>
      </w:pPr>
      <w:r>
        <w:rPr>
          <w:rFonts w:ascii="Arial" w:eastAsia="Arial" w:hAnsi="Arial" w:cs="Arial"/>
          <w:sz w:val="22"/>
          <w:szCs w:val="22"/>
        </w:rPr>
        <w:tab/>
        <w:t xml:space="preserve">Previous transcriptomic studies of </w:t>
      </w:r>
      <w:r>
        <w:rPr>
          <w:rFonts w:ascii="Arial" w:hAnsi="Arial"/>
          <w:i/>
          <w:iCs/>
          <w:sz w:val="22"/>
          <w:szCs w:val="22"/>
        </w:rPr>
        <w:t>C. difficile</w:t>
      </w:r>
      <w:r>
        <w:rPr>
          <w:rFonts w:ascii="Arial" w:hAnsi="Arial"/>
          <w:sz w:val="22"/>
          <w:szCs w:val="22"/>
        </w:rPr>
        <w:t xml:space="preserve"> have mainly focused on </w:t>
      </w:r>
      <w:r w:rsidR="00FC06B5">
        <w:rPr>
          <w:rFonts w:ascii="Arial" w:hAnsi="Arial"/>
          <w:sz w:val="22"/>
          <w:szCs w:val="22"/>
        </w:rPr>
        <w:t xml:space="preserve">transcription of virulence factors, </w:t>
      </w:r>
      <w:r w:rsidR="00FC06B5" w:rsidRPr="00FC06B5">
        <w:rPr>
          <w:rFonts w:ascii="Arial" w:hAnsi="Arial"/>
          <w:i/>
          <w:sz w:val="22"/>
          <w:szCs w:val="22"/>
        </w:rPr>
        <w:t>in vitro</w:t>
      </w:r>
      <w:r w:rsidRPr="00FC06B5">
        <w:rPr>
          <w:rFonts w:ascii="Arial" w:hAnsi="Arial"/>
          <w:i/>
          <w:sz w:val="22"/>
          <w:szCs w:val="22"/>
        </w:rPr>
        <w:t xml:space="preserve"> </w:t>
      </w:r>
      <w:r>
        <w:rPr>
          <w:rFonts w:ascii="Arial" w:hAnsi="Arial"/>
          <w:sz w:val="22"/>
          <w:szCs w:val="22"/>
        </w:rPr>
        <w:t>(Matamouros, 2007; Antunes, 2011), with some work characterizing transcription during colonization of germ free mice (Janoir, 2013</w:t>
      </w:r>
      <w:r w:rsidR="00FC06B5">
        <w:rPr>
          <w:rFonts w:ascii="Arial" w:hAnsi="Arial"/>
          <w:sz w:val="22"/>
          <w:szCs w:val="22"/>
        </w:rPr>
        <w:t>; Kansau, 2016</w:t>
      </w:r>
      <w:r>
        <w:rPr>
          <w:rFonts w:ascii="Arial" w:hAnsi="Arial"/>
          <w:sz w:val="22"/>
          <w:szCs w:val="22"/>
        </w:rPr>
        <w:t>).</w:t>
      </w:r>
      <w:r w:rsidR="00FC06B5">
        <w:rPr>
          <w:rFonts w:ascii="Arial" w:hAnsi="Arial"/>
          <w:sz w:val="22"/>
          <w:szCs w:val="22"/>
        </w:rPr>
        <w:t xml:space="preserve"> Relevant to our hypothesis,</w:t>
      </w:r>
      <w:r>
        <w:rPr>
          <w:rFonts w:ascii="Arial" w:hAnsi="Arial"/>
          <w:sz w:val="22"/>
          <w:szCs w:val="22"/>
        </w:rPr>
        <w:t xml:space="preserve"> </w:t>
      </w:r>
      <w:r>
        <w:rPr>
          <w:rFonts w:ascii="Arial" w:hAnsi="Arial"/>
          <w:i/>
          <w:iCs/>
          <w:sz w:val="22"/>
          <w:szCs w:val="22"/>
        </w:rPr>
        <w:t>C. difficile</w:t>
      </w:r>
      <w:r>
        <w:rPr>
          <w:rFonts w:ascii="Arial" w:hAnsi="Arial"/>
          <w:sz w:val="22"/>
          <w:szCs w:val="22"/>
        </w:rPr>
        <w:t xml:space="preserve"> up</w:t>
      </w:r>
      <w:r w:rsidR="00FC06B5">
        <w:rPr>
          <w:rFonts w:ascii="Arial" w:hAnsi="Arial"/>
          <w:sz w:val="22"/>
          <w:szCs w:val="22"/>
        </w:rPr>
        <w:t>-regulated</w:t>
      </w:r>
      <w:r>
        <w:rPr>
          <w:rFonts w:ascii="Arial" w:hAnsi="Arial"/>
          <w:sz w:val="22"/>
          <w:szCs w:val="22"/>
        </w:rPr>
        <w:t xml:space="preserve"> several </w:t>
      </w:r>
      <w:r w:rsidR="00FC06B5">
        <w:rPr>
          <w:rFonts w:ascii="Arial" w:hAnsi="Arial"/>
          <w:sz w:val="22"/>
          <w:szCs w:val="22"/>
        </w:rPr>
        <w:t>phosphotransferase (</w:t>
      </w:r>
      <w:r>
        <w:rPr>
          <w:rFonts w:ascii="Arial" w:hAnsi="Arial"/>
          <w:sz w:val="22"/>
          <w:szCs w:val="22"/>
        </w:rPr>
        <w:t>PTS</w:t>
      </w:r>
      <w:r w:rsidR="00FC06B5">
        <w:rPr>
          <w:rFonts w:ascii="Arial" w:hAnsi="Arial"/>
          <w:sz w:val="22"/>
          <w:szCs w:val="22"/>
        </w:rPr>
        <w:t>)</w:t>
      </w:r>
      <w:r>
        <w:rPr>
          <w:rFonts w:ascii="Arial" w:hAnsi="Arial"/>
          <w:sz w:val="22"/>
          <w:szCs w:val="22"/>
        </w:rPr>
        <w:t xml:space="preserve"> and ABC transporters in germ free mice, alluding to metabolic adaptation to nutrient availability </w:t>
      </w:r>
      <w:r>
        <w:rPr>
          <w:rFonts w:ascii="Arial" w:hAnsi="Arial"/>
          <w:i/>
          <w:iCs/>
          <w:sz w:val="22"/>
          <w:szCs w:val="22"/>
        </w:rPr>
        <w:t>in vivo</w:t>
      </w:r>
      <w:r>
        <w:rPr>
          <w:rFonts w:ascii="Arial" w:hAnsi="Arial"/>
          <w:sz w:val="22"/>
          <w:szCs w:val="22"/>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rPr>
        <w:t>C. difficile</w:t>
      </w:r>
      <w:r>
        <w:rPr>
          <w:rFonts w:ascii="Arial" w:hAnsi="Arial"/>
          <w:sz w:val="22"/>
          <w:szCs w:val="22"/>
        </w:rPr>
        <w:t xml:space="preserve"> must compete against for substrates. </w:t>
      </w:r>
      <w:r w:rsidR="001B03BC">
        <w:rPr>
          <w:rFonts w:ascii="Arial" w:hAnsi="Arial"/>
          <w:sz w:val="22"/>
          <w:szCs w:val="22"/>
        </w:rPr>
        <w:t>Metabolomic analyse</w:t>
      </w:r>
      <w:r>
        <w:rPr>
          <w:rFonts w:ascii="Arial" w:hAnsi="Arial"/>
          <w:sz w:val="22"/>
          <w:szCs w:val="22"/>
        </w:rPr>
        <w:t xml:space="preserve">s </w:t>
      </w:r>
      <w:r w:rsidR="001B03BC">
        <w:rPr>
          <w:rFonts w:ascii="Arial" w:hAnsi="Arial"/>
          <w:sz w:val="22"/>
          <w:szCs w:val="22"/>
        </w:rPr>
        <w:t xml:space="preserve">have also been used </w:t>
      </w:r>
      <w:r>
        <w:rPr>
          <w:rFonts w:ascii="Arial" w:hAnsi="Arial"/>
          <w:sz w:val="22"/>
          <w:szCs w:val="22"/>
        </w:rPr>
        <w:t>to more directly assay changes in bacterial metabolism as they relate to CDI</w:t>
      </w:r>
      <w:r w:rsidR="001B03BC">
        <w:rPr>
          <w:rFonts w:ascii="Arial" w:hAnsi="Arial"/>
          <w:sz w:val="22"/>
          <w:szCs w:val="22"/>
        </w:rPr>
        <w:t xml:space="preserve"> (</w:t>
      </w:r>
      <w:r w:rsidR="001B03BC" w:rsidRPr="001B03BC">
        <w:rPr>
          <w:rFonts w:ascii="Arial" w:hAnsi="Arial"/>
          <w:sz w:val="22"/>
          <w:szCs w:val="22"/>
          <w:highlight w:val="yellow"/>
        </w:rPr>
        <w:t>references</w:t>
      </w:r>
      <w:r w:rsidR="001B03BC">
        <w:rPr>
          <w:rFonts w:ascii="Arial" w:hAnsi="Arial"/>
          <w:sz w:val="22"/>
          <w:szCs w:val="22"/>
        </w:rPr>
        <w:t>); however, t</w:t>
      </w:r>
      <w:r>
        <w:rPr>
          <w:rFonts w:ascii="Arial" w:hAnsi="Arial"/>
          <w:sz w:val="22"/>
          <w:szCs w:val="22"/>
        </w:rPr>
        <w:t xml:space="preserve">hese methods cannot focus on </w:t>
      </w:r>
      <w:r>
        <w:rPr>
          <w:rFonts w:ascii="Arial" w:hAnsi="Arial"/>
          <w:i/>
          <w:iCs/>
          <w:sz w:val="22"/>
          <w:szCs w:val="22"/>
        </w:rPr>
        <w:t>C. difficile</w:t>
      </w:r>
      <w:r>
        <w:rPr>
          <w:rFonts w:ascii="Arial" w:hAnsi="Arial"/>
          <w:sz w:val="22"/>
          <w:szCs w:val="22"/>
        </w:rPr>
        <w:t xml:space="preserve"> specifically and more closely exhibit echoes of metabolism, not currently active processes. </w:t>
      </w:r>
      <w:r w:rsidR="001B03BC">
        <w:rPr>
          <w:rFonts w:ascii="Arial" w:hAnsi="Arial"/>
          <w:sz w:val="22"/>
          <w:szCs w:val="22"/>
        </w:rPr>
        <w:t>In contrast to these methods</w:t>
      </w:r>
      <w:r>
        <w:rPr>
          <w:rFonts w:ascii="Arial" w:hAnsi="Arial"/>
          <w:sz w:val="22"/>
          <w:szCs w:val="22"/>
        </w:rPr>
        <w:t xml:space="preserve">, </w:t>
      </w:r>
      <w:r>
        <w:rPr>
          <w:rFonts w:ascii="Arial" w:hAnsi="Arial"/>
          <w:i/>
          <w:iCs/>
          <w:sz w:val="22"/>
          <w:szCs w:val="22"/>
        </w:rPr>
        <w:t>in vivo</w:t>
      </w:r>
      <w:r>
        <w:rPr>
          <w:rFonts w:ascii="Arial" w:hAnsi="Arial"/>
          <w:sz w:val="22"/>
          <w:szCs w:val="22"/>
        </w:rPr>
        <w:t xml:space="preserve"> </w:t>
      </w:r>
      <w:r>
        <w:rPr>
          <w:rFonts w:ascii="Arial" w:hAnsi="Arial"/>
          <w:i/>
          <w:iCs/>
          <w:sz w:val="22"/>
          <w:szCs w:val="22"/>
        </w:rPr>
        <w:t>C. difficile</w:t>
      </w:r>
      <w:r>
        <w:rPr>
          <w:rFonts w:ascii="Arial" w:hAnsi="Arial"/>
          <w:sz w:val="22"/>
          <w:szCs w:val="22"/>
        </w:rPr>
        <w:t xml:space="preserve"> transcriptomic analysis from conventionally-raised animals </w:t>
      </w:r>
      <w:r w:rsidR="001B03BC">
        <w:rPr>
          <w:rFonts w:ascii="Arial" w:hAnsi="Arial"/>
          <w:sz w:val="22"/>
          <w:szCs w:val="22"/>
        </w:rPr>
        <w:t>may</w:t>
      </w:r>
      <w:r>
        <w:rPr>
          <w:rFonts w:ascii="Arial" w:hAnsi="Arial"/>
          <w:sz w:val="22"/>
          <w:szCs w:val="22"/>
        </w:rPr>
        <w:t xml:space="preserve"> provide unique insight into its active metabolic pathways in a more realistic model of infection. Integrating </w:t>
      </w:r>
      <w:r w:rsidR="003D1A15">
        <w:rPr>
          <w:rFonts w:ascii="Arial" w:hAnsi="Arial"/>
          <w:sz w:val="22"/>
          <w:szCs w:val="22"/>
        </w:rPr>
        <w:t>transcriptomic</w:t>
      </w:r>
      <w:r>
        <w:rPr>
          <w:rFonts w:ascii="Arial" w:hAnsi="Arial"/>
          <w:sz w:val="22"/>
          <w:szCs w:val="22"/>
        </w:rPr>
        <w:t xml:space="preserve"> data with genome-scale metabolic modeling </w:t>
      </w:r>
      <w:r w:rsidR="003D1A15">
        <w:rPr>
          <w:rFonts w:ascii="Arial" w:hAnsi="Arial"/>
          <w:sz w:val="22"/>
          <w:szCs w:val="22"/>
        </w:rPr>
        <w:t xml:space="preserve">has previously aided </w:t>
      </w:r>
      <w:r>
        <w:rPr>
          <w:rFonts w:ascii="Arial" w:hAnsi="Arial"/>
          <w:sz w:val="22"/>
          <w:szCs w:val="22"/>
        </w:rPr>
        <w:t xml:space="preserve">in identifying the most active aspects </w:t>
      </w:r>
      <w:r w:rsidRPr="003D1A15">
        <w:rPr>
          <w:rFonts w:ascii="Arial" w:hAnsi="Arial"/>
          <w:sz w:val="22"/>
          <w:szCs w:val="22"/>
        </w:rPr>
        <w:t xml:space="preserve">of </w:t>
      </w:r>
      <w:r w:rsidR="003D1A15" w:rsidRPr="003D1A15">
        <w:rPr>
          <w:rFonts w:ascii="Arial" w:hAnsi="Arial"/>
          <w:iCs/>
          <w:sz w:val="22"/>
          <w:szCs w:val="22"/>
        </w:rPr>
        <w:t>an organism’s</w:t>
      </w:r>
      <w:r w:rsidR="003D1A15">
        <w:rPr>
          <w:rFonts w:ascii="Arial" w:hAnsi="Arial"/>
          <w:sz w:val="22"/>
          <w:szCs w:val="22"/>
        </w:rPr>
        <w:t xml:space="preserve"> metabolism and </w:t>
      </w:r>
      <w:r>
        <w:rPr>
          <w:rFonts w:ascii="Arial" w:hAnsi="Arial"/>
          <w:sz w:val="22"/>
          <w:szCs w:val="22"/>
        </w:rPr>
        <w:t xml:space="preserve">which substrates </w:t>
      </w:r>
      <w:r w:rsidR="003D1A15">
        <w:rPr>
          <w:rFonts w:ascii="Arial" w:hAnsi="Arial"/>
          <w:sz w:val="22"/>
          <w:szCs w:val="22"/>
        </w:rPr>
        <w:t>are</w:t>
      </w:r>
      <w:r>
        <w:rPr>
          <w:rFonts w:ascii="Arial" w:hAnsi="Arial"/>
          <w:sz w:val="22"/>
          <w:szCs w:val="22"/>
        </w:rPr>
        <w:t xml:space="preserve"> </w:t>
      </w:r>
      <w:r w:rsidR="003D1A15">
        <w:rPr>
          <w:rFonts w:ascii="Arial" w:hAnsi="Arial"/>
          <w:sz w:val="22"/>
          <w:szCs w:val="22"/>
        </w:rPr>
        <w:t xml:space="preserve">preferred by the organism </w:t>
      </w:r>
      <w:r>
        <w:rPr>
          <w:rFonts w:ascii="Arial" w:hAnsi="Arial"/>
          <w:sz w:val="22"/>
          <w:szCs w:val="22"/>
        </w:rPr>
        <w:t>(Patil, 2005</w:t>
      </w:r>
      <w:r w:rsidR="003D1A15">
        <w:rPr>
          <w:rFonts w:ascii="Arial" w:hAnsi="Arial"/>
          <w:sz w:val="22"/>
          <w:szCs w:val="22"/>
        </w:rPr>
        <w:t xml:space="preserve"> </w:t>
      </w:r>
      <w:r w:rsidR="003D1A15" w:rsidRPr="00BC6DB8">
        <w:rPr>
          <w:rFonts w:ascii="Arial" w:hAnsi="Arial"/>
          <w:sz w:val="22"/>
          <w:szCs w:val="22"/>
          <w:highlight w:val="yellow"/>
        </w:rPr>
        <w:t>other references…</w:t>
      </w:r>
      <w:r>
        <w:rPr>
          <w:rFonts w:ascii="Arial" w:hAnsi="Arial"/>
          <w:sz w:val="22"/>
          <w:szCs w:val="22"/>
        </w:rPr>
        <w:t>).</w:t>
      </w:r>
      <w:r w:rsidR="003D1A15">
        <w:rPr>
          <w:rFonts w:ascii="Arial" w:hAnsi="Arial"/>
          <w:sz w:val="22"/>
          <w:szCs w:val="22"/>
        </w:rPr>
        <w:t xml:space="preserve"> Apply these methods to study </w:t>
      </w:r>
      <w:r w:rsidR="003D1A15" w:rsidRPr="003D1A15">
        <w:rPr>
          <w:rFonts w:ascii="Arial" w:hAnsi="Arial"/>
          <w:i/>
          <w:sz w:val="22"/>
          <w:szCs w:val="22"/>
        </w:rPr>
        <w:t>C. difficile</w:t>
      </w:r>
      <w:r w:rsidR="003D1A15">
        <w:rPr>
          <w:rFonts w:ascii="Arial" w:hAnsi="Arial"/>
          <w:sz w:val="22"/>
          <w:szCs w:val="22"/>
        </w:rPr>
        <w:t xml:space="preserve"> colonization would allow us to directly test our hypothesis.</w:t>
      </w:r>
    </w:p>
    <w:p w14:paraId="6B5E2E23" w14:textId="5F7F765C" w:rsidR="004C352D" w:rsidRDefault="00BC6DB8">
      <w:pPr>
        <w:pStyle w:val="Default"/>
        <w:shd w:val="clear" w:color="auto" w:fill="FFFFFF"/>
        <w:spacing w:line="480" w:lineRule="auto"/>
        <w:ind w:firstLine="709"/>
        <w:jc w:val="both"/>
        <w:rPr>
          <w:rFonts w:ascii="Arial" w:eastAsia="Arial" w:hAnsi="Arial" w:cs="Arial"/>
          <w:sz w:val="22"/>
          <w:szCs w:val="22"/>
        </w:rPr>
      </w:pPr>
      <w:r>
        <w:rPr>
          <w:rFonts w:ascii="Arial" w:hAnsi="Arial"/>
          <w:sz w:val="22"/>
          <w:szCs w:val="22"/>
        </w:rPr>
        <w:t xml:space="preserve">Based on the ability of </w:t>
      </w:r>
      <w:r>
        <w:rPr>
          <w:rFonts w:ascii="Arial" w:hAnsi="Arial"/>
          <w:i/>
          <w:iCs/>
          <w:sz w:val="22"/>
          <w:szCs w:val="22"/>
        </w:rPr>
        <w:t>C. difficile</w:t>
      </w:r>
      <w:r>
        <w:rPr>
          <w:rFonts w:ascii="Arial" w:hAnsi="Arial"/>
          <w:sz w:val="22"/>
          <w:szCs w:val="22"/>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rPr>
        <w:t>C. difficile</w:t>
      </w:r>
      <w:r w:rsidRPr="00BC6DB8">
        <w:rPr>
          <w:rFonts w:ascii="Arial" w:hAnsi="Arial"/>
          <w:iCs/>
          <w:sz w:val="22"/>
          <w:szCs w:val="22"/>
        </w:rPr>
        <w:t xml:space="preserve"> to </w:t>
      </w:r>
      <w:r>
        <w:rPr>
          <w:rFonts w:ascii="Arial" w:hAnsi="Arial"/>
          <w:sz w:val="22"/>
          <w:szCs w:val="22"/>
        </w:rPr>
        <w:t xml:space="preserve">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rPr>
        <w:t>C. difficile</w:t>
      </w:r>
      <w:r>
        <w:rPr>
          <w:rFonts w:ascii="Arial" w:hAnsi="Arial"/>
          <w:sz w:val="22"/>
          <w:szCs w:val="22"/>
        </w:rPr>
        <w:t xml:space="preserve"> would encounter a unique subset of nutrients and competitors in each environment, which would necessitate distinct adaptive responses. To determine whether </w:t>
      </w:r>
      <w:r>
        <w:rPr>
          <w:rFonts w:ascii="Arial" w:hAnsi="Arial"/>
          <w:i/>
          <w:iCs/>
          <w:sz w:val="22"/>
          <w:szCs w:val="22"/>
        </w:rPr>
        <w:t>C. difficile</w:t>
      </w:r>
      <w:r>
        <w:rPr>
          <w:rFonts w:ascii="Arial" w:hAnsi="Arial"/>
          <w:sz w:val="22"/>
          <w:szCs w:val="22"/>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rPr>
        <w:t xml:space="preserve">C. difficile </w:t>
      </w:r>
      <w:r>
        <w:rPr>
          <w:rFonts w:ascii="Arial" w:hAnsi="Arial"/>
          <w:sz w:val="22"/>
          <w:szCs w:val="22"/>
        </w:rPr>
        <w:t xml:space="preserve">expression data. In each of the three antibiotic conditions we challenged with </w:t>
      </w:r>
      <w:r>
        <w:rPr>
          <w:rFonts w:ascii="Arial" w:hAnsi="Arial"/>
          <w:i/>
          <w:iCs/>
          <w:sz w:val="22"/>
          <w:szCs w:val="22"/>
        </w:rPr>
        <w:t>C. difficile</w:t>
      </w:r>
      <w:r>
        <w:rPr>
          <w:rFonts w:ascii="Arial" w:hAnsi="Arial"/>
          <w:sz w:val="22"/>
          <w:szCs w:val="22"/>
        </w:rPr>
        <w:t xml:space="preserve">, as well as in germ free mice, we observed that </w:t>
      </w:r>
      <w:r>
        <w:rPr>
          <w:rFonts w:ascii="Arial" w:hAnsi="Arial"/>
          <w:i/>
          <w:iCs/>
          <w:sz w:val="22"/>
          <w:szCs w:val="22"/>
        </w:rPr>
        <w:t xml:space="preserve">C. difficile </w:t>
      </w:r>
      <w:r>
        <w:rPr>
          <w:rFonts w:ascii="Arial" w:hAnsi="Arial"/>
          <w:sz w:val="22"/>
          <w:szCs w:val="22"/>
        </w:rPr>
        <w:t>altered its metabolic gene expression to colonize to high levels and produce varied amounts of toxin.</w:t>
      </w:r>
    </w:p>
    <w:p w14:paraId="171CDDFE" w14:textId="77777777" w:rsidR="004C352D" w:rsidRDefault="004C352D">
      <w:pPr>
        <w:pStyle w:val="Default"/>
        <w:shd w:val="clear" w:color="auto" w:fill="FFFFFF"/>
        <w:spacing w:line="480" w:lineRule="auto"/>
        <w:ind w:firstLine="709"/>
        <w:jc w:val="both"/>
        <w:sectPr w:rsidR="004C352D">
          <w:pgSz w:w="12240" w:h="15840"/>
          <w:pgMar w:top="1134" w:right="1134" w:bottom="1134" w:left="1134" w:header="720" w:footer="720" w:gutter="0"/>
          <w:cols w:space="720"/>
          <w:bidi/>
        </w:sectPr>
      </w:pPr>
    </w:p>
    <w:p w14:paraId="497D14B1" w14:textId="77777777" w:rsidR="004C352D" w:rsidRDefault="00BC6DB8">
      <w:pPr>
        <w:pStyle w:val="Default"/>
        <w:shd w:val="clear" w:color="auto" w:fill="FFFFFF"/>
        <w:spacing w:line="480" w:lineRule="auto"/>
        <w:jc w:val="both"/>
        <w:rPr>
          <w:rFonts w:ascii="Arial" w:eastAsia="Arial" w:hAnsi="Arial" w:cs="Arial"/>
          <w:b/>
          <w:bCs/>
          <w:sz w:val="22"/>
          <w:szCs w:val="22"/>
        </w:rPr>
      </w:pPr>
      <w:r>
        <w:rPr>
          <w:rFonts w:ascii="Arial" w:hAnsi="Arial"/>
          <w:b/>
          <w:bCs/>
          <w:sz w:val="22"/>
          <w:szCs w:val="22"/>
        </w:rPr>
        <w:t>Results</w:t>
      </w:r>
    </w:p>
    <w:p w14:paraId="5E8FA5B6"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 xml:space="preserve">Levels of </w:t>
      </w:r>
      <w:r>
        <w:rPr>
          <w:rFonts w:ascii="Arial" w:hAnsi="Arial"/>
          <w:b/>
          <w:bCs/>
          <w:i/>
          <w:iCs/>
          <w:sz w:val="22"/>
          <w:szCs w:val="22"/>
        </w:rPr>
        <w:t xml:space="preserve">C. difficile </w:t>
      </w:r>
      <w:r>
        <w:rPr>
          <w:rFonts w:ascii="Arial" w:hAnsi="Arial"/>
          <w:b/>
          <w:bCs/>
          <w:sz w:val="22"/>
          <w:szCs w:val="22"/>
        </w:rPr>
        <w:t>sporulation and toxin activity vary between germ free and conventionally-raised mice.</w:t>
      </w:r>
    </w:p>
    <w:p w14:paraId="61969520" w14:textId="57D465FF" w:rsidR="004F0D3E" w:rsidRPr="004F0D3E" w:rsidRDefault="00BC6DB8">
      <w:pPr>
        <w:pStyle w:val="Default"/>
        <w:shd w:val="clear" w:color="auto" w:fill="FFFFFF"/>
        <w:spacing w:line="480" w:lineRule="auto"/>
        <w:jc w:val="both"/>
        <w:rPr>
          <w:rFonts w:ascii="Arial" w:hAnsi="Arial"/>
          <w:sz w:val="22"/>
          <w:szCs w:val="22"/>
        </w:rPr>
      </w:pPr>
      <w:r>
        <w:rPr>
          <w:rFonts w:ascii="Arial" w:eastAsia="Arial" w:hAnsi="Arial" w:cs="Arial"/>
          <w:sz w:val="22"/>
          <w:szCs w:val="22"/>
        </w:rPr>
        <w:tab/>
        <w:t xml:space="preserve">Due to the connection between metabolism and sporulation and toxin production in </w:t>
      </w:r>
      <w:r>
        <w:rPr>
          <w:rFonts w:ascii="Arial" w:hAnsi="Arial"/>
          <w:i/>
          <w:iCs/>
          <w:sz w:val="22"/>
          <w:szCs w:val="22"/>
        </w:rPr>
        <w:t>C. difficile</w:t>
      </w:r>
      <w:r>
        <w:rPr>
          <w:rFonts w:ascii="Arial" w:hAnsi="Arial"/>
          <w:sz w:val="22"/>
          <w:szCs w:val="22"/>
        </w:rPr>
        <w:t xml:space="preserve">, we measured both phenotypes at 18 hours post infection. This time period was selected based on previous work indicating this was a time that would yield the highest number of </w:t>
      </w:r>
      <w:r>
        <w:rPr>
          <w:rFonts w:ascii="Arial" w:hAnsi="Arial"/>
          <w:i/>
          <w:iCs/>
          <w:sz w:val="22"/>
          <w:szCs w:val="22"/>
        </w:rPr>
        <w:t>C. difficile</w:t>
      </w:r>
      <w:r>
        <w:rPr>
          <w:rFonts w:ascii="Arial" w:hAnsi="Arial"/>
          <w:sz w:val="22"/>
          <w:szCs w:val="22"/>
        </w:rPr>
        <w:t xml:space="preserve"> vegetative cells in the cecum relative to the number of spores (Koenigsknecht, 2015). There was not a significant difference in the number of vegetative cells between any susceptible condition tested (all </w:t>
      </w:r>
      <w:r>
        <w:rPr>
          <w:rFonts w:ascii="Arial" w:hAnsi="Arial"/>
          <w:i/>
          <w:iCs/>
          <w:sz w:val="22"/>
          <w:szCs w:val="22"/>
        </w:rPr>
        <w:t>p</w:t>
      </w:r>
      <w:r>
        <w:rPr>
          <w:rFonts w:ascii="Arial" w:hAnsi="Arial"/>
          <w:sz w:val="22"/>
          <w:szCs w:val="22"/>
        </w:rPr>
        <w:t>-values &lt; 0.05; Fig. 1B). All antibiotic treated and gnotobiotic animals were colonized to ~1×10</w:t>
      </w:r>
      <w:r>
        <w:rPr>
          <w:rFonts w:ascii="Arial" w:hAnsi="Arial"/>
          <w:sz w:val="22"/>
          <w:szCs w:val="22"/>
          <w:vertAlign w:val="superscript"/>
        </w:rPr>
        <w:t>8</w:t>
      </w:r>
      <w:r>
        <w:rPr>
          <w:rFonts w:ascii="Arial" w:hAnsi="Arial"/>
          <w:sz w:val="22"/>
          <w:szCs w:val="22"/>
        </w:rPr>
        <w:t xml:space="preserve"> CFU/g content, while untreated conventionally-raised mice maintained colonization resistance to </w:t>
      </w:r>
      <w:r>
        <w:rPr>
          <w:rFonts w:ascii="Arial" w:hAnsi="Arial"/>
          <w:i/>
          <w:iCs/>
          <w:sz w:val="22"/>
          <w:szCs w:val="22"/>
        </w:rPr>
        <w:t>C. difficile</w:t>
      </w:r>
      <w:r>
        <w:rPr>
          <w:rFonts w:ascii="Arial" w:hAnsi="Arial"/>
          <w:sz w:val="22"/>
          <w:szCs w:val="22"/>
        </w:rPr>
        <w:t xml:space="preserve">. Despite having the same number of vegetative </w:t>
      </w:r>
      <w:r>
        <w:rPr>
          <w:rFonts w:ascii="Arial" w:hAnsi="Arial"/>
          <w:i/>
          <w:iCs/>
          <w:sz w:val="22"/>
          <w:szCs w:val="22"/>
        </w:rPr>
        <w:t>C. difficile</w:t>
      </w:r>
      <w:r>
        <w:rPr>
          <w:rFonts w:ascii="Arial" w:hAnsi="Arial"/>
          <w:sz w:val="22"/>
          <w:szCs w:val="22"/>
        </w:rPr>
        <w:t xml:space="preserve"> cells, large differences were detected in the density of </w:t>
      </w:r>
      <w:r>
        <w:rPr>
          <w:rFonts w:ascii="Arial" w:hAnsi="Arial"/>
          <w:i/>
          <w:iCs/>
          <w:sz w:val="22"/>
          <w:szCs w:val="22"/>
        </w:rPr>
        <w:t>C. difficile</w:t>
      </w:r>
      <w:r>
        <w:rPr>
          <w:rFonts w:ascii="Arial" w:hAnsi="Arial"/>
          <w:sz w:val="22"/>
          <w:szCs w:val="22"/>
        </w:rPr>
        <w:t xml:space="preserve"> spores. Significantly more spores (all </w:t>
      </w:r>
      <w:r>
        <w:rPr>
          <w:rFonts w:ascii="Arial" w:hAnsi="Arial"/>
          <w:i/>
          <w:iCs/>
          <w:sz w:val="22"/>
          <w:szCs w:val="22"/>
        </w:rPr>
        <w:t>p</w:t>
      </w:r>
      <w:r>
        <w:rPr>
          <w:rFonts w:ascii="Arial" w:hAnsi="Arial"/>
          <w:sz w:val="22"/>
          <w:szCs w:val="22"/>
        </w:rPr>
        <w:t xml:space="preserve">-values &lt; 0.01) were detected in gnotobiotic mice than in the antibiotic treated mice (Fig. 1C).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iCs/>
          <w:sz w:val="22"/>
          <w:szCs w:val="22"/>
        </w:rPr>
        <w:t>p</w:t>
      </w:r>
      <w:r>
        <w:rPr>
          <w:rFonts w:ascii="Arial" w:hAnsi="Arial"/>
          <w:sz w:val="22"/>
          <w:szCs w:val="22"/>
        </w:rPr>
        <w:t xml:space="preserve">-values &lt; 0.01), but toxin titer also varied between antibiotic treatment groups (Fig. 1D). Although similar toxin titers were found in both the cefoperazone and clindamycin-treated groups, toxin titer was not detectable in the streptomycin-treated animals. These results indicate that </w:t>
      </w:r>
      <w:r>
        <w:rPr>
          <w:rFonts w:ascii="Arial" w:hAnsi="Arial"/>
          <w:i/>
          <w:iCs/>
          <w:sz w:val="22"/>
          <w:szCs w:val="22"/>
        </w:rPr>
        <w:t>C. difficile</w:t>
      </w:r>
      <w:r>
        <w:rPr>
          <w:rFonts w:ascii="Arial" w:hAnsi="Arial"/>
          <w:sz w:val="22"/>
          <w:szCs w:val="22"/>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w:t>
      </w:r>
      <w:r w:rsidR="004F0D3E">
        <w:rPr>
          <w:rFonts w:ascii="Arial" w:hAnsi="Arial"/>
          <w:sz w:val="22"/>
          <w:szCs w:val="22"/>
        </w:rPr>
        <w:t xml:space="preserve"> Because of this, we chose to focus our analysis on the antibiotic-treated conventionally-raised mice.</w:t>
      </w:r>
    </w:p>
    <w:p w14:paraId="576DB0D8" w14:textId="77777777" w:rsidR="004C352D" w:rsidRDefault="004C352D">
      <w:pPr>
        <w:pStyle w:val="Default"/>
        <w:shd w:val="clear" w:color="auto" w:fill="FFFFFF"/>
        <w:spacing w:line="480" w:lineRule="auto"/>
        <w:jc w:val="both"/>
        <w:rPr>
          <w:rFonts w:ascii="Arial" w:eastAsia="Arial" w:hAnsi="Arial" w:cs="Arial"/>
          <w:sz w:val="22"/>
          <w:szCs w:val="22"/>
        </w:rPr>
      </w:pPr>
    </w:p>
    <w:p w14:paraId="26262490" w14:textId="76226D81" w:rsidR="004C352D" w:rsidRDefault="00BC6DB8">
      <w:pPr>
        <w:pStyle w:val="Default"/>
        <w:shd w:val="clear" w:color="auto" w:fill="FFFFFF"/>
        <w:spacing w:line="480" w:lineRule="auto"/>
        <w:jc w:val="both"/>
        <w:rPr>
          <w:rFonts w:ascii="Arial" w:eastAsia="Arial" w:hAnsi="Arial" w:cs="Arial"/>
          <w:sz w:val="22"/>
          <w:szCs w:val="22"/>
        </w:rPr>
      </w:pPr>
      <w:r w:rsidRPr="00254770">
        <w:rPr>
          <w:rFonts w:ascii="Arial" w:hAnsi="Arial"/>
          <w:b/>
          <w:bCs/>
          <w:i/>
          <w:iCs/>
          <w:sz w:val="22"/>
          <w:szCs w:val="22"/>
          <w:highlight w:val="cyan"/>
        </w:rPr>
        <w:t>C. difficile</w:t>
      </w:r>
      <w:r w:rsidRPr="00254770">
        <w:rPr>
          <w:rFonts w:ascii="Arial" w:hAnsi="Arial"/>
          <w:b/>
          <w:bCs/>
          <w:sz w:val="22"/>
          <w:szCs w:val="22"/>
          <w:highlight w:val="cyan"/>
        </w:rPr>
        <w:t xml:space="preserve"> displays flexible expression </w:t>
      </w:r>
      <w:r w:rsidR="00EC08ED" w:rsidRPr="00254770">
        <w:rPr>
          <w:rFonts w:ascii="Arial" w:hAnsi="Arial"/>
          <w:b/>
          <w:bCs/>
          <w:sz w:val="22"/>
          <w:szCs w:val="22"/>
          <w:highlight w:val="cyan"/>
        </w:rPr>
        <w:t xml:space="preserve">genes for sigma factors </w:t>
      </w:r>
      <w:r w:rsidR="00663D78" w:rsidRPr="00254770">
        <w:rPr>
          <w:rFonts w:ascii="Arial" w:hAnsi="Arial"/>
          <w:b/>
          <w:bCs/>
          <w:sz w:val="22"/>
          <w:szCs w:val="22"/>
          <w:highlight w:val="cyan"/>
        </w:rPr>
        <w:t xml:space="preserve">related to metabolism </w:t>
      </w:r>
      <w:r w:rsidR="00EC08ED" w:rsidRPr="00254770">
        <w:rPr>
          <w:rFonts w:ascii="Arial" w:hAnsi="Arial"/>
          <w:b/>
          <w:bCs/>
          <w:sz w:val="22"/>
          <w:szCs w:val="22"/>
          <w:highlight w:val="cyan"/>
        </w:rPr>
        <w:t xml:space="preserve">and </w:t>
      </w:r>
      <w:r w:rsidRPr="00254770">
        <w:rPr>
          <w:rFonts w:ascii="Arial" w:hAnsi="Arial"/>
          <w:b/>
          <w:bCs/>
          <w:sz w:val="22"/>
          <w:szCs w:val="22"/>
          <w:highlight w:val="cyan"/>
        </w:rPr>
        <w:t>pathogenesis across antibiotic pretreatments.</w:t>
      </w:r>
    </w:p>
    <w:p w14:paraId="6D04D047" w14:textId="18791DB2" w:rsidR="004F0D3E" w:rsidRDefault="00BC6DB8">
      <w:pPr>
        <w:pStyle w:val="Default"/>
        <w:shd w:val="clear" w:color="auto" w:fill="FFFFFF"/>
        <w:spacing w:line="480" w:lineRule="auto"/>
        <w:jc w:val="both"/>
        <w:rPr>
          <w:rFonts w:ascii="Arial" w:hAnsi="Arial"/>
          <w:sz w:val="22"/>
          <w:szCs w:val="22"/>
        </w:rPr>
      </w:pPr>
      <w:r>
        <w:rPr>
          <w:rFonts w:ascii="Arial" w:eastAsia="Arial" w:hAnsi="Arial" w:cs="Arial"/>
          <w:sz w:val="22"/>
          <w:szCs w:val="22"/>
        </w:rPr>
        <w:tab/>
        <w:t xml:space="preserve">To more closely investigate the responses of </w:t>
      </w:r>
      <w:r>
        <w:rPr>
          <w:rFonts w:ascii="Arial" w:hAnsi="Arial"/>
          <w:i/>
          <w:iCs/>
          <w:sz w:val="22"/>
          <w:szCs w:val="22"/>
        </w:rPr>
        <w:t>C. difficile</w:t>
      </w:r>
      <w:r>
        <w:rPr>
          <w:rFonts w:ascii="Arial" w:hAnsi="Arial"/>
          <w:sz w:val="22"/>
          <w:szCs w:val="22"/>
        </w:rPr>
        <w:t xml:space="preserve"> to colonizing distinct susceptible gut environments, we performed whole transcriptome analysis of </w:t>
      </w:r>
      <w:r>
        <w:rPr>
          <w:rFonts w:ascii="Arial" w:hAnsi="Arial"/>
          <w:i/>
          <w:iCs/>
          <w:sz w:val="22"/>
          <w:szCs w:val="22"/>
        </w:rPr>
        <w:t>C. difficile</w:t>
      </w:r>
      <w:r>
        <w:rPr>
          <w:rFonts w:ascii="Arial" w:hAnsi="Arial"/>
          <w:sz w:val="22"/>
          <w:szCs w:val="22"/>
        </w:rPr>
        <w:t xml:space="preserve"> during infection of the antibiotic pretreatment models.</w:t>
      </w:r>
      <w:r w:rsidR="004F0D3E">
        <w:rPr>
          <w:rFonts w:ascii="Arial" w:hAnsi="Arial"/>
          <w:sz w:val="22"/>
          <w:szCs w:val="22"/>
        </w:rPr>
        <w:t xml:space="preserve"> To narrow our analysis of the transcriptomic data, we chose to focus on genes that code for sigma factors, sporulation, pathogenesis, and quorum sensing.</w:t>
      </w:r>
    </w:p>
    <w:p w14:paraId="09BCD75F" w14:textId="0E7582C2" w:rsidR="004C352D" w:rsidRPr="004F0D3E" w:rsidRDefault="004F0D3E" w:rsidP="00976C54">
      <w:pPr>
        <w:pStyle w:val="Default"/>
        <w:shd w:val="clear" w:color="auto" w:fill="FFFFFF"/>
        <w:spacing w:line="480" w:lineRule="auto"/>
        <w:ind w:firstLine="709"/>
        <w:jc w:val="both"/>
        <w:rPr>
          <w:rFonts w:ascii="Arial" w:hAnsi="Arial"/>
          <w:sz w:val="22"/>
          <w:szCs w:val="22"/>
        </w:rPr>
      </w:pPr>
      <w:r w:rsidRPr="00976C54">
        <w:rPr>
          <w:rFonts w:ascii="Arial" w:eastAsia="Arial" w:hAnsi="Arial" w:cs="Arial"/>
          <w:i/>
          <w:sz w:val="22"/>
          <w:szCs w:val="22"/>
        </w:rPr>
        <w:t>C. difficile</w:t>
      </w:r>
      <w:r>
        <w:rPr>
          <w:rFonts w:ascii="Arial" w:eastAsia="Arial" w:hAnsi="Arial" w:cs="Arial"/>
          <w:sz w:val="22"/>
          <w:szCs w:val="22"/>
        </w:rPr>
        <w:t xml:space="preserve"> sigma factors </w:t>
      </w:r>
      <w:r w:rsidR="00976C54">
        <w:rPr>
          <w:rFonts w:ascii="Arial" w:eastAsia="Arial" w:hAnsi="Arial" w:cs="Arial"/>
          <w:sz w:val="22"/>
          <w:szCs w:val="22"/>
        </w:rPr>
        <w:t xml:space="preserve">are the master regulators of transcription and a subset have been shown to respond to </w:t>
      </w:r>
      <w:r w:rsidR="00BC6DB8">
        <w:rPr>
          <w:rFonts w:ascii="Arial" w:eastAsia="Arial" w:hAnsi="Arial" w:cs="Arial"/>
          <w:sz w:val="22"/>
          <w:szCs w:val="22"/>
        </w:rPr>
        <w:t>environment</w:t>
      </w:r>
      <w:r w:rsidR="00976C54">
        <w:rPr>
          <w:rFonts w:ascii="Arial" w:eastAsia="Arial" w:hAnsi="Arial" w:cs="Arial"/>
          <w:sz w:val="22"/>
          <w:szCs w:val="22"/>
        </w:rPr>
        <w:t>al nutrient concentrations (</w:t>
      </w:r>
      <w:r w:rsidR="00976C54" w:rsidRPr="00976C54">
        <w:rPr>
          <w:rFonts w:ascii="Arial" w:eastAsia="Arial" w:hAnsi="Arial" w:cs="Arial"/>
          <w:sz w:val="22"/>
          <w:szCs w:val="22"/>
          <w:highlight w:val="yellow"/>
        </w:rPr>
        <w:t>references</w:t>
      </w:r>
      <w:r w:rsidR="00976C54">
        <w:rPr>
          <w:rFonts w:ascii="Arial" w:eastAsia="Arial" w:hAnsi="Arial" w:cs="Arial"/>
          <w:sz w:val="22"/>
          <w:szCs w:val="22"/>
        </w:rPr>
        <w:t>)</w:t>
      </w:r>
      <w:r w:rsidR="00BC6DB8">
        <w:rPr>
          <w:rFonts w:ascii="Arial" w:hAnsi="Arial"/>
          <w:sz w:val="22"/>
          <w:szCs w:val="22"/>
        </w:rPr>
        <w:t xml:space="preserve">. The global nutritional regulator </w:t>
      </w:r>
      <w:r w:rsidR="00BC6DB8">
        <w:rPr>
          <w:rFonts w:ascii="Arial" w:hAnsi="Arial"/>
          <w:i/>
          <w:iCs/>
          <w:sz w:val="22"/>
          <w:szCs w:val="22"/>
        </w:rPr>
        <w:t>codY</w:t>
      </w:r>
      <w:r w:rsidR="00BC6DB8">
        <w:rPr>
          <w:rFonts w:ascii="Arial" w:hAnsi="Arial"/>
          <w:sz w:val="22"/>
          <w:szCs w:val="22"/>
        </w:rPr>
        <w:t xml:space="preserve"> transcript was highly </w:t>
      </w:r>
      <w:r w:rsidR="00976C54">
        <w:rPr>
          <w:rFonts w:ascii="Arial" w:hAnsi="Arial"/>
          <w:sz w:val="22"/>
          <w:szCs w:val="22"/>
        </w:rPr>
        <w:t xml:space="preserve">expressed </w:t>
      </w:r>
      <w:r w:rsidR="00BC6DB8">
        <w:rPr>
          <w:rFonts w:ascii="Arial" w:hAnsi="Arial"/>
          <w:sz w:val="22"/>
          <w:szCs w:val="22"/>
        </w:rPr>
        <w:t>in each condition, despite apparent differences in toxin and spore production</w:t>
      </w:r>
      <w:r w:rsidR="00976C54">
        <w:rPr>
          <w:rFonts w:ascii="Arial" w:hAnsi="Arial"/>
          <w:sz w:val="22"/>
          <w:szCs w:val="22"/>
        </w:rPr>
        <w:t xml:space="preserve"> (Fig. 2A)</w:t>
      </w:r>
      <w:r w:rsidR="00BC6DB8">
        <w:rPr>
          <w:rFonts w:ascii="Arial" w:hAnsi="Arial"/>
          <w:sz w:val="22"/>
          <w:szCs w:val="22"/>
        </w:rPr>
        <w:t xml:space="preserve">. Canonically, </w:t>
      </w:r>
      <w:r w:rsidR="00BC6DB8">
        <w:rPr>
          <w:rFonts w:ascii="Arial" w:hAnsi="Arial"/>
          <w:i/>
          <w:iCs/>
          <w:sz w:val="22"/>
          <w:szCs w:val="22"/>
        </w:rPr>
        <w:t>codY</w:t>
      </w:r>
      <w:r w:rsidR="00BC6DB8">
        <w:rPr>
          <w:rFonts w:ascii="Arial" w:hAnsi="Arial"/>
          <w:sz w:val="22"/>
          <w:szCs w:val="22"/>
        </w:rPr>
        <w:t xml:space="preserve"> is a strong negative regulator of </w:t>
      </w:r>
      <w:r w:rsidR="00976C54">
        <w:rPr>
          <w:rFonts w:ascii="Arial" w:hAnsi="Arial"/>
          <w:sz w:val="22"/>
          <w:szCs w:val="22"/>
        </w:rPr>
        <w:t>toxin production and sporulation</w:t>
      </w:r>
      <w:r w:rsidR="00BC6DB8">
        <w:rPr>
          <w:rFonts w:ascii="Arial" w:hAnsi="Arial"/>
          <w:sz w:val="22"/>
          <w:szCs w:val="22"/>
        </w:rPr>
        <w:t xml:space="preserve"> (Bouillaut, 2015) and could demonstrate a more complex regulatory network as </w:t>
      </w:r>
      <w:r w:rsidR="00BC6DB8">
        <w:rPr>
          <w:rFonts w:ascii="Arial" w:hAnsi="Arial"/>
          <w:i/>
          <w:iCs/>
          <w:sz w:val="22"/>
          <w:szCs w:val="22"/>
        </w:rPr>
        <w:t>C. difficile</w:t>
      </w:r>
      <w:r w:rsidR="00BC6DB8">
        <w:rPr>
          <w:rFonts w:ascii="Arial" w:hAnsi="Arial"/>
          <w:sz w:val="22"/>
          <w:szCs w:val="22"/>
        </w:rPr>
        <w:t xml:space="preserve"> integrates multiple environment nutrient signals. Save for a few instances, it appeared that expression the sigma factors of interest were generally higher in cefoperazone-treated animals. The largest contrasts were seen in expression of </w:t>
      </w:r>
      <w:r w:rsidR="00BC6DB8">
        <w:rPr>
          <w:rFonts w:ascii="Arial" w:hAnsi="Arial"/>
          <w:i/>
          <w:iCs/>
          <w:sz w:val="22"/>
          <w:szCs w:val="22"/>
        </w:rPr>
        <w:t>sigE</w:t>
      </w:r>
      <w:r w:rsidR="00BC6DB8">
        <w:rPr>
          <w:rFonts w:ascii="Arial" w:hAnsi="Arial"/>
          <w:sz w:val="22"/>
          <w:szCs w:val="22"/>
        </w:rPr>
        <w:t xml:space="preserve">, </w:t>
      </w:r>
      <w:r w:rsidR="00BC6DB8">
        <w:rPr>
          <w:rFonts w:ascii="Arial" w:hAnsi="Arial"/>
          <w:i/>
          <w:iCs/>
          <w:sz w:val="22"/>
          <w:szCs w:val="22"/>
        </w:rPr>
        <w:t>sigG</w:t>
      </w:r>
      <w:r w:rsidR="00BC6DB8">
        <w:rPr>
          <w:rFonts w:ascii="Arial" w:hAnsi="Arial"/>
          <w:sz w:val="22"/>
          <w:szCs w:val="22"/>
        </w:rPr>
        <w:t xml:space="preserve">, and </w:t>
      </w:r>
      <w:r w:rsidR="00BC6DB8">
        <w:rPr>
          <w:rFonts w:ascii="Arial" w:hAnsi="Arial"/>
          <w:i/>
          <w:iCs/>
          <w:sz w:val="22"/>
          <w:szCs w:val="22"/>
        </w:rPr>
        <w:t>sigK</w:t>
      </w:r>
      <w:r w:rsidR="00E5207C">
        <w:rPr>
          <w:rFonts w:ascii="Arial" w:hAnsi="Arial"/>
          <w:i/>
          <w:iCs/>
          <w:sz w:val="22"/>
          <w:szCs w:val="22"/>
        </w:rPr>
        <w:t xml:space="preserve">, which are involved in sporulation and </w:t>
      </w:r>
      <w:r w:rsidR="00BC6DB8">
        <w:rPr>
          <w:rFonts w:ascii="Arial" w:hAnsi="Arial"/>
          <w:sz w:val="22"/>
          <w:szCs w:val="22"/>
        </w:rPr>
        <w:t>were approximately 10-fold less expressed in c</w:t>
      </w:r>
      <w:r w:rsidR="00E5207C">
        <w:rPr>
          <w:rFonts w:ascii="Arial" w:hAnsi="Arial"/>
          <w:sz w:val="22"/>
          <w:szCs w:val="22"/>
        </w:rPr>
        <w:t xml:space="preserve">efoperazone than the others </w:t>
      </w:r>
      <w:r w:rsidR="00BC6DB8">
        <w:rPr>
          <w:rFonts w:ascii="Arial" w:hAnsi="Arial"/>
          <w:sz w:val="22"/>
          <w:szCs w:val="22"/>
        </w:rPr>
        <w:t>(Donnelly, 2016; Fimlaid, 2013). This agrees with the measured differences in CFU due to spores (Fig. 1C) where cefoperazone pretreatment resulted in delayed sporulation.</w:t>
      </w:r>
    </w:p>
    <w:p w14:paraId="2C9F1302"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To further investigate the discrepancies in sporulation, we chose to quantify specific changes in expression within the </w:t>
      </w:r>
      <w:r>
        <w:rPr>
          <w:rFonts w:ascii="Arial" w:hAnsi="Arial"/>
          <w:i/>
          <w:iCs/>
          <w:sz w:val="22"/>
          <w:szCs w:val="22"/>
        </w:rPr>
        <w:t>C. difficile</w:t>
      </w:r>
      <w:r>
        <w:rPr>
          <w:rFonts w:ascii="Arial" w:hAnsi="Arial"/>
          <w:sz w:val="22"/>
          <w:szCs w:val="22"/>
        </w:rPr>
        <w:t xml:space="preserve"> sporulation pathway (Fig. 2B). The gene list was derived from Saujet et. al., 2014 where the authors reviewed the complex cascade of regulation that occurs as </w:t>
      </w:r>
      <w:r>
        <w:rPr>
          <w:rFonts w:ascii="Arial" w:hAnsi="Arial"/>
          <w:i/>
          <w:iCs/>
          <w:sz w:val="22"/>
          <w:szCs w:val="22"/>
        </w:rPr>
        <w:t>C. difficile</w:t>
      </w:r>
      <w:r>
        <w:rPr>
          <w:rFonts w:ascii="Arial" w:hAnsi="Arial"/>
          <w:sz w:val="22"/>
          <w:szCs w:val="22"/>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iCs/>
          <w:sz w:val="22"/>
          <w:szCs w:val="22"/>
        </w:rPr>
        <w:t>C. difficile</w:t>
      </w:r>
      <w:r>
        <w:rPr>
          <w:rFonts w:ascii="Arial" w:hAnsi="Arial"/>
          <w:sz w:val="22"/>
          <w:szCs w:val="22"/>
        </w:rPr>
        <w:t xml:space="preserve"> highly expresses a number of putative anti-sigma factors including </w:t>
      </w:r>
      <w:r>
        <w:rPr>
          <w:rFonts w:ascii="Arial" w:hAnsi="Arial"/>
          <w:i/>
          <w:iCs/>
          <w:sz w:val="22"/>
          <w:szCs w:val="22"/>
        </w:rPr>
        <w:t>spoIIAA,</w:t>
      </w:r>
      <w:r>
        <w:rPr>
          <w:rFonts w:ascii="Arial" w:hAnsi="Arial"/>
          <w:sz w:val="22"/>
          <w:szCs w:val="22"/>
        </w:rPr>
        <w:t xml:space="preserve"> </w:t>
      </w:r>
      <w:r>
        <w:rPr>
          <w:rFonts w:ascii="Arial" w:hAnsi="Arial"/>
          <w:i/>
          <w:iCs/>
          <w:sz w:val="22"/>
          <w:szCs w:val="22"/>
        </w:rPr>
        <w:t>spoIIAB,</w:t>
      </w:r>
      <w:r>
        <w:rPr>
          <w:rFonts w:ascii="Arial" w:hAnsi="Arial"/>
          <w:sz w:val="22"/>
          <w:szCs w:val="22"/>
        </w:rPr>
        <w:t xml:space="preserve"> and </w:t>
      </w:r>
      <w:r>
        <w:rPr>
          <w:rFonts w:ascii="Arial" w:hAnsi="Arial"/>
          <w:i/>
          <w:iCs/>
          <w:sz w:val="22"/>
          <w:szCs w:val="22"/>
        </w:rPr>
        <w:t>spoVG</w:t>
      </w:r>
      <w:r>
        <w:rPr>
          <w:rFonts w:ascii="Arial" w:hAnsi="Arial"/>
          <w:sz w:val="22"/>
          <w:szCs w:val="22"/>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iCs/>
          <w:sz w:val="22"/>
          <w:szCs w:val="22"/>
        </w:rPr>
        <w:t>cotD</w:t>
      </w:r>
      <w:r>
        <w:rPr>
          <w:rFonts w:ascii="Arial" w:hAnsi="Arial"/>
          <w:sz w:val="22"/>
          <w:szCs w:val="22"/>
        </w:rPr>
        <w:t xml:space="preserve">, </w:t>
      </w:r>
      <w:r>
        <w:rPr>
          <w:rFonts w:ascii="Arial" w:hAnsi="Arial"/>
          <w:i/>
          <w:iCs/>
          <w:sz w:val="22"/>
          <w:szCs w:val="22"/>
        </w:rPr>
        <w:t>cotJB2</w:t>
      </w:r>
      <w:r>
        <w:rPr>
          <w:rFonts w:ascii="Arial" w:hAnsi="Arial"/>
          <w:sz w:val="22"/>
          <w:szCs w:val="22"/>
        </w:rPr>
        <w:t xml:space="preserve">, </w:t>
      </w:r>
      <w:r>
        <w:rPr>
          <w:rFonts w:ascii="Arial" w:hAnsi="Arial"/>
          <w:i/>
          <w:iCs/>
          <w:sz w:val="22"/>
          <w:szCs w:val="22"/>
        </w:rPr>
        <w:t>dpaA</w:t>
      </w:r>
      <w:r>
        <w:rPr>
          <w:rFonts w:ascii="Arial" w:hAnsi="Arial"/>
          <w:sz w:val="22"/>
          <w:szCs w:val="22"/>
        </w:rPr>
        <w:t xml:space="preserve">, </w:t>
      </w:r>
      <w:r>
        <w:rPr>
          <w:rFonts w:ascii="Arial" w:hAnsi="Arial"/>
          <w:i/>
          <w:iCs/>
          <w:sz w:val="22"/>
          <w:szCs w:val="22"/>
        </w:rPr>
        <w:t>gpr</w:t>
      </w:r>
      <w:r>
        <w:rPr>
          <w:rFonts w:ascii="Arial" w:hAnsi="Arial"/>
          <w:sz w:val="22"/>
          <w:szCs w:val="22"/>
        </w:rPr>
        <w:t xml:space="preserve">, </w:t>
      </w:r>
      <w:r>
        <w:rPr>
          <w:rFonts w:ascii="Arial" w:hAnsi="Arial"/>
          <w:i/>
          <w:iCs/>
          <w:sz w:val="22"/>
          <w:szCs w:val="22"/>
        </w:rPr>
        <w:t>sodA</w:t>
      </w:r>
      <w:r>
        <w:rPr>
          <w:rFonts w:ascii="Arial" w:hAnsi="Arial"/>
          <w:sz w:val="22"/>
          <w:szCs w:val="22"/>
        </w:rPr>
        <w:t xml:space="preserve">, </w:t>
      </w:r>
      <w:r>
        <w:rPr>
          <w:rFonts w:ascii="Arial" w:hAnsi="Arial"/>
          <w:i/>
          <w:iCs/>
          <w:sz w:val="22"/>
          <w:szCs w:val="22"/>
        </w:rPr>
        <w:t>spoIVA</w:t>
      </w:r>
      <w:r>
        <w:rPr>
          <w:rFonts w:ascii="Arial" w:hAnsi="Arial"/>
          <w:sz w:val="22"/>
          <w:szCs w:val="22"/>
        </w:rPr>
        <w:t xml:space="preserve">, </w:t>
      </w:r>
      <w:r>
        <w:rPr>
          <w:rFonts w:ascii="Arial" w:hAnsi="Arial"/>
          <w:i/>
          <w:iCs/>
          <w:sz w:val="22"/>
          <w:szCs w:val="22"/>
        </w:rPr>
        <w:t>sspB</w:t>
      </w:r>
      <w:r>
        <w:rPr>
          <w:rFonts w:ascii="Arial" w:hAnsi="Arial"/>
          <w:sz w:val="22"/>
          <w:szCs w:val="22"/>
        </w:rPr>
        <w:t>), all associated with later sporulation stages (Permpoonpattan, 2013). These results further reinforce the connections previously made to the differences seen in spore-specific CFU quantification.</w:t>
      </w:r>
    </w:p>
    <w:p w14:paraId="6DA8EFBE"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Along with sporulation, expression of PaLoc genes has been linked to changes in the nutrients that can be found in the environment of </w:t>
      </w:r>
      <w:r>
        <w:rPr>
          <w:rFonts w:ascii="Arial" w:hAnsi="Arial"/>
          <w:i/>
          <w:iCs/>
          <w:sz w:val="22"/>
          <w:szCs w:val="22"/>
        </w:rPr>
        <w:t>C. difficil</w:t>
      </w:r>
      <w:r>
        <w:rPr>
          <w:rFonts w:ascii="Arial" w:hAnsi="Arial"/>
          <w:sz w:val="22"/>
          <w:szCs w:val="22"/>
        </w:rPr>
        <w:t xml:space="preserve">e (Fig. 2C). We found approximately 3-fold higher expression of the toxin A gene, </w:t>
      </w:r>
      <w:r>
        <w:rPr>
          <w:rFonts w:ascii="Arial" w:hAnsi="Arial"/>
          <w:i/>
          <w:iCs/>
          <w:sz w:val="22"/>
          <w:szCs w:val="22"/>
        </w:rPr>
        <w:t>tcdA</w:t>
      </w:r>
      <w:r>
        <w:rPr>
          <w:rFonts w:ascii="Arial" w:hAnsi="Arial"/>
          <w:sz w:val="22"/>
          <w:szCs w:val="22"/>
        </w:rPr>
        <w:t xml:space="preserve">, than the toxin B gene, </w:t>
      </w:r>
      <w:r>
        <w:rPr>
          <w:rFonts w:ascii="Arial" w:hAnsi="Arial"/>
          <w:i/>
          <w:iCs/>
          <w:sz w:val="22"/>
          <w:szCs w:val="22"/>
        </w:rPr>
        <w:t>tcdB</w:t>
      </w:r>
      <w:r>
        <w:rPr>
          <w:rFonts w:ascii="Arial" w:hAnsi="Arial"/>
          <w:sz w:val="22"/>
          <w:szCs w:val="22"/>
        </w:rPr>
        <w:t xml:space="preserve">, across all pretreatments. This relationship has long been known to exist at least </w:t>
      </w:r>
      <w:r>
        <w:rPr>
          <w:rFonts w:ascii="Arial" w:hAnsi="Arial"/>
          <w:i/>
          <w:iCs/>
          <w:sz w:val="22"/>
          <w:szCs w:val="22"/>
        </w:rPr>
        <w:t>in vitro</w:t>
      </w:r>
      <w:r>
        <w:rPr>
          <w:rFonts w:ascii="Arial" w:hAnsi="Arial"/>
          <w:sz w:val="22"/>
          <w:szCs w:val="22"/>
        </w:rPr>
        <w:t xml:space="preserve"> with another strain of </w:t>
      </w:r>
      <w:r>
        <w:rPr>
          <w:rFonts w:ascii="Arial" w:hAnsi="Arial"/>
          <w:i/>
          <w:iCs/>
          <w:sz w:val="22"/>
          <w:szCs w:val="22"/>
        </w:rPr>
        <w:t>C. difficile</w:t>
      </w:r>
      <w:r>
        <w:rPr>
          <w:rFonts w:ascii="Arial" w:hAnsi="Arial"/>
          <w:sz w:val="22"/>
          <w:szCs w:val="22"/>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iCs/>
          <w:sz w:val="22"/>
          <w:szCs w:val="22"/>
        </w:rPr>
        <w:t>tcdC</w:t>
      </w:r>
      <w:r>
        <w:rPr>
          <w:rFonts w:ascii="Arial" w:hAnsi="Arial"/>
          <w:sz w:val="22"/>
          <w:szCs w:val="22"/>
        </w:rPr>
        <w:t xml:space="preserve"> (negatively regulating anti-sigma factor) and </w:t>
      </w:r>
      <w:r>
        <w:rPr>
          <w:rFonts w:ascii="Arial" w:hAnsi="Arial"/>
          <w:i/>
          <w:iCs/>
          <w:sz w:val="22"/>
          <w:szCs w:val="22"/>
        </w:rPr>
        <w:t>tcdR</w:t>
      </w:r>
      <w:r>
        <w:rPr>
          <w:rFonts w:ascii="Arial" w:hAnsi="Arial"/>
          <w:sz w:val="22"/>
          <w:szCs w:val="22"/>
        </w:rPr>
        <w:t xml:space="preserve"> (positive regulating sigma factor) (Carter, 2012). Between both genes, only </w:t>
      </w:r>
      <w:r>
        <w:rPr>
          <w:rFonts w:ascii="Arial" w:hAnsi="Arial"/>
          <w:i/>
          <w:iCs/>
          <w:sz w:val="22"/>
          <w:szCs w:val="22"/>
        </w:rPr>
        <w:t>tcdC</w:t>
      </w:r>
      <w:r>
        <w:rPr>
          <w:rFonts w:ascii="Arial" w:hAnsi="Arial"/>
          <w:sz w:val="22"/>
          <w:szCs w:val="22"/>
        </w:rPr>
        <w:t xml:space="preserve"> transcript was detectable at 10-fold greater abundance than that of </w:t>
      </w:r>
      <w:r>
        <w:rPr>
          <w:rFonts w:ascii="Arial" w:hAnsi="Arial"/>
          <w:i/>
          <w:iCs/>
          <w:sz w:val="22"/>
          <w:szCs w:val="22"/>
        </w:rPr>
        <w:t>tcdR</w:t>
      </w:r>
      <w:r>
        <w:rPr>
          <w:rFonts w:ascii="Arial" w:hAnsi="Arial"/>
          <w:sz w:val="22"/>
          <w:szCs w:val="22"/>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iCs/>
          <w:sz w:val="22"/>
          <w:szCs w:val="22"/>
        </w:rPr>
        <w:t>tcdE</w:t>
      </w:r>
      <w:r>
        <w:rPr>
          <w:rFonts w:ascii="Arial" w:hAnsi="Arial"/>
          <w:sz w:val="22"/>
          <w:szCs w:val="22"/>
        </w:rPr>
        <w:t xml:space="preserve">, the gene for a holin-like protein associated with </w:t>
      </w:r>
      <w:r>
        <w:rPr>
          <w:rFonts w:ascii="Arial" w:hAnsi="Arial"/>
          <w:i/>
          <w:iCs/>
          <w:sz w:val="22"/>
          <w:szCs w:val="22"/>
        </w:rPr>
        <w:t>C. difficile</w:t>
      </w:r>
      <w:r>
        <w:rPr>
          <w:rFonts w:ascii="Arial" w:hAnsi="Arial"/>
          <w:sz w:val="22"/>
          <w:szCs w:val="22"/>
        </w:rPr>
        <w:t xml:space="preserve"> toxin secretion, was only detectable in cefoperazone pretreatment. Mutants for this gene have been associated with impaired toxin secretion and low </w:t>
      </w:r>
      <w:r>
        <w:rPr>
          <w:rFonts w:ascii="Arial" w:hAnsi="Arial"/>
          <w:i/>
          <w:iCs/>
          <w:sz w:val="22"/>
          <w:szCs w:val="22"/>
        </w:rPr>
        <w:t>in vivo</w:t>
      </w:r>
      <w:r>
        <w:rPr>
          <w:rFonts w:ascii="Arial" w:hAnsi="Arial"/>
          <w:sz w:val="22"/>
          <w:szCs w:val="22"/>
        </w:rPr>
        <w:t xml:space="preserve"> expression of </w:t>
      </w:r>
      <w:r>
        <w:rPr>
          <w:rFonts w:ascii="Arial" w:hAnsi="Arial"/>
          <w:i/>
          <w:iCs/>
          <w:sz w:val="22"/>
          <w:szCs w:val="22"/>
        </w:rPr>
        <w:t>tcdE</w:t>
      </w:r>
      <w:r>
        <w:rPr>
          <w:rFonts w:ascii="Arial" w:hAnsi="Arial"/>
          <w:sz w:val="22"/>
          <w:szCs w:val="22"/>
        </w:rPr>
        <w:t xml:space="preserve"> may partially explain the historically lowered virulence of </w:t>
      </w:r>
      <w:r>
        <w:rPr>
          <w:rFonts w:ascii="Arial" w:hAnsi="Arial"/>
          <w:i/>
          <w:iCs/>
          <w:sz w:val="22"/>
          <w:szCs w:val="22"/>
        </w:rPr>
        <w:t>C. difficile</w:t>
      </w:r>
      <w:r>
        <w:rPr>
          <w:rFonts w:ascii="Arial" w:hAnsi="Arial"/>
          <w:sz w:val="22"/>
          <w:szCs w:val="22"/>
        </w:rPr>
        <w:t xml:space="preserve"> str. 630 (Theriot, 2011).</w:t>
      </w:r>
    </w:p>
    <w:p w14:paraId="050238D3"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Given that many of the differences in expression dynamics seen may also be due to variations in bacterial quorum sensing, we went on to measure transcription of known quorum sensing genes in </w:t>
      </w:r>
      <w:r>
        <w:rPr>
          <w:rFonts w:ascii="Arial" w:hAnsi="Arial"/>
          <w:i/>
          <w:iCs/>
          <w:sz w:val="22"/>
          <w:szCs w:val="22"/>
        </w:rPr>
        <w:t>C. difficile</w:t>
      </w:r>
      <w:r>
        <w:rPr>
          <w:rFonts w:ascii="Arial" w:hAnsi="Arial"/>
          <w:sz w:val="22"/>
          <w:szCs w:val="22"/>
        </w:rPr>
        <w:t xml:space="preserve"> (Fig. 2D). These systems have been linked to the lifestyle switch from growth/division to virulence/transmission of </w:t>
      </w:r>
      <w:r>
        <w:rPr>
          <w:rFonts w:ascii="Arial" w:hAnsi="Arial"/>
          <w:i/>
          <w:iCs/>
          <w:sz w:val="22"/>
          <w:szCs w:val="22"/>
        </w:rPr>
        <w:t>C. difficile</w:t>
      </w:r>
      <w:r>
        <w:rPr>
          <w:rFonts w:ascii="Arial" w:hAnsi="Arial"/>
          <w:sz w:val="22"/>
          <w:szCs w:val="22"/>
        </w:rPr>
        <w:t xml:space="preserve"> (Darkoh, 2015; Carter, 2005). Transcripts for </w:t>
      </w:r>
      <w:r>
        <w:rPr>
          <w:rFonts w:ascii="Arial" w:hAnsi="Arial"/>
          <w:i/>
          <w:iCs/>
          <w:sz w:val="22"/>
          <w:szCs w:val="22"/>
        </w:rPr>
        <w:t>agrB</w:t>
      </w:r>
      <w:r>
        <w:rPr>
          <w:rFonts w:ascii="Arial" w:hAnsi="Arial"/>
          <w:sz w:val="22"/>
          <w:szCs w:val="22"/>
        </w:rPr>
        <w:t xml:space="preserve">, </w:t>
      </w:r>
      <w:r>
        <w:rPr>
          <w:rFonts w:ascii="Arial" w:hAnsi="Arial"/>
          <w:i/>
          <w:iCs/>
          <w:sz w:val="22"/>
          <w:szCs w:val="22"/>
        </w:rPr>
        <w:t>agrD</w:t>
      </w:r>
      <w:r>
        <w:rPr>
          <w:rFonts w:ascii="Arial" w:hAnsi="Arial"/>
          <w:sz w:val="22"/>
          <w:szCs w:val="22"/>
        </w:rPr>
        <w:t xml:space="preserve">, and </w:t>
      </w:r>
      <w:r>
        <w:rPr>
          <w:rFonts w:ascii="Arial" w:hAnsi="Arial"/>
          <w:i/>
          <w:iCs/>
          <w:sz w:val="22"/>
          <w:szCs w:val="22"/>
        </w:rPr>
        <w:t>luxS</w:t>
      </w:r>
      <w:r>
        <w:rPr>
          <w:rFonts w:ascii="Arial" w:hAnsi="Arial"/>
          <w:sz w:val="22"/>
          <w:szCs w:val="22"/>
        </w:rPr>
        <w:t xml:space="preserve"> were found at nearly equivalent levels across all antibiotic pretreatments. This illustrated that the observed changes in phenotype and expression may not be directly due to changes in the levels of </w:t>
      </w:r>
      <w:r>
        <w:rPr>
          <w:rFonts w:ascii="Arial" w:hAnsi="Arial"/>
          <w:i/>
          <w:iCs/>
          <w:sz w:val="22"/>
          <w:szCs w:val="22"/>
        </w:rPr>
        <w:t>C. difficile</w:t>
      </w:r>
      <w:r>
        <w:rPr>
          <w:rFonts w:ascii="Arial" w:hAnsi="Arial"/>
          <w:sz w:val="22"/>
          <w:szCs w:val="22"/>
        </w:rPr>
        <w:t xml:space="preserve"> quorum sensing occurring.</w:t>
      </w:r>
    </w:p>
    <w:p w14:paraId="414AA03D" w14:textId="77777777" w:rsidR="004C352D" w:rsidRDefault="004C352D">
      <w:pPr>
        <w:pStyle w:val="Default"/>
        <w:shd w:val="clear" w:color="auto" w:fill="FFFFFF"/>
        <w:spacing w:line="480" w:lineRule="auto"/>
        <w:jc w:val="both"/>
        <w:rPr>
          <w:rFonts w:ascii="Arial" w:eastAsia="Arial" w:hAnsi="Arial" w:cs="Arial"/>
          <w:sz w:val="22"/>
          <w:szCs w:val="22"/>
        </w:rPr>
      </w:pPr>
    </w:p>
    <w:p w14:paraId="66F216BB" w14:textId="4A8748AB"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 xml:space="preserve">Genes sets from multiple </w:t>
      </w:r>
      <w:r>
        <w:rPr>
          <w:rFonts w:ascii="Arial" w:hAnsi="Arial"/>
          <w:b/>
          <w:bCs/>
          <w:i/>
          <w:iCs/>
          <w:sz w:val="22"/>
          <w:szCs w:val="22"/>
        </w:rPr>
        <w:t>C. difficile</w:t>
      </w:r>
      <w:r>
        <w:rPr>
          <w:rFonts w:ascii="Arial" w:hAnsi="Arial"/>
          <w:b/>
          <w:bCs/>
          <w:sz w:val="22"/>
          <w:szCs w:val="22"/>
        </w:rPr>
        <w:t xml:space="preserve"> </w:t>
      </w:r>
      <w:r w:rsidR="00BB4251">
        <w:rPr>
          <w:rFonts w:ascii="Arial" w:hAnsi="Arial"/>
          <w:b/>
          <w:bCs/>
          <w:sz w:val="22"/>
          <w:szCs w:val="22"/>
        </w:rPr>
        <w:t xml:space="preserve">metabolic </w:t>
      </w:r>
      <w:r>
        <w:rPr>
          <w:rFonts w:ascii="Arial" w:hAnsi="Arial"/>
          <w:b/>
          <w:bCs/>
          <w:sz w:val="22"/>
          <w:szCs w:val="22"/>
        </w:rPr>
        <w:t>pathways are differentially expressed between colonized environments.</w:t>
      </w:r>
    </w:p>
    <w:p w14:paraId="3DD95905" w14:textId="7CB5EC15" w:rsidR="002C0D9E"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r>
      <w:r w:rsidR="00BB4251">
        <w:rPr>
          <w:rFonts w:ascii="Arial" w:eastAsia="Arial" w:hAnsi="Arial" w:cs="Arial"/>
          <w:sz w:val="22"/>
          <w:szCs w:val="22"/>
        </w:rPr>
        <w:t>In the context of similar colonization, spore, and toxin levels, d</w:t>
      </w:r>
      <w:r>
        <w:rPr>
          <w:rFonts w:ascii="Arial" w:eastAsia="Arial" w:hAnsi="Arial" w:cs="Arial"/>
          <w:sz w:val="22"/>
          <w:szCs w:val="22"/>
        </w:rPr>
        <w:t xml:space="preserve">ifferential expression of </w:t>
      </w:r>
      <w:r w:rsidR="00BB4251">
        <w:rPr>
          <w:rFonts w:ascii="Arial" w:eastAsia="Arial" w:hAnsi="Arial" w:cs="Arial"/>
          <w:sz w:val="22"/>
          <w:szCs w:val="22"/>
        </w:rPr>
        <w:t xml:space="preserve">genes for </w:t>
      </w:r>
      <w:r>
        <w:rPr>
          <w:rFonts w:ascii="Arial" w:eastAsia="Arial" w:hAnsi="Arial" w:cs="Arial"/>
          <w:sz w:val="22"/>
          <w:szCs w:val="22"/>
        </w:rPr>
        <w:t xml:space="preserve">sigma factors </w:t>
      </w:r>
      <w:r w:rsidR="00BB4251">
        <w:rPr>
          <w:rFonts w:ascii="Arial" w:eastAsia="Arial" w:hAnsi="Arial" w:cs="Arial"/>
          <w:sz w:val="22"/>
          <w:szCs w:val="22"/>
        </w:rPr>
        <w:t xml:space="preserve">and sporulation suggest that </w:t>
      </w:r>
      <w:r w:rsidR="00BB4251" w:rsidRPr="00BB4251">
        <w:rPr>
          <w:rFonts w:ascii="Arial" w:eastAsia="Arial" w:hAnsi="Arial" w:cs="Arial"/>
          <w:i/>
          <w:sz w:val="22"/>
          <w:szCs w:val="22"/>
        </w:rPr>
        <w:t>C. difficile</w:t>
      </w:r>
      <w:r w:rsidR="00BB4251">
        <w:rPr>
          <w:rFonts w:ascii="Arial" w:eastAsia="Arial" w:hAnsi="Arial" w:cs="Arial"/>
          <w:sz w:val="22"/>
          <w:szCs w:val="22"/>
        </w:rPr>
        <w:t xml:space="preserve"> is adapting to </w:t>
      </w:r>
      <w:r>
        <w:rPr>
          <w:rFonts w:ascii="Arial" w:eastAsia="Arial" w:hAnsi="Arial" w:cs="Arial"/>
          <w:sz w:val="22"/>
          <w:szCs w:val="22"/>
        </w:rPr>
        <w:t>environmental nutrient concentrations</w:t>
      </w:r>
      <w:r w:rsidR="00BB4251">
        <w:rPr>
          <w:rFonts w:ascii="Arial" w:eastAsia="Arial" w:hAnsi="Arial" w:cs="Arial"/>
          <w:sz w:val="22"/>
          <w:szCs w:val="22"/>
        </w:rPr>
        <w:t xml:space="preserve">. To test this further, we identified </w:t>
      </w:r>
      <w:r w:rsidR="002F3779">
        <w:rPr>
          <w:rFonts w:ascii="Arial" w:eastAsia="Arial" w:hAnsi="Arial" w:cs="Arial"/>
          <w:sz w:val="22"/>
          <w:szCs w:val="22"/>
        </w:rPr>
        <w:t>gene sets</w:t>
      </w:r>
      <w:r w:rsidR="00BB4251">
        <w:rPr>
          <w:rFonts w:ascii="Arial" w:eastAsia="Arial" w:hAnsi="Arial" w:cs="Arial"/>
          <w:sz w:val="22"/>
          <w:szCs w:val="22"/>
        </w:rPr>
        <w:t xml:space="preserve"> based on established </w:t>
      </w:r>
      <w:r w:rsidR="00BB4251" w:rsidRPr="00034B8A">
        <w:rPr>
          <w:rFonts w:ascii="Arial" w:eastAsia="Arial" w:hAnsi="Arial" w:cs="Arial"/>
          <w:i/>
          <w:sz w:val="22"/>
          <w:szCs w:val="22"/>
        </w:rPr>
        <w:t>C. difficile</w:t>
      </w:r>
      <w:r w:rsidR="00BB4251">
        <w:rPr>
          <w:rFonts w:ascii="Arial" w:eastAsia="Arial" w:hAnsi="Arial" w:cs="Arial"/>
          <w:sz w:val="22"/>
          <w:szCs w:val="22"/>
        </w:rPr>
        <w:t xml:space="preserve"> metabolism and quantified the differential expression of genes </w:t>
      </w:r>
      <w:r w:rsidR="002F3779">
        <w:rPr>
          <w:rFonts w:ascii="Arial" w:eastAsia="Arial" w:hAnsi="Arial" w:cs="Arial"/>
          <w:sz w:val="22"/>
          <w:szCs w:val="22"/>
        </w:rPr>
        <w:t xml:space="preserve">in </w:t>
      </w:r>
      <w:r w:rsidR="00BB4251">
        <w:rPr>
          <w:rFonts w:ascii="Arial" w:eastAsia="Arial" w:hAnsi="Arial" w:cs="Arial"/>
          <w:sz w:val="22"/>
          <w:szCs w:val="22"/>
        </w:rPr>
        <w:t xml:space="preserve">each </w:t>
      </w:r>
      <w:r w:rsidR="002F3779">
        <w:rPr>
          <w:rFonts w:ascii="Arial" w:eastAsia="Arial" w:hAnsi="Arial" w:cs="Arial"/>
          <w:sz w:val="22"/>
          <w:szCs w:val="22"/>
        </w:rPr>
        <w:t>gene set</w:t>
      </w:r>
      <w:r w:rsidR="00BB4251">
        <w:rPr>
          <w:rFonts w:ascii="Arial" w:eastAsia="Arial" w:hAnsi="Arial" w:cs="Arial"/>
          <w:sz w:val="22"/>
          <w:szCs w:val="22"/>
        </w:rPr>
        <w:t xml:space="preserve"> (Fig. 1).</w:t>
      </w:r>
      <w:r w:rsidR="002F3779">
        <w:rPr>
          <w:rFonts w:ascii="Arial" w:eastAsia="Arial" w:hAnsi="Arial" w:cs="Arial"/>
          <w:sz w:val="22"/>
          <w:szCs w:val="22"/>
        </w:rPr>
        <w:t xml:space="preserve"> </w:t>
      </w:r>
      <w:r w:rsidR="009603D0">
        <w:rPr>
          <w:rFonts w:ascii="Arial" w:eastAsia="Arial" w:hAnsi="Arial" w:cs="Arial"/>
          <w:sz w:val="22"/>
          <w:szCs w:val="22"/>
        </w:rPr>
        <w:t>Although w</w:t>
      </w:r>
      <w:r w:rsidR="003246FB">
        <w:rPr>
          <w:rFonts w:ascii="Arial" w:eastAsia="Arial" w:hAnsi="Arial" w:cs="Arial"/>
          <w:sz w:val="22"/>
          <w:szCs w:val="22"/>
        </w:rPr>
        <w:t xml:space="preserve">e observed </w:t>
      </w:r>
      <w:r w:rsidR="009603D0">
        <w:rPr>
          <w:rFonts w:ascii="Arial" w:eastAsia="Arial" w:hAnsi="Arial" w:cs="Arial"/>
          <w:sz w:val="22"/>
          <w:szCs w:val="22"/>
        </w:rPr>
        <w:t xml:space="preserve">overlap in the levels of expression of metabolic gene-sets, the largest differences were observed in carbohydrate metabolism. Among the genes classified as sugar transporters, those that are </w:t>
      </w:r>
      <w:r w:rsidR="003246FB">
        <w:rPr>
          <w:rFonts w:ascii="Arial" w:eastAsia="Arial" w:hAnsi="Arial" w:cs="Arial"/>
          <w:sz w:val="22"/>
          <w:szCs w:val="22"/>
        </w:rPr>
        <w:t xml:space="preserve">PTS transporters </w:t>
      </w:r>
      <w:r w:rsidR="009603D0">
        <w:rPr>
          <w:rFonts w:ascii="Arial" w:eastAsia="Arial" w:hAnsi="Arial" w:cs="Arial"/>
          <w:sz w:val="22"/>
          <w:szCs w:val="22"/>
        </w:rPr>
        <w:t xml:space="preserve">(Fig. 3H) </w:t>
      </w:r>
      <w:r w:rsidR="003246FB">
        <w:rPr>
          <w:rFonts w:ascii="Arial" w:eastAsia="Arial" w:hAnsi="Arial" w:cs="Arial"/>
          <w:sz w:val="22"/>
          <w:szCs w:val="22"/>
        </w:rPr>
        <w:t xml:space="preserve">were overrepresented in the clinda and strep-treated mice </w:t>
      </w:r>
      <w:r w:rsidR="009603D0">
        <w:rPr>
          <w:rFonts w:ascii="Arial" w:eastAsia="Arial" w:hAnsi="Arial" w:cs="Arial"/>
          <w:sz w:val="22"/>
          <w:szCs w:val="22"/>
        </w:rPr>
        <w:t xml:space="preserve">and </w:t>
      </w:r>
      <w:r w:rsidR="003246FB">
        <w:rPr>
          <w:rFonts w:ascii="Arial" w:eastAsia="Arial" w:hAnsi="Arial" w:cs="Arial"/>
          <w:sz w:val="22"/>
          <w:szCs w:val="22"/>
        </w:rPr>
        <w:t xml:space="preserve">ABC sugar transporters </w:t>
      </w:r>
      <w:r w:rsidR="009603D0">
        <w:rPr>
          <w:rFonts w:ascii="Arial" w:eastAsia="Arial" w:hAnsi="Arial" w:cs="Arial"/>
          <w:sz w:val="22"/>
          <w:szCs w:val="22"/>
        </w:rPr>
        <w:t xml:space="preserve">(Fig. 3I) </w:t>
      </w:r>
      <w:r w:rsidR="003246FB">
        <w:rPr>
          <w:rFonts w:ascii="Arial" w:eastAsia="Arial" w:hAnsi="Arial" w:cs="Arial"/>
          <w:sz w:val="22"/>
          <w:szCs w:val="22"/>
        </w:rPr>
        <w:t>were overrepresented in the cef-treated mice. Further differences in carbohydrate metabolism were visible when comparing the polysaccharide catab</w:t>
      </w:r>
      <w:r w:rsidR="009603D0">
        <w:rPr>
          <w:rFonts w:ascii="Arial" w:eastAsia="Arial" w:hAnsi="Arial" w:cs="Arial"/>
          <w:sz w:val="22"/>
          <w:szCs w:val="22"/>
        </w:rPr>
        <w:t xml:space="preserve">olism expression set (Fig. 3D) with </w:t>
      </w:r>
      <w:r w:rsidR="002C0D9E">
        <w:rPr>
          <w:rFonts w:ascii="Arial" w:hAnsi="Arial"/>
          <w:sz w:val="22"/>
          <w:szCs w:val="22"/>
        </w:rPr>
        <w:t xml:space="preserve">genes associated </w:t>
      </w:r>
      <w:r w:rsidR="002C0D9E">
        <w:rPr>
          <w:rFonts w:ascii="Arial" w:hAnsi="Arial"/>
          <w:sz w:val="22"/>
          <w:szCs w:val="22"/>
        </w:rPr>
        <w:t xml:space="preserve">with </w:t>
      </w:r>
      <w:r w:rsidR="002C0D9E">
        <w:rPr>
          <w:rFonts w:ascii="Arial" w:hAnsi="Arial"/>
          <w:sz w:val="22"/>
          <w:szCs w:val="22"/>
        </w:rPr>
        <w:t>beta-glucoside utilization locus (</w:t>
      </w:r>
      <w:r w:rsidR="002C0D9E">
        <w:rPr>
          <w:rFonts w:ascii="Arial" w:hAnsi="Arial"/>
          <w:i/>
          <w:iCs/>
          <w:sz w:val="22"/>
          <w:szCs w:val="22"/>
        </w:rPr>
        <w:t>bgl</w:t>
      </w:r>
      <w:r w:rsidR="002C0D9E">
        <w:rPr>
          <w:rFonts w:ascii="Arial" w:hAnsi="Arial"/>
          <w:sz w:val="22"/>
          <w:szCs w:val="22"/>
        </w:rPr>
        <w:t xml:space="preserve"> operon), canonically linked with salicin or arbutin metabolism </w:t>
      </w:r>
      <w:r w:rsidR="009603D0">
        <w:rPr>
          <w:rFonts w:ascii="Arial" w:eastAsia="Arial" w:hAnsi="Arial" w:cs="Arial"/>
          <w:sz w:val="22"/>
          <w:szCs w:val="22"/>
        </w:rPr>
        <w:t xml:space="preserve">being </w:t>
      </w:r>
      <w:r w:rsidR="003246FB">
        <w:rPr>
          <w:rFonts w:ascii="Arial" w:eastAsia="Arial" w:hAnsi="Arial" w:cs="Arial"/>
          <w:sz w:val="22"/>
          <w:szCs w:val="22"/>
        </w:rPr>
        <w:t xml:space="preserve">overrepresented in the clinda-treated mice. </w:t>
      </w:r>
      <w:r w:rsidR="00616D00">
        <w:rPr>
          <w:rFonts w:ascii="Arial" w:eastAsia="Arial" w:hAnsi="Arial" w:cs="Arial"/>
          <w:sz w:val="22"/>
          <w:szCs w:val="22"/>
        </w:rPr>
        <w:t>Sugar alcohol catabolism genes were absent from clinda-treated mice and expression of genes for mannitol utilization (mtl operon) were overrepresented in cefaparezone-treated mice and expression of genes for sorbitol utilization (srl operon) were overrepresented in streptomycin-treated mice.</w:t>
      </w:r>
      <w:r w:rsidR="002C0D9E">
        <w:rPr>
          <w:rFonts w:ascii="Arial" w:eastAsia="Arial" w:hAnsi="Arial" w:cs="Arial"/>
          <w:sz w:val="22"/>
          <w:szCs w:val="22"/>
        </w:rPr>
        <w:t xml:space="preserve"> </w:t>
      </w:r>
      <w:r>
        <w:rPr>
          <w:rFonts w:ascii="Arial" w:eastAsia="Arial" w:hAnsi="Arial" w:cs="Arial"/>
          <w:sz w:val="22"/>
          <w:szCs w:val="22"/>
        </w:rPr>
        <w:t xml:space="preserve">Conversely, the expression of genes associated with amino acid catabolism were consistently expressed at relatively equal levels across the conditions (Fig. 3F). </w:t>
      </w:r>
      <w:r w:rsidR="002C0D9E">
        <w:rPr>
          <w:rFonts w:ascii="Arial" w:eastAsia="Arial" w:hAnsi="Arial" w:cs="Arial"/>
          <w:sz w:val="22"/>
          <w:szCs w:val="22"/>
        </w:rPr>
        <w:t>Short chain fatty acids (SCFAs) are the product of amino acid and carbohydrate fermentation in C. difficile. Gene for XXXX were overrepresented in clinda-treated mice, while a gene for XXXX was not expressed in clinda-treated mice. Overall, these results support the hypothesis that C. difficile is able to adapt its metabolism to …</w:t>
      </w:r>
      <w:bookmarkStart w:id="1" w:name="_GoBack"/>
      <w:bookmarkEnd w:id="1"/>
    </w:p>
    <w:p w14:paraId="62A9A35F" w14:textId="77777777" w:rsidR="002C0D9E" w:rsidRDefault="002C0D9E">
      <w:pPr>
        <w:pStyle w:val="Default"/>
        <w:shd w:val="clear" w:color="auto" w:fill="FFFFFF"/>
        <w:spacing w:line="480" w:lineRule="auto"/>
        <w:jc w:val="both"/>
        <w:rPr>
          <w:rFonts w:ascii="Arial" w:eastAsia="Arial" w:hAnsi="Arial" w:cs="Arial"/>
          <w:sz w:val="22"/>
          <w:szCs w:val="22"/>
        </w:rPr>
      </w:pPr>
    </w:p>
    <w:p w14:paraId="531F31E8" w14:textId="5638F8B2" w:rsidR="004C352D" w:rsidRPr="002C0D9E" w:rsidRDefault="00BC6DB8">
      <w:pPr>
        <w:pStyle w:val="Default"/>
        <w:shd w:val="clear" w:color="auto" w:fill="FFFFFF"/>
        <w:spacing w:line="480" w:lineRule="auto"/>
        <w:jc w:val="both"/>
        <w:rPr>
          <w:rFonts w:ascii="Arial" w:eastAsia="Arial" w:hAnsi="Arial" w:cs="Arial"/>
          <w:strike/>
          <w:sz w:val="22"/>
          <w:szCs w:val="22"/>
        </w:rPr>
      </w:pPr>
      <w:r w:rsidRPr="002C0D9E">
        <w:rPr>
          <w:rFonts w:ascii="Arial" w:eastAsia="Arial" w:hAnsi="Arial" w:cs="Arial"/>
          <w:strike/>
          <w:sz w:val="22"/>
          <w:szCs w:val="22"/>
        </w:rPr>
        <w:t>These points all trend toward the center of the plotting area and show no apparent differences between any treatment group. This gene category includes those enzymes involved in Stickland fermentation (</w:t>
      </w:r>
      <w:r w:rsidRPr="002C0D9E">
        <w:rPr>
          <w:rFonts w:ascii="Arial" w:hAnsi="Arial"/>
          <w:i/>
          <w:iCs/>
          <w:strike/>
          <w:sz w:val="22"/>
          <w:szCs w:val="22"/>
        </w:rPr>
        <w:t>arg</w:t>
      </w:r>
      <w:r w:rsidRPr="002C0D9E">
        <w:rPr>
          <w:rFonts w:ascii="Arial" w:hAnsi="Arial"/>
          <w:strike/>
          <w:sz w:val="22"/>
          <w:szCs w:val="22"/>
        </w:rPr>
        <w:t xml:space="preserve">, </w:t>
      </w:r>
      <w:r w:rsidRPr="002C0D9E">
        <w:rPr>
          <w:rFonts w:ascii="Arial" w:hAnsi="Arial"/>
          <w:i/>
          <w:iCs/>
          <w:strike/>
          <w:sz w:val="22"/>
          <w:szCs w:val="22"/>
        </w:rPr>
        <w:t>fdh</w:t>
      </w:r>
      <w:r w:rsidRPr="002C0D9E">
        <w:rPr>
          <w:rFonts w:ascii="Arial" w:hAnsi="Arial"/>
          <w:strike/>
          <w:sz w:val="22"/>
          <w:szCs w:val="22"/>
        </w:rPr>
        <w:t xml:space="preserve">, </w:t>
      </w:r>
      <w:r w:rsidRPr="002C0D9E">
        <w:rPr>
          <w:rFonts w:ascii="Arial" w:hAnsi="Arial"/>
          <w:i/>
          <w:iCs/>
          <w:strike/>
          <w:sz w:val="22"/>
          <w:szCs w:val="22"/>
        </w:rPr>
        <w:t>grd</w:t>
      </w:r>
      <w:r w:rsidRPr="002C0D9E">
        <w:rPr>
          <w:rFonts w:ascii="Arial" w:hAnsi="Arial"/>
          <w:strike/>
          <w:sz w:val="22"/>
          <w:szCs w:val="22"/>
        </w:rPr>
        <w:t xml:space="preserve">, </w:t>
      </w:r>
      <w:r w:rsidRPr="002C0D9E">
        <w:rPr>
          <w:rFonts w:ascii="Arial" w:hAnsi="Arial"/>
          <w:i/>
          <w:iCs/>
          <w:strike/>
          <w:sz w:val="22"/>
          <w:szCs w:val="22"/>
        </w:rPr>
        <w:t>had</w:t>
      </w:r>
      <w:r w:rsidRPr="002C0D9E">
        <w:rPr>
          <w:rFonts w:ascii="Arial" w:hAnsi="Arial"/>
          <w:strike/>
          <w:sz w:val="22"/>
          <w:szCs w:val="22"/>
        </w:rPr>
        <w:t>,</w:t>
      </w:r>
      <w:r w:rsidRPr="002C0D9E">
        <w:rPr>
          <w:rFonts w:ascii="Arial" w:hAnsi="Arial"/>
          <w:i/>
          <w:iCs/>
          <w:strike/>
          <w:sz w:val="22"/>
          <w:szCs w:val="22"/>
        </w:rPr>
        <w:t xml:space="preserve"> </w:t>
      </w:r>
      <w:r w:rsidRPr="002C0D9E">
        <w:rPr>
          <w:rFonts w:ascii="Arial" w:hAnsi="Arial"/>
          <w:strike/>
          <w:sz w:val="22"/>
          <w:szCs w:val="22"/>
        </w:rPr>
        <w:t xml:space="preserve">and </w:t>
      </w:r>
      <w:r w:rsidRPr="002C0D9E">
        <w:rPr>
          <w:rFonts w:ascii="Arial" w:hAnsi="Arial"/>
          <w:i/>
          <w:iCs/>
          <w:strike/>
          <w:sz w:val="22"/>
          <w:szCs w:val="22"/>
        </w:rPr>
        <w:t xml:space="preserve">prd </w:t>
      </w:r>
      <w:r w:rsidRPr="002C0D9E">
        <w:rPr>
          <w:rFonts w:ascii="Arial" w:hAnsi="Arial"/>
          <w:strike/>
          <w:sz w:val="22"/>
          <w:szCs w:val="22"/>
        </w:rPr>
        <w:t>operons) as well as several general peptidases (</w:t>
      </w:r>
      <w:r w:rsidRPr="002C0D9E">
        <w:rPr>
          <w:rFonts w:ascii="Arial" w:hAnsi="Arial"/>
          <w:i/>
          <w:iCs/>
          <w:strike/>
          <w:sz w:val="22"/>
          <w:szCs w:val="22"/>
        </w:rPr>
        <w:t>pep</w:t>
      </w:r>
      <w:r w:rsidRPr="002C0D9E">
        <w:rPr>
          <w:rFonts w:ascii="Arial" w:hAnsi="Arial"/>
          <w:strike/>
          <w:sz w:val="22"/>
          <w:szCs w:val="22"/>
        </w:rPr>
        <w:t xml:space="preserve"> family). The known Stickland fermentation pathway in </w:t>
      </w:r>
      <w:r w:rsidRPr="002C0D9E">
        <w:rPr>
          <w:rFonts w:ascii="Arial" w:hAnsi="Arial"/>
          <w:i/>
          <w:iCs/>
          <w:strike/>
          <w:sz w:val="22"/>
          <w:szCs w:val="22"/>
        </w:rPr>
        <w:t>C. difficile</w:t>
      </w:r>
      <w:r w:rsidRPr="002C0D9E">
        <w:rPr>
          <w:rFonts w:ascii="Arial" w:hAnsi="Arial"/>
          <w:strike/>
          <w:sz w:val="22"/>
          <w:szCs w:val="22"/>
        </w:rPr>
        <w:t xml:space="preserve"> couples the oxidation and reduction of proline an glycine to generate ATP (Neumann-Schaal, 2015). Transcription of specifically the </w:t>
      </w:r>
      <w:r w:rsidRPr="002C0D9E">
        <w:rPr>
          <w:rFonts w:ascii="Arial" w:hAnsi="Arial"/>
          <w:i/>
          <w:iCs/>
          <w:strike/>
          <w:sz w:val="22"/>
          <w:szCs w:val="22"/>
        </w:rPr>
        <w:t>grd</w:t>
      </w:r>
      <w:r w:rsidRPr="002C0D9E">
        <w:rPr>
          <w:rFonts w:ascii="Arial" w:hAnsi="Arial"/>
          <w:strike/>
          <w:sz w:val="22"/>
          <w:szCs w:val="22"/>
        </w:rPr>
        <w:t xml:space="preserve"> and </w:t>
      </w:r>
      <w:r w:rsidRPr="002C0D9E">
        <w:rPr>
          <w:rFonts w:ascii="Arial" w:hAnsi="Arial"/>
          <w:i/>
          <w:iCs/>
          <w:strike/>
          <w:sz w:val="22"/>
          <w:szCs w:val="22"/>
        </w:rPr>
        <w:t>prd</w:t>
      </w:r>
      <w:r w:rsidRPr="002C0D9E">
        <w:rPr>
          <w:rFonts w:ascii="Arial" w:hAnsi="Arial"/>
          <w:strike/>
          <w:sz w:val="22"/>
          <w:szCs w:val="22"/>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sidRPr="002C0D9E">
        <w:rPr>
          <w:rFonts w:ascii="Arial" w:hAnsi="Arial"/>
          <w:i/>
          <w:iCs/>
          <w:strike/>
          <w:sz w:val="22"/>
          <w:szCs w:val="22"/>
        </w:rPr>
        <w:t>C. difficile</w:t>
      </w:r>
      <w:r w:rsidRPr="002C0D9E">
        <w:rPr>
          <w:rFonts w:ascii="Arial" w:hAnsi="Arial"/>
          <w:strike/>
          <w:sz w:val="22"/>
          <w:szCs w:val="22"/>
        </w:rPr>
        <w:t xml:space="preserve"> str. 630 during infection. </w:t>
      </w:r>
    </w:p>
    <w:p w14:paraId="6ECA613A" w14:textId="77777777" w:rsidR="004C352D" w:rsidRDefault="004C352D">
      <w:pPr>
        <w:pStyle w:val="Default"/>
        <w:shd w:val="clear" w:color="auto" w:fill="FFFFFF"/>
        <w:spacing w:line="480" w:lineRule="auto"/>
        <w:jc w:val="both"/>
        <w:rPr>
          <w:rFonts w:ascii="Arial" w:eastAsia="Arial" w:hAnsi="Arial" w:cs="Arial"/>
          <w:sz w:val="22"/>
          <w:szCs w:val="22"/>
        </w:rPr>
      </w:pPr>
    </w:p>
    <w:p w14:paraId="6869BF3F" w14:textId="77777777" w:rsidR="009603D0" w:rsidRDefault="009603D0" w:rsidP="009603D0">
      <w:pPr>
        <w:pStyle w:val="Default"/>
        <w:shd w:val="clear" w:color="auto" w:fill="FFFFFF"/>
        <w:spacing w:line="480" w:lineRule="auto"/>
        <w:jc w:val="both"/>
        <w:rPr>
          <w:rFonts w:ascii="Arial" w:eastAsia="Arial" w:hAnsi="Arial" w:cs="Arial"/>
          <w:strike/>
          <w:sz w:val="22"/>
          <w:szCs w:val="22"/>
        </w:rPr>
      </w:pPr>
      <w:r w:rsidRPr="003246FB">
        <w:rPr>
          <w:rFonts w:ascii="Arial" w:eastAsia="Arial" w:hAnsi="Arial" w:cs="Arial"/>
          <w:strike/>
          <w:sz w:val="22"/>
          <w:szCs w:val="22"/>
        </w:rPr>
        <w:t>Both systems are known carbohydrate importers, however activation of some PTS transporters in response to environmental concentrations of certain carbohydrates has been shown to negatively regulate the expression and function of many ABC transporters in some bact</w:t>
      </w:r>
      <w:r>
        <w:rPr>
          <w:rFonts w:ascii="Arial" w:eastAsia="Arial" w:hAnsi="Arial" w:cs="Arial"/>
          <w:strike/>
          <w:sz w:val="22"/>
          <w:szCs w:val="22"/>
        </w:rPr>
        <w:t xml:space="preserve">erial species (Deutscher, 2006). </w:t>
      </w:r>
    </w:p>
    <w:p w14:paraId="62A17DF3" w14:textId="77777777" w:rsidR="009603D0" w:rsidRDefault="009603D0">
      <w:pPr>
        <w:pStyle w:val="Default"/>
        <w:shd w:val="clear" w:color="auto" w:fill="FFFFFF"/>
        <w:spacing w:line="480" w:lineRule="auto"/>
        <w:jc w:val="both"/>
        <w:rPr>
          <w:rFonts w:ascii="Arial" w:eastAsia="Arial" w:hAnsi="Arial" w:cs="Arial"/>
          <w:sz w:val="22"/>
          <w:szCs w:val="22"/>
        </w:rPr>
      </w:pPr>
    </w:p>
    <w:p w14:paraId="3BDACA46" w14:textId="77777777" w:rsidR="009603D0" w:rsidRDefault="009603D0">
      <w:pPr>
        <w:pStyle w:val="Default"/>
        <w:shd w:val="clear" w:color="auto" w:fill="FFFFFF"/>
        <w:spacing w:line="480" w:lineRule="auto"/>
        <w:jc w:val="both"/>
        <w:rPr>
          <w:rFonts w:ascii="Arial" w:eastAsia="Arial" w:hAnsi="Arial" w:cs="Arial"/>
          <w:sz w:val="22"/>
          <w:szCs w:val="22"/>
        </w:rPr>
      </w:pPr>
    </w:p>
    <w:p w14:paraId="6500E701"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hAnsi="Arial"/>
          <w:b/>
          <w:bCs/>
          <w:sz w:val="22"/>
          <w:szCs w:val="22"/>
        </w:rPr>
        <w:t xml:space="preserve">Bipartite metabolic models underscore known bacterial metabolism and reveal adaptive nutritional strategies of </w:t>
      </w:r>
      <w:r>
        <w:rPr>
          <w:rFonts w:ascii="Arial" w:hAnsi="Arial"/>
          <w:b/>
          <w:bCs/>
          <w:i/>
          <w:iCs/>
          <w:sz w:val="22"/>
          <w:szCs w:val="22"/>
        </w:rPr>
        <w:t xml:space="preserve">C. difficile </w:t>
      </w:r>
      <w:r>
        <w:rPr>
          <w:rFonts w:ascii="Arial" w:hAnsi="Arial"/>
          <w:b/>
          <w:bCs/>
          <w:sz w:val="22"/>
          <w:szCs w:val="22"/>
        </w:rPr>
        <w:t>during infection.</w:t>
      </w:r>
    </w:p>
    <w:p w14:paraId="6EAAF1CB" w14:textId="77777777" w:rsidR="004C352D" w:rsidRDefault="00BC6DB8">
      <w:pPr>
        <w:pStyle w:val="Default"/>
        <w:shd w:val="clear" w:color="auto" w:fill="FFFFFF"/>
        <w:spacing w:line="480" w:lineRule="auto"/>
        <w:jc w:val="both"/>
        <w:rPr>
          <w:rFonts w:ascii="Arial" w:eastAsia="Arial" w:hAnsi="Arial" w:cs="Arial"/>
          <w:sz w:val="22"/>
          <w:szCs w:val="22"/>
        </w:rPr>
      </w:pPr>
      <w:r>
        <w:rPr>
          <w:rFonts w:ascii="Arial" w:eastAsia="Arial" w:hAnsi="Arial" w:cs="Arial"/>
          <w:sz w:val="22"/>
          <w:szCs w:val="22"/>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iCs/>
          <w:sz w:val="22"/>
          <w:szCs w:val="22"/>
        </w:rPr>
        <w:t>C. difficile</w:t>
      </w:r>
      <w:r>
        <w:rPr>
          <w:rFonts w:ascii="Arial" w:hAnsi="Arial"/>
          <w:sz w:val="22"/>
          <w:szCs w:val="22"/>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Fonts w:ascii="Arial" w:hAnsi="Arial"/>
          <w:i/>
          <w:iCs/>
          <w:sz w:val="22"/>
          <w:szCs w:val="22"/>
        </w:rPr>
        <w:t>C. difficile</w:t>
      </w:r>
      <w:r>
        <w:rPr>
          <w:rFonts w:ascii="Arial" w:hAnsi="Arial"/>
          <w:sz w:val="22"/>
          <w:szCs w:val="22"/>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14:paraId="2F0AF02F" w14:textId="77777777" w:rsidR="004C352D" w:rsidRDefault="00BC6DB8">
      <w:pPr>
        <w:pStyle w:val="Default"/>
        <w:shd w:val="clear" w:color="auto" w:fill="FFFFFF"/>
        <w:spacing w:line="480" w:lineRule="auto"/>
        <w:jc w:val="both"/>
      </w:pPr>
      <w:r>
        <w:rPr>
          <w:rFonts w:ascii="Arial" w:eastAsia="Arial" w:hAnsi="Arial" w:cs="Arial"/>
          <w:sz w:val="22"/>
          <w:szCs w:val="22"/>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iCs/>
          <w:sz w:val="22"/>
          <w:szCs w:val="22"/>
        </w:rPr>
        <w:t>C. difficile</w:t>
      </w:r>
      <w:r>
        <w:rPr>
          <w:rFonts w:ascii="Arial" w:hAnsi="Arial"/>
          <w:sz w:val="22"/>
          <w:szCs w:val="22"/>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bCs/>
          <w:sz w:val="22"/>
          <w:szCs w:val="22"/>
        </w:rPr>
        <w:t>t</w:t>
      </w:r>
      <w:r>
        <w:rPr>
          <w:rFonts w:ascii="Arial" w:hAnsi="Arial"/>
          <w:b/>
          <w:bCs/>
          <w:sz w:val="22"/>
          <w:szCs w:val="22"/>
          <w:vertAlign w:val="subscript"/>
        </w:rPr>
        <w:t>o</w:t>
      </w:r>
      <w:r>
        <w:rPr>
          <w:rFonts w:ascii="Arial" w:hAnsi="Arial"/>
          <w:sz w:val="22"/>
          <w:szCs w:val="22"/>
        </w:rPr>
        <w:t xml:space="preserve"> and </w:t>
      </w:r>
      <w:r>
        <w:rPr>
          <w:rFonts w:ascii="Arial" w:hAnsi="Arial"/>
          <w:b/>
          <w:bCs/>
          <w:sz w:val="22"/>
          <w:szCs w:val="22"/>
        </w:rPr>
        <w:t>t</w:t>
      </w:r>
      <w:r>
        <w:rPr>
          <w:rFonts w:ascii="Arial" w:hAnsi="Arial"/>
          <w:b/>
          <w:bCs/>
          <w:sz w:val="22"/>
          <w:szCs w:val="22"/>
          <w:vertAlign w:val="subscript"/>
        </w:rPr>
        <w:t>i</w:t>
      </w:r>
      <w:r>
        <w:rPr>
          <w:rFonts w:ascii="Arial" w:hAnsi="Arial"/>
          <w:sz w:val="22"/>
          <w:szCs w:val="22"/>
        </w:rPr>
        <w:t>), representing the reactions they mediate that either create or utilize the substrate (</w:t>
      </w:r>
      <w:r>
        <w:rPr>
          <w:rFonts w:ascii="Arial" w:hAnsi="Arial"/>
          <w:b/>
          <w:bCs/>
          <w:sz w:val="22"/>
          <w:szCs w:val="22"/>
        </w:rPr>
        <w:t>s</w:t>
      </w:r>
      <w:r>
        <w:rPr>
          <w:rFonts w:ascii="Arial" w:hAnsi="Arial"/>
          <w:sz w:val="22"/>
          <w:szCs w:val="22"/>
        </w:rPr>
        <w:t>). The sum is then taken of transcript abundances for enzyme nodes that connect with a given substrate node with the same direction edge (</w:t>
      </w:r>
      <w:r>
        <w:rPr>
          <w:rFonts w:ascii="Arial" w:hAnsi="Arial"/>
          <w:b/>
          <w:bCs/>
          <w:sz w:val="22"/>
          <w:szCs w:val="22"/>
        </w:rPr>
        <w:t>e</w:t>
      </w:r>
      <w:r>
        <w:rPr>
          <w:rFonts w:ascii="Arial" w:hAnsi="Arial"/>
          <w:b/>
          <w:bCs/>
          <w:sz w:val="22"/>
          <w:szCs w:val="22"/>
          <w:vertAlign w:val="subscript"/>
        </w:rPr>
        <w:t>o</w:t>
      </w:r>
      <w:r>
        <w:rPr>
          <w:rFonts w:ascii="Arial" w:hAnsi="Arial"/>
          <w:sz w:val="22"/>
          <w:szCs w:val="22"/>
        </w:rPr>
        <w:t xml:space="preserve"> or </w:t>
      </w:r>
      <w:r>
        <w:rPr>
          <w:rFonts w:ascii="Arial" w:hAnsi="Arial"/>
          <w:b/>
          <w:bCs/>
          <w:sz w:val="22"/>
          <w:szCs w:val="22"/>
        </w:rPr>
        <w:t>e</w:t>
      </w:r>
      <w:r>
        <w:rPr>
          <w:rFonts w:ascii="Arial" w:hAnsi="Arial"/>
          <w:b/>
          <w:bCs/>
          <w:sz w:val="22"/>
          <w:szCs w:val="22"/>
          <w:vertAlign w:val="subscript"/>
        </w:rPr>
        <w:t>i</w:t>
      </w:r>
      <w:r>
        <w:rPr>
          <w:rFonts w:ascii="Arial" w:hAnsi="Arial"/>
          <w:sz w:val="22"/>
          <w:szCs w:val="22"/>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hyperlink r:id="rId9" w:history="1">
        <w:r>
          <w:rPr>
            <w:rStyle w:val="Hyperlink0"/>
          </w:rPr>
          <w:t>https://github.com/mjenior/bigsmall</w:t>
        </w:r>
      </w:hyperlink>
      <w:r>
        <w:rPr>
          <w:rStyle w:val="None"/>
          <w:rFonts w:ascii="Arial" w:hAnsi="Arial"/>
          <w:sz w:val="22"/>
          <w:szCs w:val="22"/>
        </w:rPr>
        <w:t xml:space="preserve">. Applying this method, we extracted the relative importance values of the 758 unique compounds in the metabolic network of </w:t>
      </w:r>
      <w:r>
        <w:rPr>
          <w:rStyle w:val="None"/>
          <w:rFonts w:ascii="Arial" w:hAnsi="Arial"/>
          <w:i/>
          <w:iCs/>
          <w:sz w:val="22"/>
          <w:szCs w:val="22"/>
        </w:rPr>
        <w:t>C. difficile</w:t>
      </w:r>
      <w:r>
        <w:rPr>
          <w:rStyle w:val="None"/>
          <w:rFonts w:ascii="Arial" w:hAnsi="Arial"/>
          <w:sz w:val="22"/>
          <w:szCs w:val="22"/>
        </w:rPr>
        <w:t xml:space="preserve"> str. 630, after 18 hours of infection in each treatment group. We included the transcriptome of </w:t>
      </w:r>
      <w:r>
        <w:rPr>
          <w:rStyle w:val="None"/>
          <w:rFonts w:ascii="Arial" w:hAnsi="Arial"/>
          <w:i/>
          <w:iCs/>
          <w:sz w:val="22"/>
          <w:szCs w:val="22"/>
        </w:rPr>
        <w:t>C. difficile</w:t>
      </w:r>
      <w:r>
        <w:rPr>
          <w:rStyle w:val="None"/>
          <w:rFonts w:ascii="Arial" w:hAnsi="Arial"/>
          <w:sz w:val="22"/>
          <w:szCs w:val="22"/>
        </w:rPr>
        <w:t xml:space="preserve"> in gnotobiotic mice in the network-based analysis because although the dynamics of the infection may be altered, there is still active metabolism occurring and therefore provided a useful comparator through this approach.</w:t>
      </w:r>
    </w:p>
    <w:p w14:paraId="51AD033B"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iCs/>
          <w:sz w:val="22"/>
          <w:szCs w:val="22"/>
        </w:rPr>
        <w:t>C. difficile</w:t>
      </w:r>
      <w:r>
        <w:rPr>
          <w:rStyle w:val="None"/>
          <w:rFonts w:ascii="Arial" w:hAnsi="Arial"/>
          <w:sz w:val="22"/>
          <w:szCs w:val="22"/>
        </w:rPr>
        <w:t xml:space="preserve"> and demonstrated that our importance-defining algorithm was robust could detect biologically relevant patterns of expression.</w:t>
      </w:r>
    </w:p>
    <w:p w14:paraId="7561C533"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iCs/>
          <w:sz w:val="22"/>
          <w:szCs w:val="22"/>
        </w:rPr>
        <w:t>C. difficile</w:t>
      </w:r>
      <w:r>
        <w:rPr>
          <w:rStyle w:val="None"/>
          <w:rFonts w:ascii="Arial" w:hAnsi="Arial"/>
          <w:sz w:val="22"/>
          <w:szCs w:val="22"/>
        </w:rPr>
        <w:t xml:space="preserve"> is most likely to behave when it colonizes a susceptible host. With this in mind, we then sought to identify core metabolites that are essential to </w:t>
      </w:r>
      <w:r>
        <w:rPr>
          <w:rStyle w:val="None"/>
          <w:rFonts w:ascii="Arial" w:hAnsi="Arial"/>
          <w:i/>
          <w:iCs/>
          <w:sz w:val="22"/>
          <w:szCs w:val="22"/>
        </w:rPr>
        <w:t>C. difficile</w:t>
      </w:r>
      <w:r>
        <w:rPr>
          <w:rStyle w:val="None"/>
          <w:rFonts w:ascii="Arial" w:hAnsi="Arial"/>
          <w:sz w:val="22"/>
          <w:szCs w:val="22"/>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iCs/>
          <w:sz w:val="22"/>
          <w:szCs w:val="22"/>
        </w:rPr>
        <w:t>C. difficile</w:t>
      </w:r>
      <w:r>
        <w:rPr>
          <w:rStyle w:val="None"/>
          <w:rFonts w:ascii="Arial" w:hAnsi="Arial"/>
          <w:sz w:val="22"/>
          <w:szCs w:val="22"/>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iCs/>
          <w:sz w:val="22"/>
          <w:szCs w:val="22"/>
        </w:rPr>
        <w:t>C. difficile</w:t>
      </w:r>
      <w:r>
        <w:rPr>
          <w:rStyle w:val="None"/>
          <w:rFonts w:ascii="Arial" w:hAnsi="Arial"/>
          <w:sz w:val="22"/>
          <w:szCs w:val="22"/>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iCs/>
          <w:sz w:val="22"/>
          <w:szCs w:val="22"/>
        </w:rPr>
        <w:t>C. difficile</w:t>
      </w:r>
      <w:r>
        <w:rPr>
          <w:rStyle w:val="None"/>
          <w:rFonts w:ascii="Arial" w:hAnsi="Arial"/>
          <w:sz w:val="22"/>
          <w:szCs w:val="22"/>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iCs/>
          <w:sz w:val="22"/>
          <w:szCs w:val="22"/>
        </w:rPr>
        <w:t>C. difficile</w:t>
      </w:r>
      <w:r>
        <w:rPr>
          <w:rStyle w:val="None"/>
          <w:rFonts w:ascii="Arial" w:hAnsi="Arial"/>
          <w:sz w:val="22"/>
          <w:szCs w:val="22"/>
        </w:rPr>
        <w:t xml:space="preserve"> similarly utilizes acetate for energy. Many of the top scoring compounds appear to be associated with both fermentation and glycolysis, suggesting that these forms of </w:t>
      </w:r>
      <w:r>
        <w:rPr>
          <w:rStyle w:val="None"/>
          <w:rFonts w:ascii="Arial" w:hAnsi="Arial"/>
          <w:i/>
          <w:iCs/>
          <w:sz w:val="22"/>
          <w:szCs w:val="22"/>
        </w:rPr>
        <w:t>C. difficile</w:t>
      </w:r>
      <w:r>
        <w:rPr>
          <w:rStyle w:val="None"/>
          <w:rFonts w:ascii="Arial" w:hAnsi="Arial"/>
          <w:sz w:val="22"/>
          <w:szCs w:val="22"/>
        </w:rPr>
        <w:t xml:space="preserve"> metabolism are always active to some degree across conditions and are central to the organism’s nutritional strategy. Other substrates substrates such Fe2+ was consistently important, as well several forms of certain amino acids (proline, threonine, cysteine, leucine, isoleucine, and valine), many of which </w:t>
      </w:r>
      <w:r>
        <w:rPr>
          <w:rStyle w:val="None"/>
          <w:rFonts w:ascii="Arial" w:hAnsi="Arial"/>
          <w:i/>
          <w:iCs/>
          <w:sz w:val="22"/>
          <w:szCs w:val="22"/>
        </w:rPr>
        <w:t>C. difficile</w:t>
      </w:r>
      <w:r>
        <w:rPr>
          <w:rStyle w:val="None"/>
          <w:rFonts w:ascii="Arial" w:hAnsi="Arial"/>
          <w:sz w:val="22"/>
          <w:szCs w:val="22"/>
        </w:rPr>
        <w:t xml:space="preserve"> is a known or suspected auxotrophe (Ho, 2015; Neumann-Schaal, 2015). This analysis further supported that our substrate importance algorithm was well-suited to find which substrates an organism is using at a given time.</w:t>
      </w:r>
    </w:p>
    <w:p w14:paraId="42D71C67" w14:textId="77777777" w:rsidR="004C352D" w:rsidRDefault="00BC6DB8">
      <w:pPr>
        <w:pStyle w:val="Default"/>
        <w:shd w:val="clear" w:color="auto" w:fill="FFFFFF"/>
        <w:spacing w:line="480" w:lineRule="auto"/>
        <w:jc w:val="both"/>
      </w:pPr>
      <w:r>
        <w:rPr>
          <w:rStyle w:val="None"/>
          <w:rFonts w:ascii="Arial" w:eastAsia="Arial" w:hAnsi="Arial" w:cs="Arial"/>
          <w:sz w:val="22"/>
          <w:szCs w:val="22"/>
        </w:rPr>
        <w:tab/>
        <w:t xml:space="preserve">To then look at the converse of the unified analysis, we then identified those compounds that are uniquely important to each condition in which </w:t>
      </w:r>
      <w:r>
        <w:rPr>
          <w:rStyle w:val="None"/>
          <w:rFonts w:ascii="Arial" w:hAnsi="Arial"/>
          <w:i/>
          <w:iCs/>
          <w:sz w:val="22"/>
          <w:szCs w:val="22"/>
        </w:rPr>
        <w:t>C. difficile</w:t>
      </w:r>
      <w:r>
        <w:rPr>
          <w:rStyle w:val="None"/>
          <w:rFonts w:ascii="Arial" w:hAnsi="Arial"/>
          <w:sz w:val="22"/>
          <w:szCs w:val="22"/>
        </w:rPr>
        <w:t xml:space="preserve"> is growing. We pursued this by cross-referencing the top 25 positively scoring substrates from each treatment group to uncover patterns of unique nutrient utilization by </w:t>
      </w:r>
      <w:r>
        <w:rPr>
          <w:rStyle w:val="None"/>
          <w:rFonts w:ascii="Arial" w:hAnsi="Arial"/>
          <w:i/>
          <w:iCs/>
          <w:sz w:val="22"/>
          <w:szCs w:val="22"/>
        </w:rPr>
        <w:t>C. difficile</w:t>
      </w:r>
      <w:r>
        <w:rPr>
          <w:rStyle w:val="None"/>
          <w:rFonts w:ascii="Arial" w:hAnsi="Arial"/>
          <w:sz w:val="22"/>
          <w:szCs w:val="22"/>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iCs/>
          <w:sz w:val="22"/>
          <w:szCs w:val="22"/>
        </w:rPr>
        <w:t>C. difficile</w:t>
      </w:r>
      <w:r>
        <w:rPr>
          <w:rStyle w:val="None"/>
          <w:rFonts w:ascii="Arial" w:hAnsi="Arial"/>
          <w:sz w:val="22"/>
          <w:szCs w:val="22"/>
        </w:rPr>
        <w:t xml:space="preserve">;  including D-fructose, mannitol, N-acetylneuraminic acid, salicin, and D-sorbitol (Ng, 2013; Theriot, 2014). These data support that </w:t>
      </w:r>
      <w:r>
        <w:rPr>
          <w:rStyle w:val="None"/>
          <w:rFonts w:ascii="Arial" w:hAnsi="Arial"/>
          <w:i/>
          <w:iCs/>
          <w:sz w:val="22"/>
          <w:szCs w:val="22"/>
        </w:rPr>
        <w:t>C. difficile</w:t>
      </w:r>
      <w:r>
        <w:rPr>
          <w:rStyle w:val="None"/>
          <w:rFonts w:ascii="Arial" w:hAnsi="Arial"/>
          <w:sz w:val="22"/>
          <w:szCs w:val="22"/>
        </w:rPr>
        <w:t xml:space="preserve"> may exploit alternative carbon sources between the susceptible environments in colonizes.</w:t>
      </w:r>
    </w:p>
    <w:p w14:paraId="51698464" w14:textId="77777777" w:rsidR="004C352D" w:rsidRDefault="004C352D">
      <w:pPr>
        <w:pStyle w:val="Default"/>
        <w:shd w:val="clear" w:color="auto" w:fill="FFFFFF"/>
        <w:spacing w:line="480" w:lineRule="auto"/>
        <w:jc w:val="both"/>
        <w:rPr>
          <w:rFonts w:ascii="Arial" w:eastAsia="Arial" w:hAnsi="Arial" w:cs="Arial"/>
          <w:sz w:val="22"/>
          <w:szCs w:val="22"/>
        </w:rPr>
      </w:pPr>
    </w:p>
    <w:p w14:paraId="5808DC86" w14:textId="77777777" w:rsidR="004C352D" w:rsidRDefault="00BC6DB8">
      <w:pPr>
        <w:pStyle w:val="Default"/>
        <w:shd w:val="clear" w:color="auto" w:fill="FFFFFF"/>
        <w:spacing w:line="480" w:lineRule="auto"/>
        <w:jc w:val="both"/>
      </w:pPr>
      <w:r>
        <w:rPr>
          <w:rStyle w:val="None"/>
          <w:rFonts w:ascii="Arial" w:hAnsi="Arial"/>
          <w:b/>
          <w:bCs/>
          <w:i/>
          <w:iCs/>
          <w:sz w:val="22"/>
          <w:szCs w:val="22"/>
        </w:rPr>
        <w:t xml:space="preserve">In vivo </w:t>
      </w:r>
      <w:r>
        <w:rPr>
          <w:rStyle w:val="None"/>
          <w:rFonts w:ascii="Arial" w:hAnsi="Arial"/>
          <w:b/>
          <w:bCs/>
          <w:sz w:val="22"/>
          <w:szCs w:val="22"/>
        </w:rPr>
        <w:t>concentrations of substrates predicted to be important are increased in their corresponding antibiotic pretreatment.</w:t>
      </w:r>
    </w:p>
    <w:p w14:paraId="6700E59B"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r>
      <w:r>
        <w:rPr>
          <w:rStyle w:val="None"/>
          <w:rFonts w:ascii="Arial" w:hAnsi="Arial"/>
          <w:sz w:val="22"/>
          <w:szCs w:val="22"/>
        </w:rPr>
        <w:t xml:space="preserve">Several previous groups have performed gas &amp; liquid chromatography-mass spectrometry on content obtained from mice that had been either conventionally-raised then pretreated separately with the antibiotics used in this study or raised in germ free conditions.  These studies reveal that many of the substrates predicted to be used by </w:t>
      </w:r>
      <w:r>
        <w:rPr>
          <w:rStyle w:val="None"/>
          <w:rFonts w:ascii="Arial" w:hAnsi="Arial"/>
          <w:i/>
          <w:iCs/>
          <w:sz w:val="22"/>
          <w:szCs w:val="22"/>
        </w:rPr>
        <w:t>C. difficile</w:t>
      </w:r>
      <w:r>
        <w:rPr>
          <w:rStyle w:val="None"/>
          <w:rFonts w:ascii="Arial" w:hAnsi="Arial"/>
          <w:sz w:val="22"/>
          <w:szCs w:val="22"/>
        </w:rPr>
        <w:t xml:space="preserve"> in a given condition through metabolic modeling (Fig. 4C), are increased in each respective group.  For example, cefoperazone treatment resulted in a 553-fold increase in mannitol concentration in the cecum of mice prior to </w:t>
      </w:r>
      <w:r>
        <w:rPr>
          <w:rStyle w:val="None"/>
          <w:rFonts w:ascii="Arial" w:hAnsi="Arial"/>
          <w:i/>
          <w:iCs/>
          <w:sz w:val="22"/>
          <w:szCs w:val="22"/>
        </w:rPr>
        <w:t>C. difficile</w:t>
      </w:r>
      <w:r>
        <w:rPr>
          <w:rStyle w:val="None"/>
          <w:rFonts w:ascii="Arial" w:hAnsi="Arial"/>
          <w:sz w:val="22"/>
          <w:szCs w:val="22"/>
        </w:rPr>
        <w:t xml:space="preserve"> colonization (Theriot, 2013). It was also shown that fructose is significantly increased in streptomycin-treated mice and would be available to </w:t>
      </w:r>
      <w:r>
        <w:rPr>
          <w:rStyle w:val="None"/>
          <w:rFonts w:ascii="Arial" w:hAnsi="Arial"/>
          <w:i/>
          <w:iCs/>
          <w:sz w:val="22"/>
          <w:szCs w:val="22"/>
        </w:rPr>
        <w:t>C. difficile</w:t>
      </w:r>
      <w:r>
        <w:rPr>
          <w:rStyle w:val="None"/>
          <w:rFonts w:ascii="Arial" w:hAnsi="Arial"/>
          <w:sz w:val="22"/>
          <w:szCs w:val="22"/>
        </w:rPr>
        <w:t xml:space="preserve"> (Antunes, 2011). Although salicin was not directly assayed for in clindamycin-treated mice, there was a significant increase in 2-hydroxybutryate (a byproduct of salicin</w:t>
      </w:r>
      <w:r>
        <w:t xml:space="preserve"> </w:t>
      </w:r>
      <w:r>
        <w:rPr>
          <w:rStyle w:val="None"/>
          <w:rFonts w:ascii="Arial" w:hAnsi="Arial"/>
          <w:sz w:val="22"/>
          <w:szCs w:val="22"/>
        </w:rPr>
        <w:t xml:space="preserve">metabolism) 24 hours following </w:t>
      </w:r>
      <w:r>
        <w:rPr>
          <w:rStyle w:val="None"/>
          <w:rFonts w:ascii="Arial" w:hAnsi="Arial"/>
          <w:i/>
          <w:iCs/>
          <w:sz w:val="22"/>
          <w:szCs w:val="22"/>
        </w:rPr>
        <w:t>C. difficile</w:t>
      </w:r>
      <w:r>
        <w:rPr>
          <w:rStyle w:val="None"/>
          <w:rFonts w:ascii="Arial" w:hAnsi="Arial"/>
          <w:sz w:val="22"/>
          <w:szCs w:val="22"/>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In combination, these results provide evidence that our network approach accurately predicts which substrates an organism metabolizes when colonizing different environments based on transcription.</w:t>
      </w:r>
    </w:p>
    <w:p w14:paraId="28755EDA" w14:textId="77777777" w:rsidR="004C352D" w:rsidRDefault="004C352D">
      <w:pPr>
        <w:pStyle w:val="Default"/>
        <w:shd w:val="clear" w:color="auto" w:fill="FFFFFF"/>
        <w:spacing w:line="480" w:lineRule="auto"/>
        <w:jc w:val="both"/>
        <w:rPr>
          <w:rStyle w:val="None"/>
          <w:rFonts w:ascii="Arial" w:eastAsia="Arial" w:hAnsi="Arial" w:cs="Arial"/>
          <w:sz w:val="22"/>
          <w:szCs w:val="22"/>
        </w:rPr>
      </w:pPr>
    </w:p>
    <w:p w14:paraId="39C4881E"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Important carbon sources according to metabolic networks support </w:t>
      </w:r>
      <w:r>
        <w:rPr>
          <w:rStyle w:val="None"/>
          <w:rFonts w:ascii="Arial" w:hAnsi="Arial"/>
          <w:b/>
          <w:bCs/>
          <w:i/>
          <w:iCs/>
          <w:sz w:val="22"/>
          <w:szCs w:val="22"/>
        </w:rPr>
        <w:t xml:space="preserve">C. difficile </w:t>
      </w:r>
      <w:r>
        <w:rPr>
          <w:rStyle w:val="None"/>
          <w:rFonts w:ascii="Arial" w:hAnsi="Arial"/>
          <w:b/>
          <w:bCs/>
          <w:sz w:val="22"/>
          <w:szCs w:val="22"/>
        </w:rPr>
        <w:t xml:space="preserve">growth </w:t>
      </w:r>
      <w:r>
        <w:rPr>
          <w:rStyle w:val="None"/>
          <w:rFonts w:ascii="Arial" w:hAnsi="Arial"/>
          <w:b/>
          <w:bCs/>
          <w:i/>
          <w:iCs/>
          <w:sz w:val="22"/>
          <w:szCs w:val="22"/>
        </w:rPr>
        <w:t>in vitro</w:t>
      </w:r>
      <w:r>
        <w:rPr>
          <w:rStyle w:val="None"/>
          <w:rFonts w:ascii="Arial" w:hAnsi="Arial"/>
          <w:b/>
          <w:bCs/>
          <w:sz w:val="22"/>
          <w:szCs w:val="22"/>
        </w:rPr>
        <w:t>.</w:t>
      </w:r>
    </w:p>
    <w:p w14:paraId="43A6C635"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In order to validate the biological relevance of substrates identified in the previous network-based analysis, we went on to observe whether </w:t>
      </w:r>
      <w:r>
        <w:rPr>
          <w:rStyle w:val="None"/>
          <w:rFonts w:ascii="Arial" w:hAnsi="Arial"/>
          <w:i/>
          <w:iCs/>
          <w:sz w:val="22"/>
          <w:szCs w:val="22"/>
        </w:rPr>
        <w:t>C. difficile</w:t>
      </w:r>
      <w:r>
        <w:rPr>
          <w:rStyle w:val="None"/>
          <w:rFonts w:ascii="Arial" w:hAnsi="Arial"/>
          <w:sz w:val="22"/>
          <w:szCs w:val="22"/>
        </w:rPr>
        <w:t xml:space="preserve"> str. 630 was able to utilize each substrate for </w:t>
      </w:r>
      <w:r>
        <w:rPr>
          <w:rStyle w:val="None"/>
          <w:rFonts w:ascii="Arial" w:hAnsi="Arial"/>
          <w:i/>
          <w:iCs/>
          <w:sz w:val="22"/>
          <w:szCs w:val="22"/>
        </w:rPr>
        <w:t>in vitro</w:t>
      </w:r>
      <w:r>
        <w:rPr>
          <w:rStyle w:val="None"/>
          <w:rFonts w:ascii="Arial" w:hAnsi="Arial"/>
          <w:sz w:val="22"/>
          <w:szCs w:val="22"/>
        </w:rPr>
        <w:t xml:space="preserve"> growth. This was performed using the modified defined </w:t>
      </w:r>
      <w:r>
        <w:rPr>
          <w:rStyle w:val="None"/>
          <w:rFonts w:ascii="Arial" w:hAnsi="Arial"/>
          <w:i/>
          <w:iCs/>
          <w:sz w:val="22"/>
          <w:szCs w:val="22"/>
        </w:rPr>
        <w:t>C. difficile</w:t>
      </w:r>
      <w:r>
        <w:rPr>
          <w:rStyle w:val="None"/>
          <w:rFonts w:ascii="Arial" w:hAnsi="Arial"/>
          <w:sz w:val="22"/>
          <w:szCs w:val="22"/>
        </w:rPr>
        <w:t xml:space="preserve"> minimal media, supplemented individually with the selected carbohydrates (Theriot, 2014) implicated by high importance scores. As </w:t>
      </w:r>
      <w:r>
        <w:rPr>
          <w:rStyle w:val="None"/>
          <w:rFonts w:ascii="Arial" w:hAnsi="Arial"/>
          <w:i/>
          <w:iCs/>
          <w:sz w:val="22"/>
          <w:szCs w:val="22"/>
        </w:rPr>
        <w:t>C. difficile</w:t>
      </w:r>
      <w:r>
        <w:rPr>
          <w:rStyle w:val="None"/>
          <w:rFonts w:ascii="Arial" w:hAnsi="Arial"/>
          <w:sz w:val="22"/>
          <w:szCs w:val="22"/>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w:rFonts w:ascii="Arial" w:hAnsi="Arial"/>
          <w:i/>
          <w:iCs/>
          <w:sz w:val="22"/>
          <w:szCs w:val="22"/>
        </w:rPr>
        <w:t>C. difficile,</w:t>
      </w:r>
      <w:r>
        <w:rPr>
          <w:rStyle w:val="None"/>
          <w:rFonts w:ascii="Arial" w:hAnsi="Arial"/>
          <w:sz w:val="22"/>
          <w:szCs w:val="22"/>
        </w:rPr>
        <w:t xml:space="preserve"> however this analysis does not preclude the possibility that </w:t>
      </w:r>
      <w:r>
        <w:rPr>
          <w:rStyle w:val="None"/>
          <w:rFonts w:ascii="Arial" w:hAnsi="Arial"/>
          <w:i/>
          <w:iCs/>
          <w:sz w:val="22"/>
          <w:szCs w:val="22"/>
        </w:rPr>
        <w:t>C. difficile</w:t>
      </w:r>
      <w:r>
        <w:rPr>
          <w:rStyle w:val="None"/>
          <w:rFonts w:ascii="Arial" w:hAnsi="Arial"/>
          <w:sz w:val="22"/>
          <w:szCs w:val="22"/>
        </w:rPr>
        <w:t xml:space="preserve"> simply grows equally as well as it does using strictly AA for carbon.</w:t>
      </w:r>
    </w:p>
    <w:p w14:paraId="700EBAE3"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At least one carbohydrate highlighted as important in each of the antibiotic treatments groups provided high levels of </w:t>
      </w:r>
      <w:r>
        <w:rPr>
          <w:rStyle w:val="None"/>
          <w:rFonts w:ascii="Arial" w:hAnsi="Arial"/>
          <w:i/>
          <w:iCs/>
          <w:sz w:val="22"/>
          <w:szCs w:val="22"/>
        </w:rPr>
        <w:t>C. difficile</w:t>
      </w:r>
      <w:r>
        <w:rPr>
          <w:rStyle w:val="None"/>
          <w:rFonts w:ascii="Arial" w:hAnsi="Arial"/>
          <w:sz w:val="22"/>
          <w:szCs w:val="22"/>
        </w:rPr>
        <w:t xml:space="preserve"> growth (Fig. 4C). This included D-fructose (OD</w:t>
      </w:r>
      <w:r>
        <w:rPr>
          <w:rStyle w:val="None"/>
          <w:rFonts w:ascii="Arial" w:hAnsi="Arial"/>
          <w:sz w:val="22"/>
          <w:szCs w:val="22"/>
          <w:vertAlign w:val="subscript"/>
        </w:rPr>
        <w:t xml:space="preserve">600 </w:t>
      </w:r>
      <w:r>
        <w:rPr>
          <w:rStyle w:val="None"/>
          <w:rFonts w:ascii="Arial" w:hAnsi="Arial"/>
          <w:sz w:val="22"/>
          <w:szCs w:val="22"/>
        </w:rPr>
        <w:t>= 0.671), mannitol (OD</w:t>
      </w:r>
      <w:r>
        <w:rPr>
          <w:rStyle w:val="None"/>
          <w:rFonts w:ascii="Arial" w:hAnsi="Arial"/>
          <w:sz w:val="22"/>
          <w:szCs w:val="22"/>
          <w:vertAlign w:val="subscript"/>
        </w:rPr>
        <w:t xml:space="preserve">600 </w:t>
      </w:r>
      <w:r>
        <w:rPr>
          <w:rStyle w:val="None"/>
          <w:rFonts w:ascii="Arial" w:hAnsi="Arial"/>
          <w:sz w:val="22"/>
          <w:szCs w:val="22"/>
        </w:rPr>
        <w:t>= 0.464), and salicin (OD</w:t>
      </w:r>
      <w:r>
        <w:rPr>
          <w:rStyle w:val="None"/>
          <w:rFonts w:ascii="Arial" w:hAnsi="Arial"/>
          <w:sz w:val="22"/>
          <w:szCs w:val="22"/>
          <w:vertAlign w:val="subscript"/>
        </w:rPr>
        <w:t xml:space="preserve">600 </w:t>
      </w:r>
      <w:r>
        <w:rPr>
          <w:rStyle w:val="None"/>
          <w:rFonts w:ascii="Arial" w:hAnsi="Arial"/>
          <w:sz w:val="22"/>
          <w:szCs w:val="22"/>
        </w:rPr>
        <w:t xml:space="preserve">= 0.888). Each resulted in significantly more growth (corrected </w:t>
      </w:r>
      <w:r>
        <w:rPr>
          <w:rStyle w:val="None"/>
          <w:rFonts w:ascii="Arial" w:hAnsi="Arial"/>
          <w:i/>
          <w:iCs/>
          <w:sz w:val="22"/>
          <w:szCs w:val="22"/>
        </w:rPr>
        <w:t>p</w:t>
      </w:r>
      <w:r>
        <w:rPr>
          <w:rStyle w:val="None"/>
          <w:rFonts w:ascii="Arial" w:hAnsi="Arial"/>
          <w:sz w:val="22"/>
          <w:szCs w:val="22"/>
        </w:rPr>
        <w:t>-values &lt;&lt; 0.001) than AA-only control (OD</w:t>
      </w:r>
      <w:r>
        <w:rPr>
          <w:rStyle w:val="None"/>
          <w:rFonts w:ascii="Arial" w:hAnsi="Arial"/>
          <w:sz w:val="22"/>
          <w:szCs w:val="22"/>
          <w:vertAlign w:val="subscript"/>
        </w:rPr>
        <w:t xml:space="preserve">600 </w:t>
      </w:r>
      <w:r>
        <w:rPr>
          <w:rStyle w:val="None"/>
          <w:rFonts w:ascii="Arial" w:hAnsi="Arial"/>
          <w:sz w:val="22"/>
          <w:szCs w:val="22"/>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Pr>
        <w:t xml:space="preserve">600 </w:t>
      </w:r>
      <w:r>
        <w:rPr>
          <w:rStyle w:val="None"/>
          <w:rFonts w:ascii="Arial" w:hAnsi="Arial"/>
          <w:sz w:val="22"/>
          <w:szCs w:val="22"/>
        </w:rPr>
        <w:t xml:space="preserve">= 0.556) than AA-only control wells (corrected </w:t>
      </w:r>
      <w:r>
        <w:rPr>
          <w:rStyle w:val="None"/>
          <w:rFonts w:ascii="Arial" w:hAnsi="Arial"/>
          <w:i/>
          <w:iCs/>
          <w:sz w:val="22"/>
          <w:szCs w:val="22"/>
        </w:rPr>
        <w:t>p</w:t>
      </w:r>
      <w:r>
        <w:rPr>
          <w:rStyle w:val="None"/>
          <w:rFonts w:ascii="Arial" w:hAnsi="Arial"/>
          <w:sz w:val="22"/>
          <w:szCs w:val="22"/>
        </w:rPr>
        <w:t xml:space="preserve">-value &lt;&lt; 0.001). These results indicate potential efficiency or preferences by </w:t>
      </w:r>
      <w:r>
        <w:rPr>
          <w:rStyle w:val="None"/>
          <w:rFonts w:ascii="Arial" w:hAnsi="Arial"/>
          <w:i/>
          <w:iCs/>
          <w:sz w:val="22"/>
          <w:szCs w:val="22"/>
        </w:rPr>
        <w:t>C. difficile</w:t>
      </w:r>
      <w:r>
        <w:rPr>
          <w:rStyle w:val="None"/>
          <w:rFonts w:ascii="Arial" w:hAnsi="Arial"/>
          <w:sz w:val="22"/>
          <w:szCs w:val="22"/>
        </w:rPr>
        <w:t xml:space="preserve"> for the each carbohydrate source tested.</w:t>
      </w:r>
    </w:p>
    <w:p w14:paraId="00249C4A"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iCs/>
          <w:sz w:val="22"/>
          <w:szCs w:val="22"/>
        </w:rPr>
        <w:t>m</w:t>
      </w:r>
      <w:r>
        <w:rPr>
          <w:rStyle w:val="None"/>
          <w:rFonts w:ascii="Arial" w:hAnsi="Arial"/>
          <w:sz w:val="22"/>
          <w:szCs w:val="22"/>
        </w:rPr>
        <w:t xml:space="preserve"> = 0.089). Mannitol was second at 7 hours (</w:t>
      </w:r>
      <w:r>
        <w:rPr>
          <w:rStyle w:val="None"/>
          <w:rFonts w:ascii="Arial" w:hAnsi="Arial"/>
          <w:i/>
          <w:iCs/>
          <w:sz w:val="22"/>
          <w:szCs w:val="22"/>
        </w:rPr>
        <w:t>m</w:t>
      </w:r>
      <w:r>
        <w:rPr>
          <w:rStyle w:val="None"/>
          <w:rFonts w:ascii="Arial" w:hAnsi="Arial"/>
          <w:sz w:val="22"/>
          <w:szCs w:val="22"/>
        </w:rPr>
        <w:t xml:space="preserve"> = 0.044), and salicin was third at 13.5 hours (</w:t>
      </w:r>
      <w:r>
        <w:rPr>
          <w:rStyle w:val="None"/>
          <w:rFonts w:ascii="Arial" w:hAnsi="Arial"/>
          <w:i/>
          <w:iCs/>
          <w:sz w:val="22"/>
          <w:szCs w:val="22"/>
        </w:rPr>
        <w:t>m</w:t>
      </w:r>
      <w:r>
        <w:rPr>
          <w:rStyle w:val="None"/>
          <w:rFonts w:ascii="Arial" w:hAnsi="Arial"/>
          <w:sz w:val="22"/>
          <w:szCs w:val="22"/>
        </w:rPr>
        <w:t xml:space="preserve"> = 0.076). Interestingly, the salicin growth curve was still near its maximum growth rate at the 12 hour time point, while the D-fructose (</w:t>
      </w:r>
      <w:r>
        <w:rPr>
          <w:rStyle w:val="None"/>
          <w:rFonts w:ascii="Arial" w:hAnsi="Arial"/>
          <w:i/>
          <w:iCs/>
          <w:sz w:val="22"/>
          <w:szCs w:val="22"/>
        </w:rPr>
        <w:t>m</w:t>
      </w:r>
      <w:r>
        <w:rPr>
          <w:rStyle w:val="None"/>
          <w:rFonts w:ascii="Arial" w:hAnsi="Arial"/>
          <w:sz w:val="22"/>
          <w:szCs w:val="22"/>
        </w:rPr>
        <w:t xml:space="preserve"> = 0.006) and mannitol (</w:t>
      </w:r>
      <w:r>
        <w:rPr>
          <w:rStyle w:val="None"/>
          <w:rFonts w:ascii="Arial" w:hAnsi="Arial"/>
          <w:i/>
          <w:iCs/>
          <w:sz w:val="22"/>
          <w:szCs w:val="22"/>
        </w:rPr>
        <w:t>m</w:t>
      </w:r>
      <w:r>
        <w:rPr>
          <w:rStyle w:val="None"/>
          <w:rFonts w:ascii="Arial" w:hAnsi="Arial"/>
          <w:sz w:val="22"/>
          <w:szCs w:val="22"/>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Pr>
        <w:t xml:space="preserve">600 </w:t>
      </w:r>
      <w:r>
        <w:rPr>
          <w:rStyle w:val="None"/>
          <w:rFonts w:ascii="Arial" w:hAnsi="Arial"/>
          <w:sz w:val="22"/>
          <w:szCs w:val="22"/>
        </w:rPr>
        <w:t xml:space="preserve"> (OD</w:t>
      </w:r>
      <w:r>
        <w:rPr>
          <w:rStyle w:val="None"/>
          <w:rFonts w:ascii="Arial" w:hAnsi="Arial"/>
          <w:sz w:val="22"/>
          <w:szCs w:val="22"/>
          <w:vertAlign w:val="subscript"/>
        </w:rPr>
        <w:t xml:space="preserve">600 </w:t>
      </w:r>
      <w:r>
        <w:rPr>
          <w:rStyle w:val="None"/>
          <w:rFonts w:ascii="Arial" w:hAnsi="Arial"/>
          <w:sz w:val="22"/>
          <w:szCs w:val="22"/>
        </w:rPr>
        <w:t xml:space="preserve"> = 0.888) than BHI rich media control (OD</w:t>
      </w:r>
      <w:r>
        <w:rPr>
          <w:rStyle w:val="None"/>
          <w:rFonts w:ascii="Arial" w:hAnsi="Arial"/>
          <w:sz w:val="22"/>
          <w:szCs w:val="22"/>
          <w:vertAlign w:val="subscript"/>
        </w:rPr>
        <w:t xml:space="preserve">600 </w:t>
      </w:r>
      <w:r>
        <w:rPr>
          <w:rStyle w:val="None"/>
          <w:rFonts w:ascii="Arial" w:hAnsi="Arial"/>
          <w:sz w:val="22"/>
          <w:szCs w:val="22"/>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Pr>
        <w:t>600</w:t>
      </w:r>
      <w:r>
        <w:rPr>
          <w:rStyle w:val="None"/>
          <w:rFonts w:ascii="Arial" w:hAnsi="Arial"/>
          <w:sz w:val="22"/>
          <w:szCs w:val="22"/>
        </w:rPr>
        <w:t xml:space="preserve"> of some curves is most likely due to </w:t>
      </w:r>
      <w:r>
        <w:rPr>
          <w:rStyle w:val="None"/>
          <w:rFonts w:ascii="Arial" w:hAnsi="Arial"/>
          <w:i/>
          <w:iCs/>
          <w:sz w:val="22"/>
          <w:szCs w:val="22"/>
        </w:rPr>
        <w:t>C. difficile</w:t>
      </w:r>
      <w:r>
        <w:rPr>
          <w:rStyle w:val="None"/>
          <w:rFonts w:ascii="Arial" w:hAnsi="Arial"/>
          <w:sz w:val="22"/>
          <w:szCs w:val="22"/>
        </w:rPr>
        <w:t xml:space="preserve"> ceasing division and switching to primarily sporulation, which has been associated with other bacterial species (Van Beilen, 2013). </w:t>
      </w:r>
    </w:p>
    <w:p w14:paraId="178C863F"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iCs/>
          <w:sz w:val="22"/>
          <w:szCs w:val="22"/>
        </w:rPr>
        <w:t>m</w:t>
      </w:r>
      <w:r>
        <w:rPr>
          <w:rStyle w:val="None"/>
          <w:rFonts w:ascii="Arial" w:hAnsi="Arial"/>
          <w:sz w:val="22"/>
          <w:szCs w:val="22"/>
        </w:rPr>
        <w:t xml:space="preserve"> = 0.095 at 6.5 hours) is the highest reached by any media tested, yet the maximum OD</w:t>
      </w:r>
      <w:r>
        <w:rPr>
          <w:rStyle w:val="None"/>
          <w:rFonts w:ascii="Arial" w:hAnsi="Arial"/>
          <w:sz w:val="22"/>
          <w:szCs w:val="22"/>
          <w:vertAlign w:val="subscript"/>
        </w:rPr>
        <w:t>600</w:t>
      </w:r>
      <w:r>
        <w:rPr>
          <w:rStyle w:val="None"/>
          <w:rFonts w:ascii="Arial" w:hAnsi="Arial"/>
          <w:sz w:val="22"/>
          <w:szCs w:val="22"/>
        </w:rPr>
        <w:t xml:space="preserve"> of 0.510 was lower than both D-fructose and +glucose +AA control individually. In contrast, the carbohydrate combination resulted in significantly more (corrected </w:t>
      </w:r>
      <w:r>
        <w:rPr>
          <w:rStyle w:val="None"/>
          <w:rFonts w:ascii="Arial" w:hAnsi="Arial"/>
          <w:i/>
          <w:iCs/>
          <w:sz w:val="22"/>
          <w:szCs w:val="22"/>
        </w:rPr>
        <w:t>p</w:t>
      </w:r>
      <w:r>
        <w:rPr>
          <w:rStyle w:val="None"/>
          <w:rFonts w:ascii="Arial" w:hAnsi="Arial"/>
          <w:sz w:val="22"/>
          <w:szCs w:val="22"/>
        </w:rPr>
        <w:t xml:space="preserve">-value &lt;&lt; 0.001) than D-sorbitol alone. This could suggest a combinatorial effect of D-fructose and D-sorbitol together on the growth of </w:t>
      </w:r>
      <w:r>
        <w:rPr>
          <w:rStyle w:val="None"/>
          <w:rFonts w:ascii="Arial" w:hAnsi="Arial"/>
          <w:i/>
          <w:iCs/>
          <w:sz w:val="22"/>
          <w:szCs w:val="22"/>
        </w:rPr>
        <w:t>C. difficile</w:t>
      </w:r>
      <w:r>
        <w:rPr>
          <w:rStyle w:val="None"/>
          <w:rFonts w:ascii="Arial" w:hAnsi="Arial"/>
          <w:sz w:val="22"/>
          <w:szCs w:val="22"/>
        </w:rPr>
        <w:t>.</w:t>
      </w:r>
    </w:p>
    <w:p w14:paraId="0506DDAF" w14:textId="77777777" w:rsidR="004C352D" w:rsidRDefault="004C352D">
      <w:pPr>
        <w:pStyle w:val="Default"/>
        <w:shd w:val="clear" w:color="auto" w:fill="FFFFFF"/>
        <w:spacing w:line="480" w:lineRule="auto"/>
        <w:jc w:val="both"/>
        <w:rPr>
          <w:rFonts w:ascii="Arial" w:eastAsia="Arial" w:hAnsi="Arial" w:cs="Arial"/>
          <w:sz w:val="22"/>
          <w:szCs w:val="22"/>
        </w:rPr>
      </w:pPr>
    </w:p>
    <w:p w14:paraId="7373264B" w14:textId="77777777" w:rsidR="004C352D" w:rsidRDefault="004C352D">
      <w:pPr>
        <w:pStyle w:val="Default"/>
        <w:shd w:val="clear" w:color="auto" w:fill="FFFFFF"/>
        <w:spacing w:line="480" w:lineRule="auto"/>
        <w:jc w:val="both"/>
        <w:rPr>
          <w:rFonts w:ascii="Arial" w:eastAsia="Arial" w:hAnsi="Arial" w:cs="Arial"/>
          <w:sz w:val="22"/>
          <w:szCs w:val="22"/>
        </w:rPr>
      </w:pPr>
    </w:p>
    <w:p w14:paraId="23910596" w14:textId="77777777" w:rsidR="004C352D" w:rsidRDefault="004C352D">
      <w:pPr>
        <w:pStyle w:val="Default"/>
        <w:shd w:val="clear" w:color="auto" w:fill="FFFFFF"/>
        <w:spacing w:line="480" w:lineRule="auto"/>
        <w:jc w:val="both"/>
        <w:rPr>
          <w:rFonts w:ascii="Arial" w:eastAsia="Arial" w:hAnsi="Arial" w:cs="Arial"/>
          <w:sz w:val="22"/>
          <w:szCs w:val="22"/>
        </w:rPr>
      </w:pPr>
    </w:p>
    <w:p w14:paraId="0D901E97" w14:textId="77777777" w:rsidR="004C352D" w:rsidRDefault="00BC6DB8">
      <w:pPr>
        <w:pStyle w:val="Default"/>
        <w:shd w:val="clear" w:color="auto" w:fill="FFFFFF"/>
        <w:spacing w:line="480" w:lineRule="auto"/>
        <w:jc w:val="both"/>
      </w:pPr>
      <w:r>
        <w:rPr>
          <w:rStyle w:val="None"/>
          <w:rFonts w:ascii="Arial" w:hAnsi="Arial"/>
          <w:b/>
          <w:bCs/>
          <w:sz w:val="22"/>
          <w:szCs w:val="22"/>
        </w:rPr>
        <w:t>Discussion</w:t>
      </w:r>
    </w:p>
    <w:p w14:paraId="6CF24B30"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Our results indicate that </w:t>
      </w:r>
      <w:r>
        <w:rPr>
          <w:rStyle w:val="None"/>
          <w:rFonts w:ascii="Arial" w:hAnsi="Arial"/>
          <w:i/>
          <w:iCs/>
          <w:sz w:val="22"/>
          <w:szCs w:val="22"/>
        </w:rPr>
        <w:t>C. difficile</w:t>
      </w:r>
      <w:r>
        <w:rPr>
          <w:rStyle w:val="None"/>
          <w:rFonts w:ascii="Arial" w:hAnsi="Arial"/>
          <w:sz w:val="22"/>
          <w:szCs w:val="22"/>
        </w:rPr>
        <w:t xml:space="preserve"> occupies separate nutrient niches across susceptible gut environments based on which substrates are available. Both </w:t>
      </w:r>
      <w:r>
        <w:rPr>
          <w:rStyle w:val="None"/>
          <w:rFonts w:ascii="Arial" w:hAnsi="Arial"/>
          <w:i/>
          <w:iCs/>
          <w:sz w:val="22"/>
          <w:szCs w:val="22"/>
        </w:rPr>
        <w:t>in vivo</w:t>
      </w:r>
      <w:r>
        <w:rPr>
          <w:rStyle w:val="None"/>
          <w:rFonts w:ascii="Arial" w:hAnsi="Arial"/>
          <w:sz w:val="22"/>
          <w:szCs w:val="22"/>
        </w:rPr>
        <w:t xml:space="preserve"> and </w:t>
      </w:r>
      <w:r>
        <w:rPr>
          <w:rStyle w:val="None"/>
          <w:rFonts w:ascii="Arial" w:hAnsi="Arial"/>
          <w:i/>
          <w:iCs/>
          <w:sz w:val="22"/>
          <w:szCs w:val="22"/>
        </w:rPr>
        <w:t xml:space="preserve">in vitro </w:t>
      </w:r>
      <w:r>
        <w:rPr>
          <w:rStyle w:val="None"/>
          <w:rFonts w:ascii="Arial" w:hAnsi="Arial"/>
          <w:sz w:val="22"/>
          <w:szCs w:val="22"/>
        </w:rPr>
        <w:t xml:space="preserve">data support that </w:t>
      </w:r>
      <w:r>
        <w:rPr>
          <w:rStyle w:val="None"/>
          <w:rFonts w:ascii="Arial" w:hAnsi="Arial"/>
          <w:i/>
          <w:iCs/>
          <w:sz w:val="22"/>
          <w:szCs w:val="22"/>
        </w:rPr>
        <w:t>C. difficile</w:t>
      </w:r>
      <w:r>
        <w:rPr>
          <w:rStyle w:val="None"/>
          <w:rFonts w:ascii="Arial" w:hAnsi="Arial"/>
          <w:sz w:val="22"/>
          <w:szCs w:val="22"/>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iCs/>
          <w:sz w:val="22"/>
          <w:szCs w:val="22"/>
        </w:rPr>
        <w:t>C. difficile</w:t>
      </w:r>
      <w:r>
        <w:rPr>
          <w:rStyle w:val="None"/>
          <w:rFonts w:ascii="Arial" w:hAnsi="Arial"/>
          <w:sz w:val="22"/>
          <w:szCs w:val="22"/>
        </w:rPr>
        <w:t xml:space="preserve"> (Antunes, 2012). In these experiments, the level of both phenotypes varied between antibiotic pretreatment groups and initially suggested differences in metabolic cues received by </w:t>
      </w:r>
      <w:r>
        <w:rPr>
          <w:rStyle w:val="None"/>
          <w:rFonts w:ascii="Arial" w:hAnsi="Arial"/>
          <w:i/>
          <w:iCs/>
          <w:sz w:val="22"/>
          <w:szCs w:val="22"/>
        </w:rPr>
        <w:t>C. difficile</w:t>
      </w:r>
      <w:r>
        <w:rPr>
          <w:rStyle w:val="None"/>
          <w:rFonts w:ascii="Arial" w:hAnsi="Arial"/>
          <w:sz w:val="22"/>
          <w:szCs w:val="22"/>
        </w:rPr>
        <w:t xml:space="preserve"> in each of condition. By directly examining the transcription of specific metabolic pathways, we were able to gain a greater understanding of the plasticity that </w:t>
      </w:r>
      <w:r>
        <w:rPr>
          <w:rStyle w:val="None"/>
          <w:rFonts w:ascii="Arial" w:hAnsi="Arial"/>
          <w:i/>
          <w:iCs/>
          <w:sz w:val="22"/>
          <w:szCs w:val="22"/>
        </w:rPr>
        <w:t>C. difficile</w:t>
      </w:r>
      <w:r>
        <w:rPr>
          <w:rStyle w:val="None"/>
          <w:rFonts w:ascii="Arial" w:hAnsi="Arial"/>
          <w:sz w:val="22"/>
          <w:szCs w:val="22"/>
        </w:rPr>
        <w:t xml:space="preserve"> possesses for nutrient utilization.</w:t>
      </w:r>
    </w:p>
    <w:p w14:paraId="263B6374"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iCs/>
          <w:sz w:val="22"/>
          <w:szCs w:val="22"/>
        </w:rPr>
        <w:t>spo0A</w:t>
      </w:r>
      <w:r>
        <w:rPr>
          <w:rStyle w:val="None"/>
          <w:rFonts w:ascii="Arial" w:hAnsi="Arial"/>
          <w:sz w:val="22"/>
          <w:szCs w:val="22"/>
        </w:rPr>
        <w:t xml:space="preserve">, which was consistently highly expressed, </w:t>
      </w:r>
      <w:r>
        <w:rPr>
          <w:rStyle w:val="None"/>
          <w:rFonts w:ascii="Arial" w:hAnsi="Arial"/>
          <w:i/>
          <w:iCs/>
          <w:sz w:val="22"/>
          <w:szCs w:val="22"/>
        </w:rPr>
        <w:t>spo</w:t>
      </w:r>
      <w:r>
        <w:rPr>
          <w:rStyle w:val="None"/>
          <w:rFonts w:ascii="Arial" w:hAnsi="Arial"/>
          <w:sz w:val="22"/>
          <w:szCs w:val="22"/>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iCs/>
          <w:sz w:val="22"/>
          <w:szCs w:val="22"/>
        </w:rPr>
        <w:t>C. difficile</w:t>
      </w:r>
      <w:r>
        <w:rPr>
          <w:rStyle w:val="None"/>
          <w:rFonts w:ascii="Arial" w:hAnsi="Arial"/>
          <w:sz w:val="22"/>
          <w:szCs w:val="22"/>
        </w:rPr>
        <w:t xml:space="preserve"> has begun its final phase before transmission either other antibiotic group. In addition to lifestyle associated genes, </w:t>
      </w:r>
      <w:r>
        <w:rPr>
          <w:rStyle w:val="None"/>
          <w:rFonts w:ascii="Arial" w:hAnsi="Arial"/>
          <w:i/>
          <w:iCs/>
          <w:sz w:val="22"/>
          <w:szCs w:val="22"/>
        </w:rPr>
        <w:t>C. difficile</w:t>
      </w:r>
      <w:r>
        <w:rPr>
          <w:rStyle w:val="None"/>
          <w:rFonts w:ascii="Arial" w:hAnsi="Arial"/>
          <w:sz w:val="22"/>
          <w:szCs w:val="22"/>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iCs/>
          <w:sz w:val="22"/>
          <w:szCs w:val="22"/>
        </w:rPr>
        <w:t>C. difficile</w:t>
      </w:r>
      <w:r>
        <w:rPr>
          <w:rStyle w:val="None"/>
          <w:rFonts w:ascii="Arial" w:hAnsi="Arial"/>
          <w:sz w:val="22"/>
          <w:szCs w:val="22"/>
        </w:rPr>
        <w:t xml:space="preserve"> displayed increased relative abundance in gene expression associated with catabolizing monosaccharides and simple sugar alcohols. </w:t>
      </w:r>
      <w:r>
        <w:rPr>
          <w:rStyle w:val="None"/>
          <w:rFonts w:ascii="Arial" w:hAnsi="Arial"/>
          <w:i/>
          <w:iCs/>
          <w:sz w:val="22"/>
          <w:szCs w:val="22"/>
        </w:rPr>
        <w:t>C. difficile</w:t>
      </w:r>
      <w:r>
        <w:rPr>
          <w:rStyle w:val="None"/>
          <w:rFonts w:ascii="Arial" w:hAnsi="Arial"/>
          <w:sz w:val="22"/>
          <w:szCs w:val="22"/>
        </w:rPr>
        <w:t xml:space="preserve"> expression in the clindamycin treated animals seemed to favor fermentation of polysaccharides. These differences could signify a focus in nutrient catabolism for </w:t>
      </w:r>
      <w:r>
        <w:rPr>
          <w:rStyle w:val="None"/>
          <w:rFonts w:ascii="Arial" w:hAnsi="Arial"/>
          <w:i/>
          <w:iCs/>
          <w:sz w:val="22"/>
          <w:szCs w:val="22"/>
        </w:rPr>
        <w:t>C. difficile</w:t>
      </w:r>
      <w:r>
        <w:rPr>
          <w:rStyle w:val="None"/>
          <w:rFonts w:ascii="Arial" w:hAnsi="Arial"/>
          <w:sz w:val="22"/>
          <w:szCs w:val="22"/>
        </w:rPr>
        <w:t xml:space="preserve"> in some treatments and virulence/transmission in others. It has also been previously shown that this bacterium is capable of cleaving host associated glycans and liberating short amino sugars, which is a functionality </w:t>
      </w:r>
      <w:r>
        <w:rPr>
          <w:rStyle w:val="None"/>
          <w:rFonts w:ascii="Arial" w:hAnsi="Arial"/>
          <w:i/>
          <w:iCs/>
          <w:sz w:val="22"/>
          <w:szCs w:val="22"/>
        </w:rPr>
        <w:t>C. difficile</w:t>
      </w:r>
      <w:r>
        <w:rPr>
          <w:rStyle w:val="None"/>
          <w:rFonts w:ascii="Arial" w:hAnsi="Arial"/>
          <w:sz w:val="22"/>
          <w:szCs w:val="22"/>
        </w:rPr>
        <w:t xml:space="preserve"> lacks (Sebaihia, 2006).</w:t>
      </w:r>
    </w:p>
    <w:p w14:paraId="4F632C16"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Metabolic modeling results from both cefoperazone and streptomycin-treated mice indicated carbohydrates, known to be </w:t>
      </w:r>
      <w:r>
        <w:rPr>
          <w:rStyle w:val="None"/>
          <w:rFonts w:ascii="Arial" w:hAnsi="Arial"/>
          <w:i/>
          <w:iCs/>
          <w:sz w:val="22"/>
          <w:szCs w:val="22"/>
        </w:rPr>
        <w:t>C. difficile</w:t>
      </w:r>
      <w:r>
        <w:rPr>
          <w:rStyle w:val="None"/>
          <w:rFonts w:ascii="Arial" w:hAnsi="Arial"/>
          <w:sz w:val="22"/>
          <w:szCs w:val="22"/>
        </w:rPr>
        <w:t xml:space="preserve"> growth nutrients,</w:t>
      </w:r>
      <w:r>
        <w:t xml:space="preserve"> </w:t>
      </w:r>
      <w:r>
        <w:rPr>
          <w:rStyle w:val="None"/>
          <w:rFonts w:ascii="Arial" w:hAnsi="Arial"/>
          <w:sz w:val="22"/>
          <w:szCs w:val="22"/>
        </w:rPr>
        <w:t xml:space="preserve">are preferred in these conditions and are also enriched </w:t>
      </w:r>
      <w:r>
        <w:rPr>
          <w:rStyle w:val="None"/>
          <w:rFonts w:ascii="Arial" w:hAnsi="Arial"/>
          <w:i/>
          <w:iCs/>
          <w:sz w:val="22"/>
          <w:szCs w:val="22"/>
        </w:rPr>
        <w:t>in vivo</w:t>
      </w:r>
      <w:r>
        <w:rPr>
          <w:rStyle w:val="None"/>
          <w:rFonts w:ascii="Arial" w:hAnsi="Arial"/>
          <w:sz w:val="22"/>
          <w:szCs w:val="22"/>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
          <w:rFonts w:ascii="Arial" w:hAnsi="Arial"/>
          <w:i/>
          <w:iCs/>
          <w:sz w:val="22"/>
          <w:szCs w:val="22"/>
        </w:rPr>
        <w:t>C. difficile</w:t>
      </w:r>
      <w:r>
        <w:rPr>
          <w:rStyle w:val="None"/>
          <w:rFonts w:ascii="Arial" w:hAnsi="Arial"/>
          <w:sz w:val="22"/>
          <w:szCs w:val="22"/>
        </w:rPr>
        <w:t xml:space="preserve"> to get the substrates it needs to grow. Interestingly, findings from clindamycin-treated animals using the same approach suggest that salicin, and breakdown analog 4-hydroxybutanoic acid, are also likely to be used by </w:t>
      </w:r>
      <w:r>
        <w:rPr>
          <w:rStyle w:val="None"/>
          <w:rFonts w:ascii="Arial" w:hAnsi="Arial"/>
          <w:i/>
          <w:iCs/>
          <w:sz w:val="22"/>
          <w:szCs w:val="22"/>
        </w:rPr>
        <w:t>C. difficile</w:t>
      </w:r>
      <w:r>
        <w:rPr>
          <w:rStyle w:val="None"/>
          <w:rFonts w:ascii="Arial" w:hAnsi="Arial"/>
          <w:sz w:val="22"/>
          <w:szCs w:val="22"/>
        </w:rPr>
        <w:t xml:space="preserve">. Prior research has shown that salicin is readily fermented by </w:t>
      </w:r>
      <w:r>
        <w:rPr>
          <w:rStyle w:val="None"/>
          <w:rFonts w:ascii="Arial" w:hAnsi="Arial"/>
          <w:i/>
          <w:iCs/>
          <w:sz w:val="22"/>
          <w:szCs w:val="22"/>
        </w:rPr>
        <w:t>C. difficile</w:t>
      </w:r>
      <w:r>
        <w:rPr>
          <w:rStyle w:val="None"/>
          <w:rFonts w:ascii="Arial" w:hAnsi="Arial"/>
          <w:sz w:val="22"/>
          <w:szCs w:val="22"/>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Style w:val="None"/>
          <w:rFonts w:ascii="Arial" w:hAnsi="Arial"/>
          <w:i/>
          <w:iCs/>
          <w:sz w:val="22"/>
          <w:szCs w:val="22"/>
        </w:rPr>
        <w:t>increase</w:t>
      </w:r>
      <w:r>
        <w:rPr>
          <w:rStyle w:val="None"/>
          <w:rFonts w:ascii="Arial" w:hAnsi="Arial"/>
          <w:sz w:val="22"/>
          <w:szCs w:val="22"/>
        </w:rPr>
        <w:t xml:space="preserve"> severity of CDI symptoms in mice (Trindade, 2016). Network analysis also supports that</w:t>
      </w:r>
      <w:r>
        <w:t xml:space="preserve"> </w:t>
      </w:r>
      <w:r>
        <w:rPr>
          <w:rStyle w:val="None"/>
          <w:rFonts w:ascii="Arial" w:hAnsi="Arial"/>
          <w:sz w:val="22"/>
          <w:szCs w:val="22"/>
        </w:rPr>
        <w:t xml:space="preserve">in germ free mice, </w:t>
      </w:r>
      <w:r>
        <w:rPr>
          <w:rStyle w:val="None"/>
          <w:rFonts w:ascii="Arial" w:hAnsi="Arial"/>
          <w:i/>
          <w:iCs/>
          <w:sz w:val="22"/>
          <w:szCs w:val="22"/>
        </w:rPr>
        <w:t>C. difficile</w:t>
      </w:r>
      <w:r>
        <w:rPr>
          <w:rStyle w:val="None"/>
          <w:rFonts w:ascii="Arial" w:hAnsi="Arial"/>
          <w:sz w:val="22"/>
          <w:szCs w:val="22"/>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w:rFonts w:ascii="Arial" w:hAnsi="Arial"/>
          <w:i/>
          <w:iCs/>
          <w:sz w:val="22"/>
          <w:szCs w:val="22"/>
        </w:rPr>
        <w:t>C. difficile</w:t>
      </w:r>
      <w:r>
        <w:rPr>
          <w:rStyle w:val="None"/>
          <w:rFonts w:ascii="Arial" w:hAnsi="Arial"/>
          <w:sz w:val="22"/>
          <w:szCs w:val="22"/>
        </w:rPr>
        <w:t xml:space="preserve"> for N-acetylneuraminic acid as a growth substrate above most others. From these data it seems that </w:t>
      </w:r>
      <w:r>
        <w:rPr>
          <w:rStyle w:val="None"/>
          <w:rFonts w:ascii="Arial" w:hAnsi="Arial"/>
          <w:i/>
          <w:iCs/>
          <w:sz w:val="22"/>
          <w:szCs w:val="22"/>
        </w:rPr>
        <w:t>C. difficile</w:t>
      </w:r>
      <w:r>
        <w:rPr>
          <w:rStyle w:val="None"/>
          <w:rFonts w:ascii="Arial" w:hAnsi="Arial"/>
          <w:sz w:val="22"/>
          <w:szCs w:val="22"/>
        </w:rPr>
        <w:t xml:space="preserve"> alters it’s nutrient preference to fit what is most easily obtained.</w:t>
      </w:r>
    </w:p>
    <w:p w14:paraId="2A9F24C1"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r>
      <w:r>
        <w:rPr>
          <w:rStyle w:val="None"/>
          <w:rFonts w:ascii="Arial" w:hAnsi="Arial"/>
          <w:sz w:val="22"/>
          <w:szCs w:val="22"/>
        </w:rPr>
        <w:t xml:space="preserve">In light of the results presented here, our method strongly supports that </w:t>
      </w:r>
      <w:r>
        <w:rPr>
          <w:rStyle w:val="None"/>
          <w:rFonts w:ascii="Arial" w:hAnsi="Arial"/>
          <w:i/>
          <w:iCs/>
          <w:sz w:val="22"/>
          <w:szCs w:val="22"/>
        </w:rPr>
        <w:t>C. difficile</w:t>
      </w:r>
      <w:r>
        <w:rPr>
          <w:rStyle w:val="None"/>
          <w:rFonts w:ascii="Arial" w:hAnsi="Arial"/>
          <w:sz w:val="22"/>
          <w:szCs w:val="22"/>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w:rFonts w:ascii="Arial" w:hAnsi="Arial"/>
          <w:i/>
          <w:iCs/>
          <w:sz w:val="22"/>
          <w:szCs w:val="22"/>
        </w:rPr>
        <w:t>C. difficile</w:t>
      </w:r>
      <w:r>
        <w:rPr>
          <w:rStyle w:val="None"/>
          <w:rFonts w:ascii="Arial" w:hAnsi="Arial"/>
          <w:sz w:val="22"/>
          <w:szCs w:val="22"/>
        </w:rPr>
        <w:t xml:space="preserve"> from the human gut. Different classes of antibiotics may each result in a unique gut environment which </w:t>
      </w:r>
      <w:r>
        <w:rPr>
          <w:rStyle w:val="None"/>
          <w:rFonts w:ascii="Arial" w:hAnsi="Arial"/>
          <w:i/>
          <w:iCs/>
          <w:sz w:val="22"/>
          <w:szCs w:val="22"/>
        </w:rPr>
        <w:t>C. difficile</w:t>
      </w:r>
      <w:r>
        <w:rPr>
          <w:rStyle w:val="None"/>
          <w:rFonts w:ascii="Arial" w:hAnsi="Arial"/>
          <w:sz w:val="22"/>
          <w:szCs w:val="22"/>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iCs/>
          <w:sz w:val="22"/>
          <w:szCs w:val="22"/>
        </w:rPr>
        <w:t>C. difficile</w:t>
      </w:r>
      <w:r>
        <w:rPr>
          <w:rStyle w:val="None"/>
          <w:rFonts w:ascii="Arial" w:hAnsi="Arial"/>
          <w:sz w:val="22"/>
          <w:szCs w:val="22"/>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iCs/>
          <w:sz w:val="22"/>
          <w:szCs w:val="22"/>
        </w:rPr>
        <w:t>C. difficile</w:t>
      </w:r>
      <w:r>
        <w:rPr>
          <w:rStyle w:val="None"/>
          <w:rFonts w:ascii="Arial" w:hAnsi="Arial"/>
          <w:sz w:val="22"/>
          <w:szCs w:val="22"/>
        </w:rPr>
        <w:t xml:space="preserve"> clearance. This could be supported by combining the metabolic modeling technique described here using metatranscriptomic analysis of susceptible versus resistance gut bacterial communities.</w:t>
      </w:r>
    </w:p>
    <w:p w14:paraId="3651D502"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In conclusion, our findings indicate that </w:t>
      </w:r>
      <w:r>
        <w:rPr>
          <w:rStyle w:val="None"/>
          <w:rFonts w:ascii="Arial" w:hAnsi="Arial"/>
          <w:i/>
          <w:iCs/>
          <w:sz w:val="22"/>
          <w:szCs w:val="22"/>
        </w:rPr>
        <w:t>C. difficile</w:t>
      </w:r>
      <w:r>
        <w:rPr>
          <w:rStyle w:val="None"/>
          <w:rFonts w:ascii="Arial" w:hAnsi="Arial"/>
          <w:sz w:val="22"/>
          <w:szCs w:val="22"/>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w:rFonts w:ascii="Arial" w:hAnsi="Arial"/>
          <w:i/>
          <w:iCs/>
          <w:sz w:val="22"/>
          <w:szCs w:val="22"/>
        </w:rPr>
        <w:t>C. difficile</w:t>
      </w:r>
      <w:r>
        <w:rPr>
          <w:rStyle w:val="None"/>
          <w:rFonts w:ascii="Arial" w:hAnsi="Arial"/>
          <w:sz w:val="22"/>
          <w:szCs w:val="22"/>
        </w:rPr>
        <w:t xml:space="preserve">. Context-dependent limitation of certain </w:t>
      </w:r>
      <w:r>
        <w:rPr>
          <w:rStyle w:val="None"/>
          <w:rFonts w:ascii="Arial" w:hAnsi="Arial"/>
          <w:i/>
          <w:iCs/>
          <w:sz w:val="22"/>
          <w:szCs w:val="22"/>
        </w:rPr>
        <w:t>C. difficile</w:t>
      </w:r>
      <w:r>
        <w:rPr>
          <w:rStyle w:val="None"/>
          <w:rFonts w:ascii="Arial" w:hAnsi="Arial"/>
          <w:sz w:val="22"/>
          <w:szCs w:val="22"/>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w:rFonts w:ascii="Arial" w:hAnsi="Arial"/>
          <w:i/>
          <w:iCs/>
          <w:sz w:val="22"/>
          <w:szCs w:val="22"/>
        </w:rPr>
        <w:t>C. difficile</w:t>
      </w:r>
      <w:r>
        <w:rPr>
          <w:rStyle w:val="None"/>
          <w:rFonts w:ascii="Arial" w:hAnsi="Arial"/>
          <w:sz w:val="22"/>
          <w:szCs w:val="22"/>
        </w:rPr>
        <w:t xml:space="preserve"> from the human gut. By understanding vacant nutrient niches in CDI susceptible individuals, preventative microbiome-focused therapies could be personalized to each patient. </w:t>
      </w:r>
    </w:p>
    <w:p w14:paraId="7C657FD8" w14:textId="77777777" w:rsidR="004C352D" w:rsidRDefault="004C352D">
      <w:pPr>
        <w:pStyle w:val="Default"/>
        <w:shd w:val="clear" w:color="auto" w:fill="FFFFFF"/>
        <w:spacing w:line="480" w:lineRule="auto"/>
        <w:jc w:val="both"/>
        <w:rPr>
          <w:rFonts w:ascii="Arial" w:eastAsia="Arial" w:hAnsi="Arial" w:cs="Arial"/>
          <w:sz w:val="22"/>
          <w:szCs w:val="22"/>
        </w:rPr>
      </w:pPr>
    </w:p>
    <w:p w14:paraId="5CE684AB" w14:textId="77777777" w:rsidR="004C352D" w:rsidRDefault="00BC6DB8">
      <w:pPr>
        <w:pStyle w:val="Default"/>
        <w:shd w:val="clear" w:color="auto" w:fill="FFFFFF"/>
        <w:spacing w:line="480" w:lineRule="auto"/>
        <w:jc w:val="both"/>
        <w:rPr>
          <w:rStyle w:val="None"/>
          <w:rFonts w:ascii="Arial" w:eastAsia="Arial" w:hAnsi="Arial" w:cs="Arial"/>
          <w:b/>
          <w:bCs/>
          <w:sz w:val="22"/>
          <w:szCs w:val="22"/>
        </w:rPr>
      </w:pPr>
      <w:r>
        <w:rPr>
          <w:rStyle w:val="None"/>
          <w:rFonts w:ascii="Arial" w:hAnsi="Arial"/>
          <w:b/>
          <w:bCs/>
          <w:sz w:val="22"/>
          <w:szCs w:val="22"/>
        </w:rPr>
        <w:t>Materials and Methods</w:t>
      </w:r>
    </w:p>
    <w:p w14:paraId="127C7010"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Animal care and antibiotic administration. </w:t>
      </w:r>
      <w:r>
        <w:rPr>
          <w:rStyle w:val="None"/>
          <w:rFonts w:ascii="Arial" w:hAnsi="Arial"/>
          <w:sz w:val="22"/>
          <w:szCs w:val="22"/>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Conventionally-raised mice were fed LabDiet 5001, and </w:t>
      </w:r>
    </w:p>
    <w:p w14:paraId="4AE3C46B" w14:textId="77777777" w:rsidR="004C352D" w:rsidRDefault="004C352D">
      <w:pPr>
        <w:pStyle w:val="Default"/>
        <w:shd w:val="clear" w:color="auto" w:fill="FFFFFF"/>
        <w:spacing w:line="480" w:lineRule="auto"/>
        <w:jc w:val="both"/>
        <w:rPr>
          <w:rFonts w:ascii="Arial" w:eastAsia="Arial" w:hAnsi="Arial" w:cs="Arial"/>
          <w:sz w:val="22"/>
          <w:szCs w:val="22"/>
        </w:rPr>
      </w:pPr>
    </w:p>
    <w:p w14:paraId="1EF315F7"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i/>
          <w:iCs/>
          <w:sz w:val="22"/>
          <w:szCs w:val="22"/>
        </w:rPr>
        <w:t xml:space="preserve">C. difficile </w:t>
      </w:r>
      <w:r>
        <w:rPr>
          <w:rStyle w:val="None"/>
          <w:rFonts w:ascii="Arial" w:hAnsi="Arial"/>
          <w:b/>
          <w:bCs/>
          <w:sz w:val="22"/>
          <w:szCs w:val="22"/>
        </w:rPr>
        <w:t xml:space="preserve">infection and necropsy. </w:t>
      </w:r>
      <w:r>
        <w:rPr>
          <w:rStyle w:val="None"/>
          <w:rFonts w:ascii="Arial" w:hAnsi="Arial"/>
          <w:i/>
          <w:iCs/>
          <w:sz w:val="22"/>
          <w:szCs w:val="22"/>
        </w:rPr>
        <w:t>C. difficile</w:t>
      </w:r>
      <w:r>
        <w:rPr>
          <w:rStyle w:val="None"/>
          <w:rFonts w:ascii="Arial" w:hAnsi="Arial"/>
          <w:sz w:val="22"/>
          <w:szCs w:val="22"/>
        </w:rPr>
        <w:t xml:space="preserve"> strain 630 spores were prepared from a single large batch whose concentration was determined a week prior to challenge for all experiments. On the day of challenge, 1×10</w:t>
      </w:r>
      <w:r>
        <w:rPr>
          <w:rStyle w:val="None"/>
          <w:rFonts w:ascii="Arial" w:hAnsi="Arial"/>
          <w:sz w:val="22"/>
          <w:szCs w:val="22"/>
          <w:vertAlign w:val="superscript"/>
        </w:rPr>
        <w:t>3</w:t>
      </w:r>
      <w:r>
        <w:rPr>
          <w:rStyle w:val="None"/>
          <w:rFonts w:ascii="Arial" w:hAnsi="Arial"/>
          <w:sz w:val="22"/>
          <w:szCs w:val="22"/>
        </w:rPr>
        <w:t xml:space="preserve"> </w:t>
      </w:r>
      <w:r>
        <w:rPr>
          <w:rStyle w:val="None"/>
          <w:rFonts w:ascii="Arial" w:hAnsi="Arial"/>
          <w:i/>
          <w:iCs/>
          <w:sz w:val="22"/>
          <w:szCs w:val="22"/>
        </w:rPr>
        <w:t>C. difficile</w:t>
      </w:r>
      <w:r>
        <w:rPr>
          <w:rStyle w:val="None"/>
          <w:rFonts w:ascii="Arial" w:hAnsi="Arial"/>
          <w:sz w:val="22"/>
          <w:szCs w:val="22"/>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
          <w:rFonts w:ascii="Arial" w:hAnsi="Arial"/>
          <w:i/>
          <w:iCs/>
          <w:sz w:val="22"/>
          <w:szCs w:val="22"/>
        </w:rPr>
        <w:t>C. difficile</w:t>
      </w:r>
      <w:r>
        <w:rPr>
          <w:rStyle w:val="None"/>
          <w:rFonts w:ascii="Arial" w:hAnsi="Arial"/>
          <w:sz w:val="22"/>
          <w:szCs w:val="22"/>
        </w:rPr>
        <w:t xml:space="preserve"> spores.</w:t>
      </w:r>
    </w:p>
    <w:p w14:paraId="6E9E5714"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 xml:space="preserve">18 hours following infection, mice were euthanized by carbon dioxide asphyxiation. Necropsy was then performed and cecal content was split into three small aliquots (~100 </w:t>
      </w:r>
      <w:r>
        <w:rPr>
          <w:rStyle w:val="None"/>
          <w:rFonts w:ascii="Arial" w:hAnsi="Arial"/>
          <w:sz w:val="22"/>
          <w:szCs w:val="22"/>
        </w:rPr>
        <w:t>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14:paraId="4B7F9CDE" w14:textId="77777777" w:rsidR="004C352D" w:rsidRDefault="004C352D">
      <w:pPr>
        <w:pStyle w:val="Default"/>
        <w:shd w:val="clear" w:color="auto" w:fill="FFFFFF"/>
        <w:spacing w:line="480" w:lineRule="auto"/>
        <w:jc w:val="both"/>
        <w:rPr>
          <w:rFonts w:ascii="Arial" w:eastAsia="Arial" w:hAnsi="Arial" w:cs="Arial"/>
          <w:sz w:val="22"/>
          <w:szCs w:val="22"/>
        </w:rPr>
      </w:pPr>
    </w:p>
    <w:p w14:paraId="79B1BB33"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i/>
          <w:iCs/>
          <w:sz w:val="22"/>
          <w:szCs w:val="22"/>
        </w:rPr>
        <w:t>C. difficile</w:t>
      </w:r>
      <w:r>
        <w:rPr>
          <w:rStyle w:val="None"/>
          <w:rFonts w:ascii="Arial" w:hAnsi="Arial"/>
          <w:b/>
          <w:bCs/>
          <w:sz w:val="22"/>
          <w:szCs w:val="22"/>
        </w:rPr>
        <w:t xml:space="preserve"> cultivation and quantification. </w:t>
      </w:r>
      <w:r>
        <w:rPr>
          <w:rStyle w:val="None"/>
          <w:rFonts w:ascii="Arial" w:hAnsi="Arial"/>
          <w:sz w:val="22"/>
          <w:szCs w:val="22"/>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 C, CFUs from spores were quantified. Significant differences were determined by Holm-Bonferroni corrected Wilcoxon tests.</w:t>
      </w:r>
    </w:p>
    <w:p w14:paraId="32678977" w14:textId="77777777" w:rsidR="004C352D" w:rsidRDefault="004C352D">
      <w:pPr>
        <w:pStyle w:val="Default"/>
        <w:shd w:val="clear" w:color="auto" w:fill="FFFFFF"/>
        <w:spacing w:line="480" w:lineRule="auto"/>
        <w:jc w:val="both"/>
        <w:rPr>
          <w:rFonts w:ascii="Arial" w:eastAsia="Arial" w:hAnsi="Arial" w:cs="Arial"/>
          <w:sz w:val="22"/>
          <w:szCs w:val="22"/>
        </w:rPr>
      </w:pPr>
    </w:p>
    <w:p w14:paraId="49117079"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Measurement of residual antibiotics in cecal content.</w:t>
      </w:r>
      <w:r>
        <w:rPr>
          <w:rFonts w:ascii="Arial" w:hAnsi="Arial"/>
          <w:sz w:val="22"/>
          <w:szCs w:val="22"/>
        </w:rPr>
        <w:t xml:space="preserve">  Disk diffusion assays were performed using separate, newly plated lawns of </w:t>
      </w:r>
      <w:r>
        <w:rPr>
          <w:rStyle w:val="None"/>
          <w:rFonts w:ascii="Arial" w:hAnsi="Arial"/>
          <w:i/>
          <w:iCs/>
          <w:sz w:val="22"/>
          <w:szCs w:val="22"/>
        </w:rPr>
        <w:t>Clostridium difficile</w:t>
      </w:r>
      <w:r>
        <w:rPr>
          <w:rFonts w:ascii="Arial" w:hAnsi="Arial"/>
          <w:sz w:val="22"/>
          <w:szCs w:val="22"/>
        </w:rPr>
        <w:t xml:space="preserve"> str. 630 and </w:t>
      </w:r>
      <w:r>
        <w:rPr>
          <w:rStyle w:val="None"/>
          <w:rFonts w:ascii="Arial" w:hAnsi="Arial"/>
          <w:i/>
          <w:iCs/>
          <w:sz w:val="22"/>
          <w:szCs w:val="22"/>
        </w:rPr>
        <w:t>Bifidobacterium longum</w:t>
      </w:r>
      <w:r>
        <w:rPr>
          <w:rFonts w:ascii="Arial" w:hAnsi="Arial"/>
          <w:sz w:val="22"/>
          <w:szCs w:val="22"/>
        </w:rPr>
        <w:t xml:space="preserve"> subspec. </w:t>
      </w:r>
      <w:r>
        <w:rPr>
          <w:rStyle w:val="None"/>
          <w:rFonts w:ascii="Arial" w:hAnsi="Arial"/>
          <w:i/>
          <w:iCs/>
          <w:sz w:val="22"/>
          <w:szCs w:val="22"/>
        </w:rPr>
        <w:t>longum</w:t>
      </w:r>
      <w:r>
        <w:rPr>
          <w:rFonts w:ascii="Arial" w:hAnsi="Arial"/>
          <w:sz w:val="22"/>
          <w:szCs w:val="22"/>
        </w:rPr>
        <w:t xml:space="preserve"> on BHIS agar. 500 μl of pooled cecal content within each treatment group were anaerobically centrifuged at 1,000 rpm for 5 minutes.  Sterile filter papers disks were then soaked with supernatant from spun cecal content and added to plated bacteria in triplicate. P</w:t>
      </w:r>
      <w:r>
        <w:rPr>
          <w:rStyle w:val="None"/>
          <w:rFonts w:ascii="Arial" w:hAnsi="Arial"/>
          <w:sz w:val="22"/>
          <w:szCs w:val="22"/>
        </w:rPr>
        <w:t>lates were anaerobically incubated overnight at 37° C and zones of inhibition were measured the following day (Fig. S3).</w:t>
      </w:r>
    </w:p>
    <w:p w14:paraId="3D14AE6B" w14:textId="77777777" w:rsidR="004C352D" w:rsidRDefault="004C352D">
      <w:pPr>
        <w:pStyle w:val="Default"/>
        <w:shd w:val="clear" w:color="auto" w:fill="FFFFFF"/>
        <w:spacing w:line="480" w:lineRule="auto"/>
        <w:jc w:val="both"/>
        <w:rPr>
          <w:rFonts w:ascii="Arial" w:eastAsia="Arial" w:hAnsi="Arial" w:cs="Arial"/>
          <w:sz w:val="22"/>
          <w:szCs w:val="22"/>
        </w:rPr>
      </w:pPr>
    </w:p>
    <w:p w14:paraId="5D741E41" w14:textId="77777777" w:rsidR="004C352D" w:rsidRDefault="00BC6DB8">
      <w:pPr>
        <w:pStyle w:val="Default"/>
        <w:shd w:val="clear" w:color="auto" w:fill="FFFFFF"/>
        <w:spacing w:line="480" w:lineRule="auto"/>
        <w:jc w:val="both"/>
      </w:pPr>
      <w:r>
        <w:rPr>
          <w:rStyle w:val="None"/>
          <w:rFonts w:ascii="Arial" w:hAnsi="Arial"/>
          <w:b/>
          <w:bCs/>
          <w:i/>
          <w:iCs/>
          <w:sz w:val="22"/>
          <w:szCs w:val="22"/>
        </w:rPr>
        <w:t>C. difficile</w:t>
      </w:r>
      <w:r>
        <w:rPr>
          <w:rStyle w:val="None"/>
          <w:rFonts w:ascii="Arial" w:hAnsi="Arial"/>
          <w:b/>
          <w:bCs/>
          <w:sz w:val="22"/>
          <w:szCs w:val="22"/>
        </w:rPr>
        <w:t xml:space="preserve"> toxin titer assay.</w:t>
      </w:r>
      <w:r>
        <w:rPr>
          <w:rStyle w:val="None"/>
          <w:rFonts w:ascii="Arial" w:hAnsi="Arial"/>
          <w:sz w:val="22"/>
          <w:szCs w:val="22"/>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
          <w:rFonts w:ascii="Arial" w:hAnsi="Arial"/>
          <w:sz w:val="22"/>
          <w:szCs w:val="22"/>
          <w:vertAlign w:val="superscript"/>
        </w:rPr>
        <w:t>5</w:t>
      </w:r>
      <w:r>
        <w:rPr>
          <w:rStyle w:val="None"/>
          <w:rFonts w:ascii="Arial" w:hAnsi="Arial"/>
          <w:sz w:val="22"/>
          <w:szCs w:val="22"/>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14:paraId="4AB98638" w14:textId="77777777" w:rsidR="004C352D" w:rsidRDefault="00BC6DB8">
      <w:pPr>
        <w:pStyle w:val="Default"/>
        <w:shd w:val="clear" w:color="auto" w:fill="FFFFFF"/>
        <w:spacing w:line="480" w:lineRule="auto"/>
      </w:pPr>
      <w:hyperlink r:id="rId10" w:history="1">
        <w:r>
          <w:rPr>
            <w:rStyle w:val="Hyperlink1"/>
          </w:rPr>
          <w:t>https://github.com/jlleslie/Intraspecific_Competition/blob/master/methods/Verocell_ToxinActivity_Assa</w:t>
        </w:r>
      </w:hyperlink>
      <w:hyperlink r:id="rId11" w:history="1">
        <w:r>
          <w:rPr>
            <w:rStyle w:val="Hyperlink1"/>
          </w:rPr>
          <w:t>y.Rmd</w:t>
        </w:r>
      </w:hyperlink>
    </w:p>
    <w:p w14:paraId="5B9006B8" w14:textId="77777777" w:rsidR="00663D78" w:rsidRDefault="00663D78">
      <w:pPr>
        <w:pStyle w:val="Default"/>
        <w:shd w:val="clear" w:color="auto" w:fill="FFFFFF"/>
        <w:spacing w:line="480" w:lineRule="auto"/>
        <w:jc w:val="both"/>
        <w:rPr>
          <w:rFonts w:ascii="Arial" w:hAnsi="Arial"/>
          <w:sz w:val="22"/>
          <w:szCs w:val="22"/>
        </w:rPr>
      </w:pPr>
      <w:r w:rsidRPr="00663D78">
        <w:rPr>
          <w:rFonts w:ascii="Arial" w:hAnsi="Arial"/>
          <w:sz w:val="22"/>
          <w:szCs w:val="22"/>
          <w:highlight w:val="yellow"/>
        </w:rPr>
        <w:t xml:space="preserve">In order to generate enough mRNA biomass contributed by </w:t>
      </w:r>
      <w:r w:rsidRPr="00663D78">
        <w:rPr>
          <w:rFonts w:ascii="Arial" w:hAnsi="Arial"/>
          <w:i/>
          <w:iCs/>
          <w:sz w:val="22"/>
          <w:szCs w:val="22"/>
          <w:highlight w:val="yellow"/>
        </w:rPr>
        <w:t>C. difficile</w:t>
      </w:r>
      <w:r w:rsidRPr="00663D78">
        <w:rPr>
          <w:rFonts w:ascii="Arial" w:hAnsi="Arial"/>
          <w:sz w:val="22"/>
          <w:szCs w:val="22"/>
          <w:highlight w:val="yellow"/>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w:t>
      </w:r>
      <w:r>
        <w:rPr>
          <w:rFonts w:ascii="Arial" w:hAnsi="Arial"/>
          <w:sz w:val="22"/>
          <w:szCs w:val="22"/>
        </w:rPr>
        <w:t xml:space="preserve"> </w:t>
      </w:r>
    </w:p>
    <w:p w14:paraId="2AFABEF1" w14:textId="77777777" w:rsidR="00663D78" w:rsidRDefault="00663D78">
      <w:pPr>
        <w:pStyle w:val="Default"/>
        <w:shd w:val="clear" w:color="auto" w:fill="FFFFFF"/>
        <w:spacing w:line="480" w:lineRule="auto"/>
        <w:jc w:val="both"/>
        <w:rPr>
          <w:rFonts w:ascii="Arial" w:eastAsia="Arial" w:hAnsi="Arial" w:cs="Arial"/>
          <w:sz w:val="22"/>
          <w:szCs w:val="22"/>
        </w:rPr>
      </w:pPr>
    </w:p>
    <w:p w14:paraId="36D11629"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RNA extraction and library preparation. </w:t>
      </w:r>
      <w:r>
        <w:rPr>
          <w:rStyle w:val="None"/>
          <w:rFonts w:ascii="Arial" w:hAnsi="Arial"/>
          <w:sz w:val="22"/>
          <w:szCs w:val="22"/>
        </w:rPr>
        <w:t xml:space="preserve">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w:t>
      </w:r>
    </w:p>
    <w:p w14:paraId="0E4BF698"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The aqueous phase was then transferred to a sterile tube and an equal volume of acid phenol/chloroform was added. This mixture was vortexed and centrifuged at 2,500 g at 4</w:t>
      </w:r>
      <w:r>
        <w:rPr>
          <w:rStyle w:val="None"/>
          <w:rFonts w:ascii="Arial" w:hAnsi="Arial"/>
          <w:sz w:val="22"/>
          <w:szCs w:val="22"/>
        </w:rPr>
        <w:t>°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w:t>
      </w:r>
    </w:p>
    <w:p w14:paraId="133FD494" w14:textId="77777777" w:rsidR="004C352D" w:rsidRDefault="00BC6DB8">
      <w:pPr>
        <w:pStyle w:val="Default"/>
        <w:shd w:val="clear" w:color="auto" w:fill="FFFFFF"/>
        <w:spacing w:line="480" w:lineRule="auto"/>
        <w:jc w:val="both"/>
      </w:pPr>
      <w:r>
        <w:rPr>
          <w:rStyle w:val="None"/>
          <w:rFonts w:ascii="Arial" w:eastAsia="Arial" w:hAnsi="Arial" w:cs="Arial"/>
          <w:sz w:val="22"/>
          <w:szCs w:val="22"/>
        </w:rPr>
        <w:tab/>
        <w:t xml:space="preserve">Following the manufacterer's protocol, samples were then treated with 2 </w:t>
      </w:r>
      <w:r>
        <w:rPr>
          <w:rStyle w:val="None"/>
          <w:rFonts w:ascii="Arial" w:hAnsi="Arial"/>
          <w:sz w:val="22"/>
          <w:szCs w:val="22"/>
        </w:rPr>
        <w:t>μl of Turbo DNase for 30 minutes</w:t>
      </w:r>
      <w:r>
        <w:t xml:space="preserve"> </w:t>
      </w:r>
      <w:r>
        <w:rPr>
          <w:rStyle w:val="None"/>
          <w:rFonts w:ascii="Arial" w:hAnsi="Arial"/>
          <w:sz w:val="22"/>
          <w:szCs w:val="22"/>
        </w:rPr>
        <w:t>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14:paraId="12CADD74" w14:textId="77777777" w:rsidR="004C352D" w:rsidRDefault="00BC6DB8">
      <w:pPr>
        <w:pStyle w:val="Default"/>
        <w:shd w:val="clear" w:color="auto" w:fill="FFFFFF"/>
        <w:spacing w:line="480" w:lineRule="auto"/>
        <w:jc w:val="both"/>
      </w:pPr>
      <w:hyperlink r:id="rId12" w:history="1">
        <w:r>
          <w:rPr>
            <w:rStyle w:val="Hyperlink0"/>
          </w:rPr>
          <w:t>https://github.com/SchlossLab/Jenior_Transcriptomics_2015/blob/master/doc/wetlab_protocol.txt</w:t>
        </w:r>
      </w:hyperlink>
    </w:p>
    <w:p w14:paraId="0B9E5AA6" w14:textId="5418DA4F" w:rsidR="004C352D" w:rsidRDefault="004C352D">
      <w:pPr>
        <w:pStyle w:val="Default"/>
        <w:shd w:val="clear" w:color="auto" w:fill="FFFFFF"/>
        <w:spacing w:line="480" w:lineRule="auto"/>
        <w:jc w:val="both"/>
        <w:rPr>
          <w:rStyle w:val="None"/>
          <w:rFonts w:ascii="Arial" w:eastAsia="Arial" w:hAnsi="Arial" w:cs="Arial"/>
          <w:sz w:val="22"/>
          <w:szCs w:val="22"/>
        </w:rPr>
      </w:pPr>
    </w:p>
    <w:p w14:paraId="242194A2" w14:textId="77777777" w:rsidR="00663D78" w:rsidRDefault="00663D78" w:rsidP="00663D78">
      <w:pPr>
        <w:pStyle w:val="Default"/>
        <w:shd w:val="clear" w:color="auto" w:fill="FFFFFF"/>
        <w:spacing w:line="480" w:lineRule="auto"/>
        <w:jc w:val="both"/>
        <w:rPr>
          <w:rFonts w:ascii="Arial" w:hAnsi="Arial"/>
          <w:sz w:val="22"/>
          <w:szCs w:val="22"/>
        </w:rPr>
      </w:pPr>
      <w:r w:rsidRPr="00663D78">
        <w:rPr>
          <w:rFonts w:ascii="Arial" w:hAnsi="Arial"/>
          <w:sz w:val="22"/>
          <w:szCs w:val="22"/>
          <w:highlight w:val="yellow"/>
        </w:rPr>
        <w:t>Fully curated reads were the mapped to C</w:t>
      </w:r>
      <w:r w:rsidRPr="00663D78">
        <w:rPr>
          <w:rFonts w:ascii="Arial" w:hAnsi="Arial"/>
          <w:i/>
          <w:iCs/>
          <w:sz w:val="22"/>
          <w:szCs w:val="22"/>
          <w:highlight w:val="yellow"/>
        </w:rPr>
        <w:t>lostridium difficile</w:t>
      </w:r>
      <w:r w:rsidRPr="00663D78">
        <w:rPr>
          <w:rFonts w:ascii="Arial" w:hAnsi="Arial"/>
          <w:sz w:val="22"/>
          <w:szCs w:val="22"/>
          <w:highlight w:val="yellow"/>
        </w:rPr>
        <w:t xml:space="preserve"> str. 630 genes. This resulted in ~150,000 curated reads per group left for downstream analysis. Each collection of reads was then 1000-fold iteratively subsampled to 97,930 reads to generate bootstrapped confidence intervals for each gene (Fig. 2).</w:t>
      </w:r>
    </w:p>
    <w:p w14:paraId="587BE589" w14:textId="77777777" w:rsidR="00663D78" w:rsidRDefault="00663D78">
      <w:pPr>
        <w:pStyle w:val="Default"/>
        <w:shd w:val="clear" w:color="auto" w:fill="FFFFFF"/>
        <w:spacing w:line="480" w:lineRule="auto"/>
        <w:jc w:val="both"/>
        <w:rPr>
          <w:rStyle w:val="None"/>
          <w:rFonts w:ascii="Arial" w:eastAsia="Arial" w:hAnsi="Arial" w:cs="Arial"/>
          <w:b/>
          <w:bCs/>
          <w:sz w:val="22"/>
          <w:szCs w:val="22"/>
        </w:rPr>
      </w:pPr>
    </w:p>
    <w:p w14:paraId="55084BEC" w14:textId="77777777" w:rsidR="004C352D" w:rsidRDefault="00BC6DB8">
      <w:pPr>
        <w:pStyle w:val="Default"/>
        <w:shd w:val="clear" w:color="auto" w:fill="FFFFFF"/>
        <w:spacing w:line="480" w:lineRule="auto"/>
        <w:jc w:val="both"/>
      </w:pPr>
      <w:r>
        <w:rPr>
          <w:rStyle w:val="None"/>
          <w:rFonts w:ascii="Arial" w:hAnsi="Arial"/>
          <w:b/>
          <w:bCs/>
          <w:sz w:val="22"/>
          <w:szCs w:val="22"/>
        </w:rPr>
        <w:t xml:space="preserve">Sequence curation, read mapping, and normalization. </w:t>
      </w:r>
      <w:r>
        <w:rPr>
          <w:rStyle w:val="None"/>
          <w:rFonts w:ascii="Arial" w:hAnsi="Arial"/>
          <w:sz w:val="22"/>
          <w:szCs w:val="22"/>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rPr>
        <w:t>Peptoclostridium difficile</w:t>
      </w:r>
      <w:r>
        <w:rPr>
          <w:rStyle w:val="None"/>
          <w:rFonts w:ascii="Arial" w:hAnsi="Arial"/>
          <w:sz w:val="22"/>
          <w:szCs w:val="22"/>
        </w:rPr>
        <w:t xml:space="preserve"> str. 630 from the Kyoto Encyclopedia of Genes and Genomes (KEGG). Optical and PCR duplicates were then removed using Picard MarkDuplicates (</w:t>
      </w:r>
      <w:hyperlink r:id="rId13" w:history="1">
        <w:r>
          <w:rPr>
            <w:rStyle w:val="Hyperlink0"/>
          </w:rPr>
          <w:t>http://broadinstitute.github.io/picard/</w:t>
        </w:r>
      </w:hyperlink>
      <w:r>
        <w:rPr>
          <w:rStyle w:val="None"/>
          <w:rFonts w:ascii="Arial" w:hAnsi="Arial"/>
          <w:sz w:val="22"/>
          <w:szCs w:val="22"/>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14:paraId="3A5590B9" w14:textId="77777777" w:rsidR="004C352D" w:rsidRDefault="004C352D">
      <w:pPr>
        <w:pStyle w:val="Default"/>
        <w:shd w:val="clear" w:color="auto" w:fill="FFFFFF"/>
        <w:spacing w:line="480" w:lineRule="auto"/>
        <w:jc w:val="both"/>
        <w:rPr>
          <w:rFonts w:ascii="Arial" w:eastAsia="Arial" w:hAnsi="Arial" w:cs="Arial"/>
          <w:sz w:val="22"/>
          <w:szCs w:val="22"/>
        </w:rPr>
      </w:pPr>
    </w:p>
    <w:p w14:paraId="7F9DE9F0"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Bipartite Metabolic Modeling. </w:t>
      </w:r>
      <w:r>
        <w:rPr>
          <w:rStyle w:val="None"/>
          <w:rFonts w:ascii="Arial" w:hAnsi="Arial"/>
          <w:sz w:val="22"/>
          <w:szCs w:val="22"/>
        </w:rPr>
        <w:t xml:space="preserve">The metabolism of </w:t>
      </w:r>
      <w:r>
        <w:rPr>
          <w:rStyle w:val="None"/>
          <w:rFonts w:ascii="Arial" w:hAnsi="Arial"/>
          <w:i/>
          <w:iCs/>
          <w:sz w:val="22"/>
          <w:szCs w:val="22"/>
        </w:rPr>
        <w:t>C. difficile</w:t>
      </w:r>
      <w:r>
        <w:rPr>
          <w:rStyle w:val="None"/>
          <w:rFonts w:ascii="Arial" w:hAnsi="Arial"/>
          <w:sz w:val="22"/>
          <w:szCs w:val="22"/>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iCs/>
          <w:sz w:val="22"/>
          <w:szCs w:val="22"/>
        </w:rPr>
        <w:t>C. difficile</w:t>
      </w:r>
      <w:r>
        <w:rPr>
          <w:rStyle w:val="None"/>
          <w:rFonts w:ascii="Arial" w:hAnsi="Arial"/>
          <w:sz w:val="22"/>
          <w:szCs w:val="22"/>
        </w:rPr>
        <w:t xml:space="preserve"> str. 630 contains a total of 1205 individual nodes (447 enzymes and 758 substrates) with 2135 edges. Transcriptomic mapping data is then re-associated with the respective enzyme nodes prior to substrate importance calculations. </w:t>
      </w:r>
    </w:p>
    <w:p w14:paraId="68248922" w14:textId="77777777" w:rsidR="004C352D" w:rsidRDefault="00BC6DB8">
      <w:pPr>
        <w:pStyle w:val="Default"/>
        <w:shd w:val="clear" w:color="auto" w:fill="FFFFFF"/>
        <w:spacing w:line="480" w:lineRule="auto"/>
        <w:jc w:val="both"/>
      </w:pPr>
      <w:r>
        <w:rPr>
          <w:rStyle w:val="None"/>
          <w:rFonts w:ascii="Arial" w:eastAsia="Arial" w:hAnsi="Arial" w:cs="Arial"/>
          <w:sz w:val="22"/>
          <w:szCs w:val="22"/>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r>
        <w:rPr>
          <w:rStyle w:val="None"/>
          <w:rFonts w:ascii="Arial" w:hAnsi="Arial"/>
          <w:sz w:val="22"/>
          <w:szCs w:val="22"/>
        </w:rPr>
        <w:t xml:space="preserv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hyperlink r:id="rId14" w:history="1">
        <w:r>
          <w:rPr>
            <w:rStyle w:val="Hyperlink0"/>
          </w:rPr>
          <w:t>https://github.com/mjenior/bigsmall</w:t>
        </w:r>
      </w:hyperlink>
      <w:r>
        <w:rPr>
          <w:rStyle w:val="None"/>
          <w:rFonts w:ascii="Arial" w:hAnsi="Arial"/>
          <w:sz w:val="22"/>
          <w:szCs w:val="22"/>
        </w:rPr>
        <w:t>.</w:t>
      </w:r>
    </w:p>
    <w:p w14:paraId="5CADBB63" w14:textId="77777777" w:rsidR="004C352D" w:rsidRDefault="004C352D">
      <w:pPr>
        <w:pStyle w:val="Default"/>
        <w:shd w:val="clear" w:color="auto" w:fill="FFFFFF"/>
        <w:spacing w:line="480" w:lineRule="auto"/>
        <w:jc w:val="both"/>
        <w:rPr>
          <w:rFonts w:ascii="Arial" w:eastAsia="Arial" w:hAnsi="Arial" w:cs="Arial"/>
          <w:sz w:val="22"/>
          <w:szCs w:val="22"/>
        </w:rPr>
      </w:pPr>
    </w:p>
    <w:p w14:paraId="0FFA9D3C"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Mathematical validation of metabolite importance scores. </w:t>
      </w:r>
      <w:r>
        <w:rPr>
          <w:rStyle w:val="None"/>
          <w:rFonts w:ascii="Arial" w:hAnsi="Arial"/>
          <w:sz w:val="22"/>
          <w:szCs w:val="22"/>
        </w:rPr>
        <w:t xml:space="preserve">As sequencing replicates of </w:t>
      </w:r>
      <w:r>
        <w:rPr>
          <w:rStyle w:val="None"/>
          <w:rFonts w:ascii="Arial" w:hAnsi="Arial"/>
          <w:i/>
          <w:iCs/>
          <w:sz w:val="22"/>
          <w:szCs w:val="22"/>
        </w:rPr>
        <w:t>in vivo</w:t>
      </w:r>
      <w:r>
        <w:rPr>
          <w:rStyle w:val="None"/>
          <w:rFonts w:ascii="Arial" w:hAnsi="Arial"/>
          <w:sz w:val="22"/>
          <w:szCs w:val="22"/>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14:paraId="1C6EB93A" w14:textId="77777777" w:rsidR="004C352D" w:rsidRDefault="004C352D">
      <w:pPr>
        <w:pStyle w:val="Default"/>
        <w:shd w:val="clear" w:color="auto" w:fill="FFFFFF"/>
        <w:spacing w:line="480" w:lineRule="auto"/>
        <w:jc w:val="both"/>
        <w:rPr>
          <w:rFonts w:ascii="Arial" w:eastAsia="Arial" w:hAnsi="Arial" w:cs="Arial"/>
          <w:sz w:val="22"/>
          <w:szCs w:val="22"/>
        </w:rPr>
      </w:pPr>
    </w:p>
    <w:p w14:paraId="5EC4A2E9"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Anaerobic </w:t>
      </w:r>
      <w:r>
        <w:rPr>
          <w:rStyle w:val="None"/>
          <w:rFonts w:ascii="Arial" w:hAnsi="Arial"/>
          <w:b/>
          <w:bCs/>
          <w:i/>
          <w:iCs/>
          <w:sz w:val="22"/>
          <w:szCs w:val="22"/>
        </w:rPr>
        <w:t>in vitro C. difficile</w:t>
      </w:r>
      <w:r>
        <w:rPr>
          <w:rStyle w:val="None"/>
          <w:rFonts w:ascii="Arial" w:hAnsi="Arial"/>
          <w:b/>
          <w:bCs/>
          <w:sz w:val="22"/>
          <w:szCs w:val="22"/>
        </w:rPr>
        <w:t xml:space="preserve"> growth curves. </w:t>
      </w:r>
      <w:r>
        <w:rPr>
          <w:rStyle w:val="None"/>
          <w:rFonts w:ascii="Arial" w:hAnsi="Arial"/>
          <w:sz w:val="22"/>
          <w:szCs w:val="22"/>
        </w:rPr>
        <w:t xml:space="preserve">The carbon-free variation of </w:t>
      </w:r>
      <w:r>
        <w:rPr>
          <w:rStyle w:val="None"/>
          <w:rFonts w:ascii="Arial" w:hAnsi="Arial"/>
          <w:i/>
          <w:iCs/>
          <w:sz w:val="22"/>
          <w:szCs w:val="22"/>
        </w:rPr>
        <w:t>C. difficile</w:t>
      </w:r>
      <w:r>
        <w:rPr>
          <w:rStyle w:val="None"/>
          <w:rFonts w:ascii="Arial" w:hAnsi="Arial"/>
          <w:sz w:val="22"/>
          <w:szCs w:val="22"/>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14:paraId="38AAB15E"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eastAsia="Arial" w:hAnsi="Arial" w:cs="Arial"/>
          <w:sz w:val="22"/>
          <w:szCs w:val="22"/>
        </w:rPr>
        <w:tab/>
        <w:t>All culturing and growth measurement were performed anaerobically in a Coy Type B Vinyl Anaerobic Chamber (3.0% H, 5.0% CO</w:t>
      </w:r>
      <w:r>
        <w:rPr>
          <w:rStyle w:val="None"/>
          <w:rFonts w:ascii="Arial" w:hAnsi="Arial"/>
          <w:sz w:val="22"/>
          <w:szCs w:val="22"/>
          <w:vertAlign w:val="subscript"/>
        </w:rPr>
        <w:t>2</w:t>
      </w:r>
      <w:r>
        <w:rPr>
          <w:rStyle w:val="None"/>
          <w:rFonts w:ascii="Arial" w:hAnsi="Arial"/>
          <w:sz w:val="22"/>
          <w:szCs w:val="22"/>
        </w:rPr>
        <w:t xml:space="preserve">, 92.0% N, 0.0% O). </w:t>
      </w:r>
      <w:r>
        <w:rPr>
          <w:rStyle w:val="None"/>
          <w:rFonts w:ascii="Arial" w:hAnsi="Arial"/>
          <w:i/>
          <w:iCs/>
          <w:sz w:val="22"/>
          <w:szCs w:val="22"/>
        </w:rPr>
        <w:t>C. difficile</w:t>
      </w:r>
      <w:r>
        <w:rPr>
          <w:rStyle w:val="None"/>
          <w:rFonts w:ascii="Arial" w:hAnsi="Arial"/>
          <w:sz w:val="22"/>
          <w:szCs w:val="22"/>
        </w:rPr>
        <w:t xml:space="preserve"> str. 630 was grown for 14 hours at 37° C in 3 ml BHI + 0.5% cysteine. Cultures were then centrifuged at 2000 rpm for 5 minutes and resulting pellets were then washed twice with sterile, anaerobic 1x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rPr>
        <w:t>600</w:t>
      </w:r>
      <w:r>
        <w:rPr>
          <w:rStyle w:val="None"/>
          <w:rFonts w:ascii="Arial" w:hAnsi="Arial"/>
          <w:sz w:val="22"/>
          <w:szCs w:val="22"/>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Pr>
        <w:t>600</w:t>
      </w:r>
      <w:r>
        <w:rPr>
          <w:rStyle w:val="None"/>
          <w:rFonts w:ascii="Arial" w:hAnsi="Arial"/>
          <w:sz w:val="22"/>
          <w:szCs w:val="22"/>
        </w:rPr>
        <w:t xml:space="preserve"> over time in R to obtain the slope at each time point. Significant differences were determined by Holm-Bonferroni corrected 2-way ANOVA.</w:t>
      </w:r>
    </w:p>
    <w:p w14:paraId="07632C22" w14:textId="77777777" w:rsidR="004C352D" w:rsidRDefault="004C352D">
      <w:pPr>
        <w:pStyle w:val="Default"/>
        <w:shd w:val="clear" w:color="auto" w:fill="FFFFFF"/>
        <w:spacing w:line="480" w:lineRule="auto"/>
        <w:jc w:val="both"/>
        <w:rPr>
          <w:rFonts w:ascii="Arial" w:eastAsia="Arial" w:hAnsi="Arial" w:cs="Arial"/>
          <w:sz w:val="22"/>
          <w:szCs w:val="22"/>
        </w:rPr>
      </w:pPr>
    </w:p>
    <w:p w14:paraId="02A0C4AF" w14:textId="77777777" w:rsidR="004C352D" w:rsidRDefault="00BC6DB8">
      <w:pPr>
        <w:pStyle w:val="Textbody"/>
        <w:shd w:val="clear" w:color="auto" w:fill="FFFFFF"/>
        <w:spacing w:line="480" w:lineRule="auto"/>
        <w:ind w:left="480" w:hanging="480"/>
        <w:jc w:val="both"/>
        <w:rPr>
          <w:rStyle w:val="None"/>
          <w:rFonts w:ascii="Arial" w:eastAsia="Arial" w:hAnsi="Arial" w:cs="Arial"/>
          <w:b/>
          <w:bCs/>
          <w:sz w:val="22"/>
          <w:szCs w:val="22"/>
        </w:rPr>
      </w:pPr>
      <w:r>
        <w:rPr>
          <w:rStyle w:val="None"/>
          <w:rFonts w:ascii="Arial" w:hAnsi="Arial"/>
          <w:b/>
          <w:bCs/>
          <w:sz w:val="22"/>
          <w:szCs w:val="22"/>
        </w:rPr>
        <w:t>Figure Legends</w:t>
      </w:r>
    </w:p>
    <w:p w14:paraId="6CA6271E"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Figure 1 | Experimental timelines and </w:t>
      </w:r>
      <w:r>
        <w:rPr>
          <w:rStyle w:val="None"/>
          <w:rFonts w:ascii="Arial" w:hAnsi="Arial"/>
          <w:b/>
          <w:bCs/>
          <w:i/>
          <w:iCs/>
          <w:sz w:val="22"/>
          <w:szCs w:val="22"/>
        </w:rPr>
        <w:t>C. difficile</w:t>
      </w:r>
      <w:r>
        <w:rPr>
          <w:rStyle w:val="None"/>
          <w:rFonts w:ascii="Arial" w:hAnsi="Arial"/>
          <w:b/>
          <w:bCs/>
          <w:sz w:val="22"/>
          <w:szCs w:val="22"/>
        </w:rPr>
        <w:t xml:space="preserve"> phenotype quantification 18 hours after infection.</w:t>
      </w:r>
      <w:r>
        <w:rPr>
          <w:rStyle w:val="None"/>
          <w:rFonts w:ascii="Arial" w:hAnsi="Arial"/>
          <w:sz w:val="22"/>
          <w:szCs w:val="22"/>
        </w:rPr>
        <w:t xml:space="preserve"> </w:t>
      </w:r>
      <w:r>
        <w:rPr>
          <w:rStyle w:val="None"/>
          <w:rFonts w:ascii="Arial" w:hAnsi="Arial"/>
          <w:b/>
          <w:bCs/>
          <w:sz w:val="22"/>
          <w:szCs w:val="22"/>
        </w:rPr>
        <w:t>A)</w:t>
      </w:r>
      <w:r>
        <w:rPr>
          <w:rStyle w:val="None"/>
          <w:rFonts w:ascii="Arial" w:hAnsi="Arial"/>
          <w:sz w:val="22"/>
          <w:szCs w:val="22"/>
        </w:rPr>
        <w:t xml:space="preserve"> Experimental timelines for the antibiotic treatments used to sensitize animals to </w:t>
      </w:r>
      <w:r>
        <w:rPr>
          <w:rStyle w:val="None"/>
          <w:rFonts w:ascii="Arial" w:hAnsi="Arial"/>
          <w:i/>
          <w:iCs/>
          <w:sz w:val="22"/>
          <w:szCs w:val="22"/>
        </w:rPr>
        <w:t>C. difficile</w:t>
      </w:r>
      <w:r>
        <w:rPr>
          <w:rStyle w:val="None"/>
          <w:rFonts w:ascii="Arial" w:hAnsi="Arial"/>
          <w:sz w:val="22"/>
          <w:szCs w:val="22"/>
        </w:rPr>
        <w:t xml:space="preserve"> colonization and infection (n = 9 per treatment group). </w:t>
      </w:r>
      <w:r>
        <w:rPr>
          <w:rStyle w:val="None"/>
          <w:rFonts w:ascii="Arial" w:hAnsi="Arial"/>
          <w:b/>
          <w:bCs/>
          <w:sz w:val="22"/>
          <w:szCs w:val="22"/>
        </w:rPr>
        <w:t>B)</w:t>
      </w:r>
      <w:r>
        <w:rPr>
          <w:rStyle w:val="None"/>
          <w:rFonts w:ascii="Arial" w:hAnsi="Arial"/>
          <w:sz w:val="22"/>
          <w:szCs w:val="22"/>
        </w:rPr>
        <w:t xml:space="preserve"> Toxin titer measured by activity in Vero cell rounding assay. </w:t>
      </w:r>
      <w:r>
        <w:rPr>
          <w:rStyle w:val="None"/>
          <w:rFonts w:ascii="Arial" w:hAnsi="Arial"/>
          <w:i/>
          <w:iCs/>
          <w:sz w:val="22"/>
          <w:szCs w:val="22"/>
        </w:rPr>
        <w:t>C. difficile</w:t>
      </w:r>
      <w:r>
        <w:rPr>
          <w:rStyle w:val="None"/>
          <w:rFonts w:ascii="Arial" w:hAnsi="Arial"/>
          <w:sz w:val="22"/>
          <w:szCs w:val="22"/>
        </w:rPr>
        <w:t xml:space="preserve"> monoassociated with germfree mice displayed significantly more toxin activity than any antibiotic treatment (corrected </w:t>
      </w:r>
      <w:r>
        <w:rPr>
          <w:rStyle w:val="None"/>
          <w:rFonts w:ascii="Arial" w:hAnsi="Arial"/>
          <w:i/>
          <w:iCs/>
          <w:sz w:val="22"/>
          <w:szCs w:val="22"/>
        </w:rPr>
        <w:t>p</w:t>
      </w:r>
      <w:r>
        <w:rPr>
          <w:rStyle w:val="None"/>
          <w:rFonts w:ascii="Arial" w:hAnsi="Arial"/>
          <w:sz w:val="22"/>
          <w:szCs w:val="22"/>
        </w:rPr>
        <w:t xml:space="preserve">-values &lt; 0.05). </w:t>
      </w:r>
      <w:r>
        <w:rPr>
          <w:rStyle w:val="None"/>
          <w:rFonts w:ascii="Arial" w:hAnsi="Arial"/>
          <w:b/>
          <w:bCs/>
          <w:sz w:val="22"/>
          <w:szCs w:val="22"/>
        </w:rPr>
        <w:t>C)</w:t>
      </w:r>
      <w:r>
        <w:rPr>
          <w:rStyle w:val="None"/>
          <w:rFonts w:ascii="Arial" w:hAnsi="Arial"/>
          <w:sz w:val="22"/>
          <w:szCs w:val="22"/>
        </w:rPr>
        <w:t xml:space="preserve"> Vegetative </w:t>
      </w:r>
      <w:r>
        <w:rPr>
          <w:rStyle w:val="None"/>
          <w:rFonts w:ascii="Arial" w:hAnsi="Arial"/>
          <w:i/>
          <w:iCs/>
          <w:sz w:val="22"/>
          <w:szCs w:val="22"/>
        </w:rPr>
        <w:t>C. difficile</w:t>
      </w:r>
      <w:r>
        <w:rPr>
          <w:rStyle w:val="None"/>
          <w:rFonts w:ascii="Arial" w:hAnsi="Arial"/>
          <w:sz w:val="22"/>
          <w:szCs w:val="22"/>
        </w:rPr>
        <w:t xml:space="preserve"> CFU assessed through differential plating (plated without germinant) and </w:t>
      </w:r>
      <w:r>
        <w:rPr>
          <w:rStyle w:val="None"/>
          <w:rFonts w:ascii="Arial" w:hAnsi="Arial"/>
          <w:b/>
          <w:bCs/>
          <w:sz w:val="22"/>
          <w:szCs w:val="22"/>
        </w:rPr>
        <w:t xml:space="preserve">D) </w:t>
      </w:r>
      <w:r>
        <w:rPr>
          <w:rStyle w:val="None"/>
          <w:rFonts w:ascii="Arial" w:hAnsi="Arial"/>
          <w:i/>
          <w:iCs/>
          <w:sz w:val="22"/>
          <w:szCs w:val="22"/>
        </w:rPr>
        <w:t>C. difficile</w:t>
      </w:r>
      <w:r>
        <w:rPr>
          <w:rStyle w:val="None"/>
          <w:rFonts w:ascii="Arial" w:hAnsi="Arial"/>
          <w:sz w:val="22"/>
          <w:szCs w:val="22"/>
        </w:rPr>
        <w:t xml:space="preserve"> spore CFU measured with an alternative plating strategy (heating to 65° C for 30 minutes, plated with germinant). No statistical differences were observed in vegetative cell quantification, however germfree mice had significantly more spores than antibiotic treatment groups (corrected </w:t>
      </w:r>
      <w:r>
        <w:rPr>
          <w:rStyle w:val="None"/>
          <w:rFonts w:ascii="Arial" w:hAnsi="Arial"/>
          <w:i/>
          <w:iCs/>
          <w:sz w:val="22"/>
          <w:szCs w:val="22"/>
        </w:rPr>
        <w:t>p</w:t>
      </w:r>
      <w:r>
        <w:rPr>
          <w:rStyle w:val="None"/>
          <w:rFonts w:ascii="Arial" w:hAnsi="Arial"/>
          <w:sz w:val="22"/>
          <w:szCs w:val="22"/>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iCs/>
          <w:sz w:val="22"/>
          <w:szCs w:val="22"/>
        </w:rPr>
        <w:t xml:space="preserve">C. difficile </w:t>
      </w:r>
      <w:r>
        <w:rPr>
          <w:rStyle w:val="None"/>
          <w:rFonts w:ascii="Arial" w:hAnsi="Arial"/>
          <w:sz w:val="22"/>
          <w:szCs w:val="22"/>
        </w:rPr>
        <w:t>colonization.</w:t>
      </w:r>
    </w:p>
    <w:p w14:paraId="3D3796EC" w14:textId="77777777" w:rsidR="004C352D" w:rsidRDefault="004C352D">
      <w:pPr>
        <w:pStyle w:val="Default"/>
        <w:shd w:val="clear" w:color="auto" w:fill="FFFFFF"/>
        <w:spacing w:line="480" w:lineRule="auto"/>
        <w:jc w:val="both"/>
        <w:rPr>
          <w:rFonts w:ascii="Arial" w:eastAsia="Arial" w:hAnsi="Arial" w:cs="Arial"/>
          <w:sz w:val="22"/>
          <w:szCs w:val="22"/>
        </w:rPr>
      </w:pPr>
    </w:p>
    <w:p w14:paraId="18A5B13B"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Figure 2 | Select </w:t>
      </w:r>
      <w:r>
        <w:rPr>
          <w:rStyle w:val="None"/>
          <w:rFonts w:ascii="Arial" w:hAnsi="Arial"/>
          <w:b/>
          <w:bCs/>
          <w:i/>
          <w:iCs/>
          <w:sz w:val="22"/>
          <w:szCs w:val="22"/>
        </w:rPr>
        <w:t>C. difficile</w:t>
      </w:r>
      <w:r>
        <w:rPr>
          <w:rStyle w:val="None"/>
          <w:rFonts w:ascii="Arial" w:hAnsi="Arial"/>
          <w:b/>
          <w:bCs/>
          <w:sz w:val="22"/>
          <w:szCs w:val="22"/>
        </w:rPr>
        <w:t xml:space="preserve"> gene set expression compared between treatment group. </w:t>
      </w:r>
      <w:r>
        <w:rPr>
          <w:rStyle w:val="None"/>
          <w:rFonts w:ascii="Arial" w:hAnsi="Arial"/>
          <w:sz w:val="22"/>
          <w:szCs w:val="22"/>
        </w:rPr>
        <w:t xml:space="preserve">The median of subsampled gene abundances, shown with 95% confidence interval. </w:t>
      </w:r>
      <w:r>
        <w:rPr>
          <w:rStyle w:val="None"/>
          <w:rFonts w:ascii="Arial" w:hAnsi="Arial"/>
          <w:b/>
          <w:bCs/>
          <w:sz w:val="22"/>
          <w:szCs w:val="22"/>
        </w:rPr>
        <w:t>A)</w:t>
      </w:r>
      <w:r>
        <w:rPr>
          <w:rStyle w:val="None"/>
          <w:rFonts w:ascii="Arial" w:hAnsi="Arial"/>
          <w:sz w:val="22"/>
          <w:szCs w:val="22"/>
        </w:rPr>
        <w:t xml:space="preserve"> Select sigma factors which their expression has been linked to environment cues. </w:t>
      </w:r>
      <w:r>
        <w:rPr>
          <w:rStyle w:val="None"/>
          <w:rFonts w:ascii="Arial" w:hAnsi="Arial"/>
          <w:b/>
          <w:bCs/>
          <w:sz w:val="22"/>
          <w:szCs w:val="22"/>
        </w:rPr>
        <w:t>B)</w:t>
      </w:r>
      <w:r>
        <w:rPr>
          <w:rStyle w:val="None"/>
          <w:rFonts w:ascii="Arial" w:hAnsi="Arial"/>
          <w:sz w:val="22"/>
          <w:szCs w:val="22"/>
        </w:rPr>
        <w:t xml:space="preserve"> Majority of known genes from the </w:t>
      </w:r>
      <w:r>
        <w:rPr>
          <w:rStyle w:val="None"/>
          <w:rFonts w:ascii="Arial" w:hAnsi="Arial"/>
          <w:i/>
          <w:iCs/>
          <w:sz w:val="22"/>
          <w:szCs w:val="22"/>
        </w:rPr>
        <w:t>C. difficile</w:t>
      </w:r>
      <w:r>
        <w:rPr>
          <w:rStyle w:val="None"/>
          <w:rFonts w:ascii="Arial" w:hAnsi="Arial"/>
          <w:sz w:val="22"/>
          <w:szCs w:val="22"/>
        </w:rPr>
        <w:t xml:space="preserve"> sporulation pathway. Many key genes for sporulation display differential expression between treatment groups. </w:t>
      </w:r>
      <w:r>
        <w:rPr>
          <w:rStyle w:val="None"/>
          <w:rFonts w:ascii="Arial" w:hAnsi="Arial"/>
          <w:b/>
          <w:bCs/>
          <w:sz w:val="22"/>
          <w:szCs w:val="22"/>
        </w:rPr>
        <w:t>C)</w:t>
      </w:r>
      <w:r>
        <w:rPr>
          <w:rStyle w:val="None"/>
          <w:rFonts w:ascii="Arial" w:hAnsi="Arial"/>
          <w:sz w:val="22"/>
          <w:szCs w:val="22"/>
        </w:rPr>
        <w:t xml:space="preserve"> Transcript recruitment to pathogenicity loci, including both the standard PaLoc genes as well as </w:t>
      </w:r>
      <w:r>
        <w:rPr>
          <w:rStyle w:val="None"/>
          <w:rFonts w:ascii="Arial" w:hAnsi="Arial"/>
          <w:i/>
          <w:iCs/>
          <w:sz w:val="22"/>
          <w:szCs w:val="22"/>
        </w:rPr>
        <w:t>cdtR</w:t>
      </w:r>
      <w:r>
        <w:rPr>
          <w:rStyle w:val="None"/>
          <w:rFonts w:ascii="Arial" w:hAnsi="Arial"/>
          <w:sz w:val="22"/>
          <w:szCs w:val="22"/>
        </w:rPr>
        <w:t xml:space="preserve"> but not the genes for binary toxin as they are absent in str. 630. </w:t>
      </w:r>
      <w:r>
        <w:rPr>
          <w:rStyle w:val="None"/>
          <w:rFonts w:ascii="Arial" w:hAnsi="Arial"/>
          <w:b/>
          <w:bCs/>
          <w:sz w:val="22"/>
          <w:szCs w:val="22"/>
        </w:rPr>
        <w:t>D)</w:t>
      </w:r>
      <w:r>
        <w:rPr>
          <w:rStyle w:val="None"/>
          <w:rFonts w:ascii="Arial" w:hAnsi="Arial"/>
          <w:sz w:val="22"/>
          <w:szCs w:val="22"/>
        </w:rPr>
        <w:t xml:space="preserve"> Genes associated with quorum sensing in </w:t>
      </w:r>
      <w:r>
        <w:rPr>
          <w:rStyle w:val="None"/>
          <w:rFonts w:ascii="Arial" w:hAnsi="Arial"/>
          <w:i/>
          <w:iCs/>
          <w:sz w:val="22"/>
          <w:szCs w:val="22"/>
        </w:rPr>
        <w:t>C. difficile</w:t>
      </w:r>
      <w:r>
        <w:rPr>
          <w:rStyle w:val="None"/>
          <w:rFonts w:ascii="Arial" w:hAnsi="Arial"/>
          <w:sz w:val="22"/>
          <w:szCs w:val="22"/>
        </w:rPr>
        <w:t xml:space="preserve"> are detected at approximately even levels in each antibiotic pretreatment.</w:t>
      </w:r>
    </w:p>
    <w:p w14:paraId="278CE194" w14:textId="77777777" w:rsidR="004C352D" w:rsidRDefault="004C352D">
      <w:pPr>
        <w:pStyle w:val="Default"/>
        <w:shd w:val="clear" w:color="auto" w:fill="FFFFFF"/>
        <w:spacing w:line="480" w:lineRule="auto"/>
        <w:jc w:val="both"/>
        <w:rPr>
          <w:rFonts w:ascii="Arial" w:eastAsia="Arial" w:hAnsi="Arial" w:cs="Arial"/>
          <w:sz w:val="22"/>
          <w:szCs w:val="22"/>
        </w:rPr>
      </w:pPr>
    </w:p>
    <w:p w14:paraId="62B6A6A2"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Figure 3 | </w:t>
      </w:r>
      <w:r>
        <w:rPr>
          <w:rStyle w:val="None"/>
          <w:rFonts w:ascii="Arial" w:hAnsi="Arial"/>
          <w:b/>
          <w:bCs/>
          <w:i/>
          <w:iCs/>
          <w:sz w:val="22"/>
          <w:szCs w:val="22"/>
        </w:rPr>
        <w:t>C. difficile</w:t>
      </w:r>
      <w:r>
        <w:rPr>
          <w:rStyle w:val="None"/>
          <w:rFonts w:ascii="Arial" w:hAnsi="Arial"/>
          <w:b/>
          <w:bCs/>
          <w:sz w:val="22"/>
          <w:szCs w:val="22"/>
        </w:rPr>
        <w:t xml:space="preserve"> expression of gene sets for alternative carbon metabolism across antibiotic pretreatments. A)</w:t>
      </w:r>
      <w:r>
        <w:rPr>
          <w:rStyle w:val="None"/>
          <w:rFonts w:ascii="Arial" w:hAnsi="Arial"/>
          <w:sz w:val="22"/>
          <w:szCs w:val="22"/>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bCs/>
          <w:sz w:val="22"/>
          <w:szCs w:val="22"/>
        </w:rPr>
        <w:t>B)</w:t>
      </w:r>
      <w:r>
        <w:rPr>
          <w:rStyle w:val="None"/>
          <w:rFonts w:ascii="Arial" w:hAnsi="Arial"/>
          <w:sz w:val="22"/>
          <w:szCs w:val="22"/>
        </w:rPr>
        <w:t xml:space="preserve"> through </w:t>
      </w:r>
      <w:r>
        <w:rPr>
          <w:rStyle w:val="None"/>
          <w:rFonts w:ascii="Arial" w:hAnsi="Arial"/>
          <w:b/>
          <w:bCs/>
          <w:sz w:val="22"/>
          <w:szCs w:val="22"/>
        </w:rPr>
        <w:t>I)</w:t>
      </w:r>
      <w:r>
        <w:rPr>
          <w:rStyle w:val="None"/>
          <w:rFonts w:ascii="Arial" w:hAnsi="Arial"/>
          <w:sz w:val="22"/>
          <w:szCs w:val="22"/>
        </w:rPr>
        <w:t xml:space="preserve"> without size differences so all points are visible.</w:t>
      </w:r>
    </w:p>
    <w:p w14:paraId="142373B7" w14:textId="00ABC12B" w:rsidR="004C352D" w:rsidRDefault="00BB4251">
      <w:pPr>
        <w:pStyle w:val="Default"/>
        <w:shd w:val="clear" w:color="auto" w:fill="FFFFFF"/>
        <w:spacing w:line="480" w:lineRule="auto"/>
        <w:jc w:val="both"/>
        <w:rPr>
          <w:rFonts w:ascii="Arial" w:eastAsia="Arial" w:hAnsi="Arial" w:cs="Arial"/>
          <w:sz w:val="22"/>
          <w:szCs w:val="22"/>
        </w:rPr>
      </w:pPr>
      <w:r w:rsidRPr="00BB4251">
        <w:rPr>
          <w:rFonts w:ascii="Arial" w:hAnsi="Arial"/>
          <w:sz w:val="22"/>
          <w:szCs w:val="22"/>
          <w:highlight w:val="cyan"/>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sidRPr="00BB4251">
        <w:rPr>
          <w:rFonts w:ascii="Arial" w:hAnsi="Arial"/>
          <w:i/>
          <w:iCs/>
          <w:sz w:val="22"/>
          <w:szCs w:val="22"/>
          <w:highlight w:val="cyan"/>
        </w:rPr>
        <w:t>C. difficile</w:t>
      </w:r>
      <w:r w:rsidRPr="00BB4251">
        <w:rPr>
          <w:rFonts w:ascii="Arial" w:hAnsi="Arial"/>
          <w:sz w:val="22"/>
          <w:szCs w:val="22"/>
          <w:highlight w:val="cyan"/>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sidRPr="00BB4251">
        <w:rPr>
          <w:rFonts w:ascii="Arial" w:hAnsi="Arial"/>
          <w:i/>
          <w:iCs/>
          <w:sz w:val="22"/>
          <w:szCs w:val="22"/>
          <w:highlight w:val="cyan"/>
        </w:rPr>
        <w:t>C. difficile</w:t>
      </w:r>
      <w:r w:rsidRPr="00BB4251">
        <w:rPr>
          <w:rFonts w:ascii="Arial" w:hAnsi="Arial"/>
          <w:sz w:val="22"/>
          <w:szCs w:val="22"/>
          <w:highlight w:val="cyan"/>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14:paraId="2F1AE54F"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Figure 4 | Genome-scale bipartite metabolic modeling results using the transcriptome of </w:t>
      </w:r>
      <w:r>
        <w:rPr>
          <w:rStyle w:val="None"/>
          <w:rFonts w:ascii="Arial" w:hAnsi="Arial"/>
          <w:b/>
          <w:bCs/>
          <w:i/>
          <w:iCs/>
          <w:sz w:val="22"/>
          <w:szCs w:val="22"/>
        </w:rPr>
        <w:t>C. difficile</w:t>
      </w:r>
      <w:r>
        <w:rPr>
          <w:rStyle w:val="None"/>
          <w:rFonts w:ascii="Arial" w:hAnsi="Arial"/>
          <w:b/>
          <w:bCs/>
          <w:sz w:val="22"/>
          <w:szCs w:val="22"/>
        </w:rPr>
        <w:t xml:space="preserve"> str. 630 in each colonized environment. A) </w:t>
      </w:r>
      <w:r>
        <w:rPr>
          <w:rStyle w:val="None"/>
          <w:rFonts w:ascii="Arial" w:hAnsi="Arial"/>
          <w:sz w:val="22"/>
          <w:szCs w:val="22"/>
        </w:rPr>
        <w:t xml:space="preserve">Largest component from the bipartite genome-scale metabolic model of </w:t>
      </w:r>
      <w:r>
        <w:rPr>
          <w:rStyle w:val="None"/>
          <w:rFonts w:ascii="Arial" w:hAnsi="Arial"/>
          <w:i/>
          <w:iCs/>
          <w:sz w:val="22"/>
          <w:szCs w:val="22"/>
        </w:rPr>
        <w:t>C. difficile</w:t>
      </w:r>
      <w:r>
        <w:rPr>
          <w:rStyle w:val="None"/>
          <w:rFonts w:ascii="Arial" w:hAnsi="Arial"/>
          <w:sz w:val="22"/>
          <w:szCs w:val="22"/>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bCs/>
          <w:sz w:val="22"/>
          <w:szCs w:val="22"/>
        </w:rPr>
        <w:t xml:space="preserve"> </w:t>
      </w:r>
      <w:r>
        <w:rPr>
          <w:rStyle w:val="None"/>
          <w:rFonts w:ascii="Arial" w:hAnsi="Arial"/>
          <w:sz w:val="22"/>
          <w:szCs w:val="22"/>
        </w:rPr>
        <w:t xml:space="preserve">Transcript abundances are from </w:t>
      </w:r>
      <w:r>
        <w:rPr>
          <w:rStyle w:val="None"/>
          <w:rFonts w:ascii="Arial" w:hAnsi="Arial"/>
          <w:i/>
          <w:iCs/>
          <w:sz w:val="22"/>
          <w:szCs w:val="22"/>
        </w:rPr>
        <w:t>C. difficile</w:t>
      </w:r>
      <w:r>
        <w:rPr>
          <w:rStyle w:val="None"/>
          <w:rFonts w:ascii="Arial" w:hAnsi="Arial"/>
          <w:sz w:val="22"/>
          <w:szCs w:val="22"/>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bCs/>
          <w:sz w:val="22"/>
          <w:szCs w:val="22"/>
        </w:rPr>
        <w:t xml:space="preserve"> B) </w:t>
      </w:r>
      <w:r>
        <w:rPr>
          <w:rStyle w:val="None"/>
          <w:rFonts w:ascii="Arial" w:hAnsi="Arial"/>
          <w:sz w:val="22"/>
          <w:szCs w:val="22"/>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bCs/>
          <w:sz w:val="22"/>
          <w:szCs w:val="22"/>
        </w:rPr>
        <w:t xml:space="preserve">C) </w:t>
      </w:r>
      <w:r>
        <w:rPr>
          <w:rStyle w:val="None"/>
          <w:rFonts w:ascii="Arial" w:hAnsi="Arial"/>
          <w:sz w:val="22"/>
          <w:szCs w:val="22"/>
        </w:rPr>
        <w:t xml:space="preserve"> </w:t>
      </w:r>
      <w:r>
        <w:rPr>
          <w:rStyle w:val="None"/>
          <w:rFonts w:ascii="Arial" w:hAnsi="Arial"/>
          <w:i/>
          <w:iCs/>
          <w:sz w:val="22"/>
          <w:szCs w:val="22"/>
        </w:rPr>
        <w:t>In vitro</w:t>
      </w:r>
      <w:r>
        <w:rPr>
          <w:rStyle w:val="None"/>
          <w:rFonts w:ascii="Arial" w:hAnsi="Arial"/>
          <w:sz w:val="22"/>
          <w:szCs w:val="22"/>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iCs/>
          <w:sz w:val="22"/>
          <w:szCs w:val="22"/>
        </w:rPr>
        <w:t>C. difficile</w:t>
      </w:r>
      <w:r>
        <w:rPr>
          <w:rStyle w:val="None"/>
          <w:rFonts w:ascii="Arial" w:hAnsi="Arial"/>
          <w:sz w:val="22"/>
          <w:szCs w:val="22"/>
        </w:rPr>
        <w:t xml:space="preserve"> growth significantly more than – Glucose + Amino Acids control wells (corrected </w:t>
      </w:r>
      <w:r>
        <w:rPr>
          <w:rStyle w:val="None"/>
          <w:rFonts w:ascii="Arial" w:hAnsi="Arial"/>
          <w:i/>
          <w:iCs/>
          <w:sz w:val="22"/>
          <w:szCs w:val="22"/>
        </w:rPr>
        <w:t>p</w:t>
      </w:r>
      <w:r>
        <w:rPr>
          <w:rStyle w:val="None"/>
          <w:rFonts w:ascii="Arial" w:hAnsi="Arial"/>
          <w:sz w:val="22"/>
          <w:szCs w:val="22"/>
        </w:rPr>
        <w:t>-values &lt;&lt; 0.001).</w:t>
      </w:r>
    </w:p>
    <w:p w14:paraId="35DBD986" w14:textId="77777777" w:rsidR="004C352D" w:rsidRDefault="004C352D">
      <w:pPr>
        <w:pStyle w:val="Default"/>
        <w:shd w:val="clear" w:color="auto" w:fill="FFFFFF"/>
        <w:spacing w:line="480" w:lineRule="auto"/>
        <w:jc w:val="both"/>
        <w:rPr>
          <w:rFonts w:ascii="Arial" w:eastAsia="Arial" w:hAnsi="Arial" w:cs="Arial"/>
          <w:sz w:val="22"/>
          <w:szCs w:val="22"/>
        </w:rPr>
      </w:pPr>
    </w:p>
    <w:p w14:paraId="4E34AAA4"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Figure 5 | </w:t>
      </w:r>
      <w:r>
        <w:rPr>
          <w:rStyle w:val="None"/>
          <w:rFonts w:ascii="Arial" w:hAnsi="Arial"/>
          <w:b/>
          <w:bCs/>
          <w:i/>
          <w:iCs/>
          <w:sz w:val="22"/>
          <w:szCs w:val="22"/>
        </w:rPr>
        <w:t>in vivo</w:t>
      </w:r>
      <w:r>
        <w:rPr>
          <w:rStyle w:val="None"/>
          <w:rFonts w:ascii="Arial" w:hAnsi="Arial"/>
          <w:b/>
          <w:bCs/>
          <w:sz w:val="22"/>
          <w:szCs w:val="22"/>
        </w:rPr>
        <w:t xml:space="preserve"> concentrations from targeted LC-MS analysis of predicted </w:t>
      </w:r>
      <w:r>
        <w:rPr>
          <w:rStyle w:val="None"/>
          <w:rFonts w:ascii="Arial" w:hAnsi="Arial"/>
          <w:b/>
          <w:bCs/>
          <w:i/>
          <w:iCs/>
          <w:sz w:val="22"/>
          <w:szCs w:val="22"/>
        </w:rPr>
        <w:t>C. difficile</w:t>
      </w:r>
      <w:r>
        <w:rPr>
          <w:rStyle w:val="None"/>
          <w:rFonts w:ascii="Arial" w:hAnsi="Arial"/>
          <w:b/>
          <w:bCs/>
          <w:sz w:val="22"/>
          <w:szCs w:val="22"/>
        </w:rPr>
        <w:t xml:space="preserve"> nutrient sources from metabolic models. A)</w:t>
      </w:r>
      <w:r>
        <w:rPr>
          <w:rStyle w:val="None"/>
          <w:rFonts w:ascii="Arial" w:hAnsi="Arial"/>
          <w:sz w:val="22"/>
          <w:szCs w:val="22"/>
        </w:rPr>
        <w:t xml:space="preserve"> Heatmap, group by treatment group on x-axis and hierarchical clustering on y-axis. Comparing No Antibiotics to each treatment group. </w:t>
      </w:r>
      <w:r>
        <w:rPr>
          <w:rStyle w:val="None"/>
          <w:rFonts w:ascii="Arial" w:hAnsi="Arial"/>
          <w:b/>
          <w:bCs/>
          <w:sz w:val="22"/>
          <w:szCs w:val="22"/>
        </w:rPr>
        <w:t>B)</w:t>
      </w:r>
      <w:r>
        <w:rPr>
          <w:rStyle w:val="None"/>
          <w:rFonts w:ascii="Arial" w:hAnsi="Arial"/>
          <w:sz w:val="22"/>
          <w:szCs w:val="22"/>
        </w:rPr>
        <w:t xml:space="preserve"> Bar charts of the actual concentrations for the substrates identified through metabolic modeling, shown in Figure 4.</w:t>
      </w:r>
    </w:p>
    <w:p w14:paraId="558341EC" w14:textId="77777777" w:rsidR="004C352D" w:rsidRDefault="004C352D">
      <w:pPr>
        <w:pStyle w:val="Default"/>
        <w:shd w:val="clear" w:color="auto" w:fill="FFFFFF"/>
        <w:spacing w:line="480" w:lineRule="auto"/>
        <w:jc w:val="both"/>
        <w:rPr>
          <w:rFonts w:ascii="Arial" w:eastAsia="Arial" w:hAnsi="Arial" w:cs="Arial"/>
          <w:sz w:val="22"/>
          <w:szCs w:val="22"/>
        </w:rPr>
      </w:pPr>
    </w:p>
    <w:p w14:paraId="2784ED9A" w14:textId="77777777" w:rsidR="004C352D" w:rsidRDefault="004C352D">
      <w:pPr>
        <w:pStyle w:val="Default"/>
        <w:shd w:val="clear" w:color="auto" w:fill="FFFFFF"/>
        <w:spacing w:line="480" w:lineRule="auto"/>
        <w:jc w:val="both"/>
        <w:rPr>
          <w:rFonts w:ascii="Arial" w:eastAsia="Arial" w:hAnsi="Arial" w:cs="Arial"/>
          <w:sz w:val="22"/>
          <w:szCs w:val="22"/>
        </w:rPr>
      </w:pPr>
    </w:p>
    <w:p w14:paraId="319BF1E1"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Supplementary Figure 1 |  Spore % of total CFU and toxin to spore correlations. </w:t>
      </w:r>
      <w:r>
        <w:rPr>
          <w:rStyle w:val="None"/>
          <w:rFonts w:ascii="Arial" w:hAnsi="Arial"/>
          <w:sz w:val="22"/>
          <w:szCs w:val="22"/>
        </w:rPr>
        <w:t xml:space="preserve">Continued analysis of wetlab phenotypic data. </w:t>
      </w:r>
      <w:r>
        <w:rPr>
          <w:rStyle w:val="None"/>
          <w:rFonts w:ascii="Arial" w:hAnsi="Arial"/>
          <w:b/>
          <w:bCs/>
          <w:sz w:val="22"/>
          <w:szCs w:val="22"/>
        </w:rPr>
        <w:t>A)</w:t>
      </w:r>
      <w:r>
        <w:rPr>
          <w:rStyle w:val="None"/>
          <w:rFonts w:ascii="Arial" w:hAnsi="Arial"/>
          <w:sz w:val="22"/>
          <w:szCs w:val="22"/>
        </w:rPr>
        <w:t xml:space="preserve"> Spore %. </w:t>
      </w:r>
      <w:r>
        <w:rPr>
          <w:rStyle w:val="None"/>
          <w:rFonts w:ascii="Arial" w:hAnsi="Arial"/>
          <w:b/>
          <w:bCs/>
          <w:sz w:val="22"/>
          <w:szCs w:val="22"/>
        </w:rPr>
        <w:t>B)</w:t>
      </w:r>
      <w:r>
        <w:rPr>
          <w:rStyle w:val="None"/>
          <w:rFonts w:ascii="Arial" w:hAnsi="Arial"/>
          <w:sz w:val="22"/>
          <w:szCs w:val="22"/>
        </w:rPr>
        <w:t xml:space="preserve"> Spore toxin correlation w/o germfree. </w:t>
      </w:r>
      <w:r>
        <w:rPr>
          <w:rStyle w:val="None"/>
          <w:rFonts w:ascii="Arial" w:hAnsi="Arial"/>
          <w:b/>
          <w:bCs/>
          <w:sz w:val="22"/>
          <w:szCs w:val="22"/>
        </w:rPr>
        <w:t>C)</w:t>
      </w:r>
      <w:r>
        <w:rPr>
          <w:rStyle w:val="None"/>
          <w:rFonts w:ascii="Arial" w:hAnsi="Arial"/>
          <w:sz w:val="22"/>
          <w:szCs w:val="22"/>
        </w:rPr>
        <w:t xml:space="preserve"> Spore toxin correlation w/ germfree.</w:t>
      </w:r>
    </w:p>
    <w:p w14:paraId="469B22C6" w14:textId="77777777" w:rsidR="004C352D" w:rsidRDefault="004C352D">
      <w:pPr>
        <w:pStyle w:val="Default"/>
        <w:shd w:val="clear" w:color="auto" w:fill="FFFFFF"/>
        <w:spacing w:line="480" w:lineRule="auto"/>
        <w:jc w:val="both"/>
        <w:rPr>
          <w:rFonts w:ascii="Arial" w:eastAsia="Arial" w:hAnsi="Arial" w:cs="Arial"/>
          <w:sz w:val="22"/>
          <w:szCs w:val="22"/>
        </w:rPr>
      </w:pPr>
    </w:p>
    <w:p w14:paraId="4891DE32"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Supplementary Figure 2 |  </w:t>
      </w:r>
      <w:r>
        <w:rPr>
          <w:rStyle w:val="None"/>
          <w:rFonts w:ascii="Arial" w:hAnsi="Arial"/>
          <w:b/>
          <w:bCs/>
          <w:i/>
          <w:iCs/>
          <w:sz w:val="22"/>
          <w:szCs w:val="22"/>
        </w:rPr>
        <w:t>C. difficile</w:t>
      </w:r>
      <w:r>
        <w:rPr>
          <w:rStyle w:val="None"/>
          <w:rFonts w:ascii="Arial" w:hAnsi="Arial"/>
          <w:b/>
          <w:bCs/>
          <w:sz w:val="22"/>
          <w:szCs w:val="22"/>
        </w:rPr>
        <w:t xml:space="preserve"> str. 630 exome coverage for each condition. </w:t>
      </w:r>
      <w:r>
        <w:rPr>
          <w:rStyle w:val="None"/>
          <w:rFonts w:ascii="Arial" w:hAnsi="Arial"/>
          <w:sz w:val="22"/>
          <w:szCs w:val="22"/>
        </w:rPr>
        <w:t xml:space="preserve">Normalized read abundances mapped to the full length genome of </w:t>
      </w:r>
      <w:r>
        <w:rPr>
          <w:rStyle w:val="None"/>
          <w:rFonts w:ascii="Arial" w:hAnsi="Arial"/>
          <w:i/>
          <w:iCs/>
          <w:sz w:val="22"/>
          <w:szCs w:val="22"/>
        </w:rPr>
        <w:t>C. difficile</w:t>
      </w:r>
      <w:r>
        <w:rPr>
          <w:rStyle w:val="None"/>
          <w:rFonts w:ascii="Arial" w:hAnsi="Arial"/>
          <w:sz w:val="22"/>
          <w:szCs w:val="22"/>
        </w:rPr>
        <w:t xml:space="preserve"> str. 630 for each of the antibiotic pretreatments.</w:t>
      </w:r>
    </w:p>
    <w:p w14:paraId="1F05FCF5" w14:textId="77777777" w:rsidR="004C352D" w:rsidRDefault="004C352D">
      <w:pPr>
        <w:pStyle w:val="Default"/>
        <w:shd w:val="clear" w:color="auto" w:fill="FFFFFF"/>
        <w:spacing w:line="480" w:lineRule="auto"/>
        <w:jc w:val="both"/>
        <w:rPr>
          <w:rFonts w:ascii="Arial" w:eastAsia="Arial" w:hAnsi="Arial" w:cs="Arial"/>
          <w:sz w:val="22"/>
          <w:szCs w:val="22"/>
        </w:rPr>
      </w:pPr>
    </w:p>
    <w:p w14:paraId="43C5FFD9"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Supplementary Figure 3 |  Expression of specific KEGG gene families. </w:t>
      </w:r>
      <w:r>
        <w:rPr>
          <w:rStyle w:val="None"/>
          <w:rFonts w:ascii="Arial" w:hAnsi="Arial"/>
          <w:sz w:val="22"/>
          <w:szCs w:val="22"/>
        </w:rPr>
        <w:t>Description. A). B). C).</w:t>
      </w:r>
    </w:p>
    <w:p w14:paraId="1DF4EE31" w14:textId="77777777" w:rsidR="004C352D" w:rsidRDefault="004C352D">
      <w:pPr>
        <w:pStyle w:val="Default"/>
        <w:shd w:val="clear" w:color="auto" w:fill="FFFFFF"/>
        <w:spacing w:line="480" w:lineRule="auto"/>
        <w:jc w:val="both"/>
        <w:rPr>
          <w:rFonts w:ascii="Arial" w:eastAsia="Arial" w:hAnsi="Arial" w:cs="Arial"/>
          <w:sz w:val="22"/>
          <w:szCs w:val="22"/>
        </w:rPr>
      </w:pPr>
    </w:p>
    <w:p w14:paraId="586296C8"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 xml:space="preserve">Supplementary Figure 4 |  Substrate scores outside of at least two standard deviations from simulated means. </w:t>
      </w:r>
      <w:r>
        <w:rPr>
          <w:rStyle w:val="None"/>
          <w:rFonts w:ascii="Arial" w:hAnsi="Arial"/>
          <w:sz w:val="22"/>
          <w:szCs w:val="22"/>
        </w:rPr>
        <w:t>Description. A). B). C).</w:t>
      </w:r>
    </w:p>
    <w:p w14:paraId="593F4D59" w14:textId="77777777" w:rsidR="004C352D" w:rsidRDefault="004C352D">
      <w:pPr>
        <w:pStyle w:val="Default"/>
        <w:shd w:val="clear" w:color="auto" w:fill="FFFFFF"/>
        <w:spacing w:line="480" w:lineRule="auto"/>
        <w:jc w:val="both"/>
        <w:rPr>
          <w:rFonts w:ascii="Arial" w:eastAsia="Arial" w:hAnsi="Arial" w:cs="Arial"/>
          <w:sz w:val="22"/>
          <w:szCs w:val="22"/>
        </w:rPr>
      </w:pPr>
    </w:p>
    <w:p w14:paraId="6C872F3D" w14:textId="77777777" w:rsidR="004C352D" w:rsidRDefault="00BC6DB8">
      <w:pPr>
        <w:pStyle w:val="Default"/>
        <w:shd w:val="clear" w:color="auto" w:fill="FFFFFF"/>
        <w:spacing w:line="480" w:lineRule="auto"/>
        <w:ind w:left="480" w:hanging="480"/>
        <w:jc w:val="both"/>
        <w:rPr>
          <w:rStyle w:val="None"/>
          <w:rFonts w:ascii="Arial" w:eastAsia="Arial" w:hAnsi="Arial" w:cs="Arial"/>
          <w:b/>
          <w:bCs/>
          <w:sz w:val="22"/>
          <w:szCs w:val="22"/>
        </w:rPr>
      </w:pPr>
      <w:r>
        <w:rPr>
          <w:rStyle w:val="None"/>
          <w:rFonts w:ascii="Arial" w:hAnsi="Arial"/>
          <w:b/>
          <w:bCs/>
          <w:sz w:val="22"/>
          <w:szCs w:val="22"/>
        </w:rPr>
        <w:t xml:space="preserve">Supplementary Figure 5 |  Additional growth curves. </w:t>
      </w:r>
      <w:r>
        <w:rPr>
          <w:rStyle w:val="None"/>
          <w:rFonts w:ascii="Arial" w:hAnsi="Arial"/>
          <w:sz w:val="22"/>
          <w:szCs w:val="22"/>
        </w:rPr>
        <w:t>Description.</w:t>
      </w:r>
    </w:p>
    <w:p w14:paraId="192C242F" w14:textId="77777777" w:rsidR="004C352D" w:rsidRDefault="004C352D">
      <w:pPr>
        <w:pStyle w:val="Textbody"/>
        <w:shd w:val="clear" w:color="auto" w:fill="FFFFFF"/>
        <w:spacing w:line="480" w:lineRule="auto"/>
        <w:ind w:left="480" w:hanging="480"/>
        <w:jc w:val="both"/>
        <w:rPr>
          <w:rFonts w:ascii="Arial" w:eastAsia="Arial" w:hAnsi="Arial" w:cs="Arial"/>
          <w:b/>
          <w:bCs/>
          <w:sz w:val="22"/>
          <w:szCs w:val="22"/>
        </w:rPr>
      </w:pPr>
    </w:p>
    <w:p w14:paraId="4D74DDA4" w14:textId="77777777" w:rsidR="004C352D" w:rsidRDefault="00BC6DB8">
      <w:pPr>
        <w:pStyle w:val="Default"/>
        <w:shd w:val="clear" w:color="auto" w:fill="FFFFFF"/>
        <w:spacing w:line="480" w:lineRule="auto"/>
        <w:ind w:left="480" w:hanging="480"/>
        <w:jc w:val="both"/>
        <w:rPr>
          <w:rStyle w:val="None"/>
          <w:rFonts w:ascii="Arial" w:eastAsia="Arial" w:hAnsi="Arial" w:cs="Arial"/>
          <w:b/>
          <w:bCs/>
          <w:sz w:val="22"/>
          <w:szCs w:val="22"/>
        </w:rPr>
      </w:pPr>
      <w:r>
        <w:rPr>
          <w:rStyle w:val="None"/>
          <w:rFonts w:ascii="Arial" w:hAnsi="Arial"/>
          <w:b/>
          <w:bCs/>
          <w:sz w:val="22"/>
          <w:szCs w:val="22"/>
        </w:rPr>
        <w:t xml:space="preserve">Supplementary Figure 6 |  Acetate data supporting network output. </w:t>
      </w:r>
      <w:r>
        <w:rPr>
          <w:rStyle w:val="None"/>
          <w:rFonts w:ascii="Arial" w:hAnsi="Arial"/>
          <w:sz w:val="22"/>
          <w:szCs w:val="22"/>
        </w:rPr>
        <w:t>Description.</w:t>
      </w:r>
    </w:p>
    <w:p w14:paraId="1767A9C2" w14:textId="77777777" w:rsidR="004C352D" w:rsidRDefault="004C352D">
      <w:pPr>
        <w:pStyle w:val="Default"/>
        <w:shd w:val="clear" w:color="auto" w:fill="FFFFFF"/>
        <w:spacing w:line="480" w:lineRule="auto"/>
        <w:ind w:left="480" w:hanging="480"/>
        <w:jc w:val="both"/>
        <w:rPr>
          <w:rFonts w:ascii="Arial" w:eastAsia="Arial" w:hAnsi="Arial" w:cs="Arial"/>
          <w:b/>
          <w:bCs/>
          <w:sz w:val="22"/>
          <w:szCs w:val="22"/>
        </w:rPr>
      </w:pPr>
    </w:p>
    <w:p w14:paraId="7EE82E65"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Acknowledgments</w:t>
      </w:r>
    </w:p>
    <w:p w14:paraId="2C48DE5D"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sz w:val="22"/>
          <w:szCs w:val="22"/>
        </w:rPr>
        <w:t>The authors would like to acknowledge members of the Young laboratory, Germfree Center, UM Sequencing Core, and Metabolon for their assistance in experimental design, execution, and data collection.</w:t>
      </w:r>
    </w:p>
    <w:p w14:paraId="0287716D" w14:textId="77777777" w:rsidR="004C352D" w:rsidRDefault="004C352D">
      <w:pPr>
        <w:pStyle w:val="Default"/>
        <w:shd w:val="clear" w:color="auto" w:fill="FFFFFF"/>
        <w:spacing w:line="480" w:lineRule="auto"/>
        <w:jc w:val="both"/>
        <w:rPr>
          <w:rFonts w:ascii="Arial" w:eastAsia="Arial" w:hAnsi="Arial" w:cs="Arial"/>
          <w:sz w:val="22"/>
          <w:szCs w:val="22"/>
        </w:rPr>
      </w:pPr>
    </w:p>
    <w:p w14:paraId="21171BB2"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b/>
          <w:bCs/>
          <w:sz w:val="22"/>
          <w:szCs w:val="22"/>
        </w:rPr>
        <w:t>Conflict of Interest</w:t>
      </w:r>
    </w:p>
    <w:p w14:paraId="0E8E3EE1" w14:textId="77777777" w:rsidR="004C352D" w:rsidRDefault="00BC6DB8">
      <w:pPr>
        <w:pStyle w:val="Default"/>
        <w:shd w:val="clear" w:color="auto" w:fill="FFFFFF"/>
        <w:spacing w:line="480" w:lineRule="auto"/>
        <w:jc w:val="both"/>
        <w:rPr>
          <w:rStyle w:val="None"/>
          <w:rFonts w:ascii="Arial" w:eastAsia="Arial" w:hAnsi="Arial" w:cs="Arial"/>
          <w:sz w:val="22"/>
          <w:szCs w:val="22"/>
        </w:rPr>
      </w:pPr>
      <w:r>
        <w:rPr>
          <w:rStyle w:val="None"/>
          <w:rFonts w:ascii="Arial" w:hAnsi="Arial"/>
          <w:sz w:val="22"/>
          <w:szCs w:val="22"/>
        </w:rPr>
        <w:t>The authors declare no conflict of interest.</w:t>
      </w:r>
    </w:p>
    <w:p w14:paraId="020F0599" w14:textId="77777777" w:rsidR="004C352D" w:rsidRDefault="004C352D">
      <w:pPr>
        <w:pStyle w:val="Default"/>
        <w:shd w:val="clear" w:color="auto" w:fill="FFFFFF"/>
        <w:spacing w:line="480" w:lineRule="auto"/>
        <w:jc w:val="both"/>
        <w:rPr>
          <w:rFonts w:ascii="Arial" w:eastAsia="Arial" w:hAnsi="Arial" w:cs="Arial"/>
          <w:sz w:val="22"/>
          <w:szCs w:val="22"/>
        </w:rPr>
      </w:pPr>
    </w:p>
    <w:p w14:paraId="1556797B" w14:textId="77777777" w:rsidR="004C352D" w:rsidRDefault="00BC6DB8">
      <w:pPr>
        <w:pStyle w:val="Default"/>
        <w:shd w:val="clear" w:color="auto" w:fill="FFFFFF"/>
        <w:spacing w:line="480" w:lineRule="auto"/>
        <w:jc w:val="both"/>
        <w:rPr>
          <w:rStyle w:val="None"/>
          <w:rFonts w:ascii="Arial" w:eastAsia="Arial" w:hAnsi="Arial" w:cs="Arial"/>
          <w:sz w:val="18"/>
          <w:szCs w:val="18"/>
        </w:rPr>
      </w:pPr>
      <w:r>
        <w:rPr>
          <w:rStyle w:val="None"/>
          <w:rFonts w:ascii="Arial" w:hAnsi="Arial"/>
          <w:b/>
          <w:bCs/>
          <w:sz w:val="22"/>
          <w:szCs w:val="22"/>
        </w:rPr>
        <w:t>References</w:t>
      </w:r>
    </w:p>
    <w:p w14:paraId="317F0E52"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rPr>
        <w:t>Nucleic Acids Research</w:t>
      </w:r>
      <w:r>
        <w:rPr>
          <w:rStyle w:val="None"/>
          <w:rFonts w:ascii="Arial" w:hAnsi="Arial"/>
          <w:sz w:val="18"/>
          <w:szCs w:val="18"/>
        </w:rPr>
        <w:t>. http://doi.org/10.1093/nar/gks864</w:t>
      </w:r>
    </w:p>
    <w:p w14:paraId="725537D4"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Antunes, A., Martin-Verstraete, I., &amp; Dupuy, B. (2011). CcpA-mediated repression of Clostridium difficile toxin gene expression. </w:t>
      </w:r>
      <w:r>
        <w:rPr>
          <w:rStyle w:val="None"/>
          <w:rFonts w:ascii="Arial" w:hAnsi="Arial"/>
          <w:i/>
          <w:iCs/>
          <w:sz w:val="18"/>
          <w:szCs w:val="18"/>
        </w:rPr>
        <w:t>Molecular Microbiology</w:t>
      </w:r>
      <w:r>
        <w:rPr>
          <w:rStyle w:val="None"/>
          <w:rFonts w:ascii="Arial" w:hAnsi="Arial"/>
          <w:sz w:val="18"/>
          <w:szCs w:val="18"/>
        </w:rPr>
        <w:t xml:space="preserve">, </w:t>
      </w:r>
      <w:r>
        <w:rPr>
          <w:rStyle w:val="None"/>
          <w:rFonts w:ascii="Arial" w:hAnsi="Arial"/>
          <w:i/>
          <w:iCs/>
          <w:sz w:val="18"/>
          <w:szCs w:val="18"/>
        </w:rPr>
        <w:t>79</w:t>
      </w:r>
      <w:r>
        <w:rPr>
          <w:rStyle w:val="None"/>
          <w:rFonts w:ascii="Arial" w:hAnsi="Arial"/>
          <w:sz w:val="18"/>
          <w:szCs w:val="18"/>
        </w:rPr>
        <w:t>(4), 882–899. http://doi.org/10.1111/j.1365-2958.2010.07495.x</w:t>
      </w:r>
    </w:p>
    <w:p w14:paraId="4A4BAA43"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Antunes, L. C. M., Han, J., Ferreira, R. B. R., Loli, P., Borchers, C. H., &amp; Finlay, B. B. (2011). Effect of antibiotic treatment on the intestinal metabolome. </w:t>
      </w:r>
      <w:r>
        <w:rPr>
          <w:rStyle w:val="None"/>
          <w:rFonts w:ascii="Arial" w:hAnsi="Arial"/>
          <w:i/>
          <w:iCs/>
          <w:sz w:val="18"/>
          <w:szCs w:val="18"/>
        </w:rPr>
        <w:t>Antimicrobial Agents and Chemotherapy</w:t>
      </w:r>
      <w:r>
        <w:rPr>
          <w:rStyle w:val="None"/>
          <w:rFonts w:ascii="Arial" w:hAnsi="Arial"/>
          <w:sz w:val="18"/>
          <w:szCs w:val="18"/>
        </w:rPr>
        <w:t xml:space="preserve">, </w:t>
      </w:r>
      <w:r>
        <w:rPr>
          <w:rStyle w:val="None"/>
          <w:rFonts w:ascii="Arial" w:hAnsi="Arial"/>
          <w:i/>
          <w:iCs/>
          <w:sz w:val="18"/>
          <w:szCs w:val="18"/>
        </w:rPr>
        <w:t>55</w:t>
      </w:r>
      <w:r>
        <w:rPr>
          <w:rStyle w:val="None"/>
          <w:rFonts w:ascii="Arial" w:hAnsi="Arial"/>
          <w:sz w:val="18"/>
          <w:szCs w:val="18"/>
        </w:rPr>
        <w:t>(4), 1494–1503. http://doi.org/10.1128/AAC.01664-10</w:t>
      </w:r>
    </w:p>
    <w:p w14:paraId="53CFBC0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Antunes, L. C. M., Han, J., Ferreira, R. B. R., Loli, P., Borchers, C. H., &amp; Finlay, B. B. (2011). Effect of antibiotic treatment on the intestinal metabolome. </w:t>
      </w:r>
      <w:r>
        <w:rPr>
          <w:rStyle w:val="None"/>
          <w:rFonts w:ascii="Arial" w:hAnsi="Arial"/>
          <w:i/>
          <w:iCs/>
          <w:sz w:val="18"/>
          <w:szCs w:val="18"/>
        </w:rPr>
        <w:t>Antimicrobial Agents and Chemotherapy</w:t>
      </w:r>
      <w:r>
        <w:rPr>
          <w:rStyle w:val="None"/>
          <w:rFonts w:ascii="Arial" w:hAnsi="Arial"/>
          <w:sz w:val="18"/>
          <w:szCs w:val="18"/>
        </w:rPr>
        <w:t xml:space="preserve">, </w:t>
      </w:r>
      <w:r>
        <w:rPr>
          <w:rStyle w:val="None"/>
          <w:rFonts w:ascii="Arial" w:hAnsi="Arial"/>
          <w:i/>
          <w:iCs/>
          <w:sz w:val="18"/>
          <w:szCs w:val="18"/>
        </w:rPr>
        <w:t>55</w:t>
      </w:r>
      <w:r>
        <w:rPr>
          <w:rStyle w:val="None"/>
          <w:rFonts w:ascii="Arial" w:hAnsi="Arial"/>
          <w:sz w:val="18"/>
          <w:szCs w:val="18"/>
        </w:rPr>
        <w:t>(4), 1494–1503. http://doi.org/10.1128/AAC.01664-10</w:t>
      </w:r>
    </w:p>
    <w:p w14:paraId="636E5E9E"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Boos, W., &amp; Shuman, H. (1998). Maltose/maltodextrin system of Escherichia coli: transport, metabolism, and regulation. </w:t>
      </w:r>
      <w:r>
        <w:rPr>
          <w:rStyle w:val="None"/>
          <w:rFonts w:ascii="Arial" w:hAnsi="Arial"/>
          <w:i/>
          <w:iCs/>
          <w:sz w:val="18"/>
          <w:szCs w:val="18"/>
        </w:rPr>
        <w:t>Microbiology and Molecular Biology Reviews</w:t>
      </w:r>
      <w:r>
        <w:rPr>
          <w:rStyle w:val="None"/>
          <w:rFonts w:ascii="Arial Unicode MS" w:hAnsi="Arial Unicode MS"/>
          <w:sz w:val="18"/>
          <w:szCs w:val="18"/>
        </w:rPr>
        <w:t> </w:t>
      </w:r>
      <w:r>
        <w:rPr>
          <w:rStyle w:val="None"/>
          <w:rFonts w:ascii="Arial" w:hAnsi="Arial"/>
          <w:i/>
          <w:iCs/>
          <w:sz w:val="18"/>
          <w:szCs w:val="18"/>
        </w:rPr>
        <w:t>: MMBR</w:t>
      </w:r>
      <w:r>
        <w:rPr>
          <w:rStyle w:val="None"/>
          <w:rFonts w:ascii="Arial" w:hAnsi="Arial"/>
          <w:sz w:val="18"/>
          <w:szCs w:val="18"/>
        </w:rPr>
        <w:t xml:space="preserve">, </w:t>
      </w:r>
      <w:r>
        <w:rPr>
          <w:rStyle w:val="None"/>
          <w:rFonts w:ascii="Arial" w:hAnsi="Arial"/>
          <w:i/>
          <w:iCs/>
          <w:sz w:val="18"/>
          <w:szCs w:val="18"/>
        </w:rPr>
        <w:t>62</w:t>
      </w:r>
      <w:r>
        <w:rPr>
          <w:rStyle w:val="None"/>
          <w:rFonts w:ascii="Arial" w:hAnsi="Arial"/>
          <w:sz w:val="18"/>
          <w:szCs w:val="18"/>
        </w:rPr>
        <w:t>(1), 204–29. Retrieved from http://www.pubmedcentral.nih.gov/articlerender.fcgi?artid=98911&amp;tool=pmcentrez&amp;rendertype=abstract</w:t>
      </w:r>
    </w:p>
    <w:p w14:paraId="1C30C511"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Bouillaut, L., Dubois, T., Sonenshein, A. L., &amp; Dupuy, B. (2015). Integration of metabolism and virulence in Clostridium difficile. </w:t>
      </w:r>
      <w:r>
        <w:rPr>
          <w:rStyle w:val="None"/>
          <w:rFonts w:ascii="Arial" w:hAnsi="Arial"/>
          <w:i/>
          <w:iCs/>
          <w:sz w:val="18"/>
          <w:szCs w:val="18"/>
        </w:rPr>
        <w:t>Research in Microbiology</w:t>
      </w:r>
      <w:r>
        <w:rPr>
          <w:rStyle w:val="None"/>
          <w:rFonts w:ascii="Arial" w:hAnsi="Arial"/>
          <w:sz w:val="18"/>
          <w:szCs w:val="18"/>
        </w:rPr>
        <w:t xml:space="preserve">, </w:t>
      </w:r>
      <w:r>
        <w:rPr>
          <w:rStyle w:val="None"/>
          <w:rFonts w:ascii="Arial" w:hAnsi="Arial"/>
          <w:i/>
          <w:iCs/>
          <w:sz w:val="18"/>
          <w:szCs w:val="18"/>
        </w:rPr>
        <w:t>166</w:t>
      </w:r>
      <w:r>
        <w:rPr>
          <w:rStyle w:val="None"/>
          <w:rFonts w:ascii="Arial" w:hAnsi="Arial"/>
          <w:sz w:val="18"/>
          <w:szCs w:val="18"/>
        </w:rPr>
        <w:t>(4), 375–383. http://doi.org/10.1016/j.resmic.2014.10.002</w:t>
      </w:r>
    </w:p>
    <w:p w14:paraId="1604E5B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Bouillaut, L., Dubois, T., Sonenshein, A. L., &amp; Dupuy, B. (2015). Integration of metabolism and virulence in Clostridium difficile. </w:t>
      </w:r>
      <w:r>
        <w:rPr>
          <w:rStyle w:val="None"/>
          <w:rFonts w:ascii="Arial" w:hAnsi="Arial"/>
          <w:i/>
          <w:iCs/>
          <w:sz w:val="18"/>
          <w:szCs w:val="18"/>
        </w:rPr>
        <w:t>Research in Microbiology</w:t>
      </w:r>
      <w:r>
        <w:rPr>
          <w:rStyle w:val="None"/>
          <w:rFonts w:ascii="Arial" w:hAnsi="Arial"/>
          <w:sz w:val="18"/>
          <w:szCs w:val="18"/>
        </w:rPr>
        <w:t xml:space="preserve">, </w:t>
      </w:r>
      <w:r>
        <w:rPr>
          <w:rStyle w:val="None"/>
          <w:rFonts w:ascii="Arial" w:hAnsi="Arial"/>
          <w:i/>
          <w:iCs/>
          <w:sz w:val="18"/>
          <w:szCs w:val="18"/>
        </w:rPr>
        <w:t>166</w:t>
      </w:r>
      <w:r>
        <w:rPr>
          <w:rStyle w:val="None"/>
          <w:rFonts w:ascii="Arial" w:hAnsi="Arial"/>
          <w:sz w:val="18"/>
          <w:szCs w:val="18"/>
        </w:rPr>
        <w:t>(4), 375–383. http://doi.org/10.1016/j.resmic.2014.10.002</w:t>
      </w:r>
    </w:p>
    <w:p w14:paraId="54ED240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Bouillaut, L., Dubois, T., Sonenshein, A. L., &amp; Dupuy, B. (2015). Integration of metabolism and virulence in Clostridium difficile. </w:t>
      </w:r>
      <w:r>
        <w:rPr>
          <w:rStyle w:val="None"/>
          <w:rFonts w:ascii="Arial" w:hAnsi="Arial"/>
          <w:i/>
          <w:iCs/>
          <w:sz w:val="18"/>
          <w:szCs w:val="18"/>
        </w:rPr>
        <w:t>Research in Microbiology</w:t>
      </w:r>
      <w:r>
        <w:rPr>
          <w:rStyle w:val="None"/>
          <w:rFonts w:ascii="Arial" w:hAnsi="Arial"/>
          <w:sz w:val="18"/>
          <w:szCs w:val="18"/>
        </w:rPr>
        <w:t xml:space="preserve">, </w:t>
      </w:r>
      <w:r>
        <w:rPr>
          <w:rStyle w:val="None"/>
          <w:rFonts w:ascii="Arial" w:hAnsi="Arial"/>
          <w:i/>
          <w:iCs/>
          <w:sz w:val="18"/>
          <w:szCs w:val="18"/>
        </w:rPr>
        <w:t>166</w:t>
      </w:r>
      <w:r>
        <w:rPr>
          <w:rStyle w:val="None"/>
          <w:rFonts w:ascii="Arial" w:hAnsi="Arial"/>
          <w:sz w:val="18"/>
          <w:szCs w:val="18"/>
        </w:rPr>
        <w:t>(4), 375–383. http://doi.org/10.1016/j.resmic.2014.10.002</w:t>
      </w:r>
    </w:p>
    <w:p w14:paraId="288AE64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Bouillaut, L., Self, W. T., &amp; Sonenshein, A. L. (2013). Proline-dependent regulation of Clostridium difficile stickland metabolism. </w:t>
      </w:r>
      <w:r>
        <w:rPr>
          <w:rStyle w:val="None"/>
          <w:rFonts w:ascii="Arial" w:hAnsi="Arial"/>
          <w:i/>
          <w:iCs/>
          <w:sz w:val="18"/>
          <w:szCs w:val="18"/>
        </w:rPr>
        <w:t>Journal of Bacteriology</w:t>
      </w:r>
      <w:r>
        <w:rPr>
          <w:rStyle w:val="None"/>
          <w:rFonts w:ascii="Arial" w:hAnsi="Arial"/>
          <w:sz w:val="18"/>
          <w:szCs w:val="18"/>
        </w:rPr>
        <w:t xml:space="preserve">, </w:t>
      </w:r>
      <w:r>
        <w:rPr>
          <w:rStyle w:val="None"/>
          <w:rFonts w:ascii="Arial" w:hAnsi="Arial"/>
          <w:i/>
          <w:iCs/>
          <w:sz w:val="18"/>
          <w:szCs w:val="18"/>
        </w:rPr>
        <w:t>195</w:t>
      </w:r>
      <w:r>
        <w:rPr>
          <w:rStyle w:val="None"/>
          <w:rFonts w:ascii="Arial" w:hAnsi="Arial"/>
          <w:sz w:val="18"/>
          <w:szCs w:val="18"/>
        </w:rPr>
        <w:t>(4), 844–854. http://doi.org/10.1128/JB.01492-12</w:t>
      </w:r>
    </w:p>
    <w:p w14:paraId="73B0CFD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Carter, G. P., Purdy, D., Williams, P., &amp; Minton, N. P. (2005). Quorum sensing in Clostridium difficile: Analysis of a luxS-type signalling system. In </w:t>
      </w:r>
      <w:r>
        <w:rPr>
          <w:rStyle w:val="None"/>
          <w:rFonts w:ascii="Arial" w:hAnsi="Arial"/>
          <w:i/>
          <w:iCs/>
          <w:sz w:val="18"/>
          <w:szCs w:val="18"/>
        </w:rPr>
        <w:t>Journal of Medical Microbiology</w:t>
      </w:r>
      <w:r>
        <w:rPr>
          <w:rStyle w:val="None"/>
          <w:rFonts w:ascii="Arial" w:hAnsi="Arial"/>
          <w:sz w:val="18"/>
          <w:szCs w:val="18"/>
        </w:rPr>
        <w:t xml:space="preserve"> (Vol. 54, pp. 119–127). http://doi.org/10.1099/jmm.0.45817-0</w:t>
      </w:r>
    </w:p>
    <w:p w14:paraId="61223EB9"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Carter, G. P., Rood, J. I., &amp; Lyras, D. (2012). The role of toxin A and toxin B in the virulence of Clostridium difficile. </w:t>
      </w:r>
      <w:r>
        <w:rPr>
          <w:rStyle w:val="None"/>
          <w:rFonts w:ascii="Arial" w:hAnsi="Arial"/>
          <w:i/>
          <w:iCs/>
          <w:sz w:val="18"/>
          <w:szCs w:val="18"/>
        </w:rPr>
        <w:t>Trends in Microbiology</w:t>
      </w:r>
      <w:r>
        <w:rPr>
          <w:rStyle w:val="None"/>
          <w:rFonts w:ascii="Arial" w:hAnsi="Arial"/>
          <w:sz w:val="18"/>
          <w:szCs w:val="18"/>
        </w:rPr>
        <w:t>. http://doi.org/10.1016/j.tim.2011.11.003</w:t>
      </w:r>
    </w:p>
    <w:p w14:paraId="79CD3451"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Chen, X., Katchar, K., Goldsmith, J. D., Nanthakumar, N., Cheknis, A., Gerding, D. N., &amp; Kelly, C. P. (2008). A Mouse Model of Clostridium difficile-Associated Disease. Gastroenterology, 135(6), 1984–1992. http://doi.org/10.1053/j.gastro.2008.09.002</w:t>
      </w:r>
    </w:p>
    <w:p w14:paraId="505D03F5"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Darkoh, C., Dupont, H. L., Norris, S. J., &amp; Kaplan, H. B. (2015). Toxin synthesis by Clostridium difficile is regulated through quorum signaling. </w:t>
      </w:r>
      <w:r>
        <w:rPr>
          <w:rStyle w:val="None"/>
          <w:rFonts w:ascii="Arial" w:hAnsi="Arial"/>
          <w:i/>
          <w:iCs/>
          <w:sz w:val="18"/>
          <w:szCs w:val="18"/>
        </w:rPr>
        <w:t>mBio</w:t>
      </w:r>
      <w:r>
        <w:rPr>
          <w:rStyle w:val="None"/>
          <w:rFonts w:ascii="Arial" w:hAnsi="Arial"/>
          <w:sz w:val="18"/>
          <w:szCs w:val="18"/>
        </w:rPr>
        <w:t xml:space="preserve">, </w:t>
      </w:r>
      <w:r>
        <w:rPr>
          <w:rStyle w:val="None"/>
          <w:rFonts w:ascii="Arial" w:hAnsi="Arial"/>
          <w:i/>
          <w:iCs/>
          <w:sz w:val="18"/>
          <w:szCs w:val="18"/>
        </w:rPr>
        <w:t>6</w:t>
      </w:r>
      <w:r>
        <w:rPr>
          <w:rStyle w:val="None"/>
          <w:rFonts w:ascii="Arial" w:hAnsi="Arial"/>
          <w:sz w:val="18"/>
          <w:szCs w:val="18"/>
        </w:rPr>
        <w:t>(2). http://doi.org/10.1128/mBio.02569-14</w:t>
      </w:r>
    </w:p>
    <w:p w14:paraId="1B6DA3A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80</w:t>
      </w:r>
      <w:r>
        <w:rPr>
          <w:rStyle w:val="None"/>
          <w:rFonts w:ascii="Arial" w:hAnsi="Arial"/>
          <w:sz w:val="18"/>
          <w:szCs w:val="18"/>
        </w:rPr>
        <w:t>(8), 2704–2711. http://doi.org/10.1128/IAI.00147-12</w:t>
      </w:r>
    </w:p>
    <w:p w14:paraId="582BE262"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Deutscher, J., Francke, C., &amp; Postma, P. W. (2006). How phosphotransferase system-related protein phosphorylation regulates carbohydrate metabolism in bacteria. </w:t>
      </w:r>
      <w:r>
        <w:rPr>
          <w:rStyle w:val="None"/>
          <w:rFonts w:ascii="Arial" w:hAnsi="Arial"/>
          <w:i/>
          <w:iCs/>
          <w:sz w:val="18"/>
          <w:szCs w:val="18"/>
        </w:rPr>
        <w:t>Microbiology and Molecular Biology Reviews</w:t>
      </w:r>
      <w:r>
        <w:rPr>
          <w:rStyle w:val="None"/>
          <w:rFonts w:ascii="Arial Unicode MS" w:hAnsi="Arial Unicode MS"/>
          <w:sz w:val="18"/>
          <w:szCs w:val="18"/>
        </w:rPr>
        <w:t> </w:t>
      </w:r>
      <w:r>
        <w:rPr>
          <w:rStyle w:val="None"/>
          <w:rFonts w:ascii="Arial" w:hAnsi="Arial"/>
          <w:i/>
          <w:iCs/>
          <w:sz w:val="18"/>
          <w:szCs w:val="18"/>
        </w:rPr>
        <w:t>: MMBR</w:t>
      </w:r>
      <w:r>
        <w:rPr>
          <w:rStyle w:val="None"/>
          <w:rFonts w:ascii="Arial" w:hAnsi="Arial"/>
          <w:sz w:val="18"/>
          <w:szCs w:val="18"/>
        </w:rPr>
        <w:t xml:space="preserve">, </w:t>
      </w:r>
      <w:r>
        <w:rPr>
          <w:rStyle w:val="None"/>
          <w:rFonts w:ascii="Arial" w:hAnsi="Arial"/>
          <w:i/>
          <w:iCs/>
          <w:sz w:val="18"/>
          <w:szCs w:val="18"/>
        </w:rPr>
        <w:t>70</w:t>
      </w:r>
      <w:r>
        <w:rPr>
          <w:rStyle w:val="None"/>
          <w:rFonts w:ascii="Arial" w:hAnsi="Arial"/>
          <w:sz w:val="18"/>
          <w:szCs w:val="18"/>
        </w:rPr>
        <w:t>(4), 939–1031. http://doi.org/10.1128/MMBR.00024-06</w:t>
      </w:r>
    </w:p>
    <w:p w14:paraId="2698A398"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Donnelly, M. L., Fimlaid, K. A., &amp; Shen, A. (2016). Characterization of </w:t>
      </w:r>
      <w:r>
        <w:rPr>
          <w:rStyle w:val="None"/>
          <w:rFonts w:ascii="Arial" w:hAnsi="Arial"/>
          <w:i/>
          <w:iCs/>
          <w:sz w:val="18"/>
          <w:szCs w:val="18"/>
        </w:rPr>
        <w:t>Clostridium difficile</w:t>
      </w:r>
      <w:r>
        <w:rPr>
          <w:rStyle w:val="None"/>
          <w:rFonts w:ascii="Arial" w:hAnsi="Arial"/>
          <w:sz w:val="18"/>
          <w:szCs w:val="18"/>
        </w:rPr>
        <w:t xml:space="preserve"> spores lacking either SpoVAC or DPA Synthetase. </w:t>
      </w:r>
      <w:r>
        <w:rPr>
          <w:rStyle w:val="None"/>
          <w:rFonts w:ascii="Arial" w:hAnsi="Arial"/>
          <w:i/>
          <w:iCs/>
          <w:sz w:val="18"/>
          <w:szCs w:val="18"/>
        </w:rPr>
        <w:t>Journal of Bacteriology</w:t>
      </w:r>
      <w:r>
        <w:rPr>
          <w:rStyle w:val="None"/>
          <w:rFonts w:ascii="Arial" w:hAnsi="Arial"/>
          <w:sz w:val="18"/>
          <w:szCs w:val="18"/>
        </w:rPr>
        <w:t>, (April), JB.00986–15. http://doi.org/10.1128/JB.00986-15</w:t>
      </w:r>
    </w:p>
    <w:p w14:paraId="48C8B777"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Elsden, S. R., &amp; Hilton, M. G. (1978). Volatile acid production from threonine, valine, leucine and isoleucine by clostridia. </w:t>
      </w:r>
      <w:r>
        <w:rPr>
          <w:rStyle w:val="None"/>
          <w:rFonts w:ascii="Arial" w:hAnsi="Arial"/>
          <w:i/>
          <w:iCs/>
          <w:sz w:val="18"/>
          <w:szCs w:val="18"/>
        </w:rPr>
        <w:t>Archives of Microbiology</w:t>
      </w:r>
      <w:r>
        <w:rPr>
          <w:rStyle w:val="None"/>
          <w:rFonts w:ascii="Arial" w:hAnsi="Arial"/>
          <w:sz w:val="18"/>
          <w:szCs w:val="18"/>
        </w:rPr>
        <w:t xml:space="preserve">, </w:t>
      </w:r>
      <w:r>
        <w:rPr>
          <w:rStyle w:val="None"/>
          <w:rFonts w:ascii="Arial" w:hAnsi="Arial"/>
          <w:i/>
          <w:iCs/>
          <w:sz w:val="18"/>
          <w:szCs w:val="18"/>
        </w:rPr>
        <w:t>117</w:t>
      </w:r>
      <w:r>
        <w:rPr>
          <w:rStyle w:val="None"/>
          <w:rFonts w:ascii="Arial" w:hAnsi="Arial"/>
          <w:sz w:val="18"/>
          <w:szCs w:val="18"/>
        </w:rPr>
        <w:t>(2), 165–172. http://doi.org/10.1007/BF00402304</w:t>
      </w:r>
    </w:p>
    <w:p w14:paraId="5733216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76</w:t>
      </w:r>
      <w:r>
        <w:rPr>
          <w:rStyle w:val="None"/>
          <w:rFonts w:ascii="Arial" w:hAnsi="Arial"/>
          <w:sz w:val="18"/>
          <w:szCs w:val="18"/>
        </w:rPr>
        <w:t>(3), 1143–1152. http://doi.org/10.1128/IAI.01386-07</w:t>
      </w:r>
    </w:p>
    <w:p w14:paraId="5F94553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rPr>
        <w:t>Cell Host and Microbe</w:t>
      </w:r>
      <w:r>
        <w:rPr>
          <w:rStyle w:val="None"/>
          <w:rFonts w:ascii="Arial" w:hAnsi="Arial"/>
          <w:sz w:val="18"/>
          <w:szCs w:val="18"/>
        </w:rPr>
        <w:t xml:space="preserve">, </w:t>
      </w:r>
      <w:r>
        <w:rPr>
          <w:rStyle w:val="None"/>
          <w:rFonts w:ascii="Arial" w:hAnsi="Arial"/>
          <w:i/>
          <w:iCs/>
          <w:sz w:val="18"/>
          <w:szCs w:val="18"/>
        </w:rPr>
        <w:t>16</w:t>
      </w:r>
      <w:r>
        <w:rPr>
          <w:rStyle w:val="None"/>
          <w:rFonts w:ascii="Arial" w:hAnsi="Arial"/>
          <w:sz w:val="18"/>
          <w:szCs w:val="18"/>
        </w:rPr>
        <w:t>(6), 770–777. http://doi.org/10.1016/j.chom.2014.11.003</w:t>
      </w:r>
    </w:p>
    <w:p w14:paraId="5895E3B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Fimlaid, K. A., Bond, J. P., Schutz, K. C., Putnam, E. E., Leung, J. M., Lawley, T. D., &amp; Shen, A. (2013). Global Analysis of the Sporulation Pathway of Clostridium difficile. </w:t>
      </w:r>
      <w:r>
        <w:rPr>
          <w:rStyle w:val="None"/>
          <w:rFonts w:ascii="Arial" w:hAnsi="Arial"/>
          <w:i/>
          <w:iCs/>
          <w:sz w:val="18"/>
          <w:szCs w:val="18"/>
        </w:rPr>
        <w:t>PLoS Genetics</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(8). http://doi.org/10.1371/journal.pgen.1003660</w:t>
      </w:r>
    </w:p>
    <w:p w14:paraId="094CC66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Fimlaid, K. A., Bond, J. P., Schutz, K. C., Putnam, E. E., Leung, J. M., Lawley, T. D., &amp; Shen, A. (2013). Global Analysis of the Sporulation Pathway of Clostridium difficile. </w:t>
      </w:r>
      <w:r>
        <w:rPr>
          <w:rStyle w:val="None"/>
          <w:rFonts w:ascii="Arial" w:hAnsi="Arial"/>
          <w:i/>
          <w:iCs/>
          <w:sz w:val="18"/>
          <w:szCs w:val="18"/>
        </w:rPr>
        <w:t>PLoS Genetics</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(8). http://doi.org/10.1371/journal.pgen.1003660</w:t>
      </w:r>
    </w:p>
    <w:p w14:paraId="61654E97"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Fimlaid, K. A., &amp; Shen, A. (2015). Diverse mechanisms regulate sporulation sigma factor activity in the Firmicutes. </w:t>
      </w:r>
      <w:r>
        <w:rPr>
          <w:rStyle w:val="None"/>
          <w:rFonts w:ascii="Arial" w:hAnsi="Arial"/>
          <w:i/>
          <w:iCs/>
          <w:sz w:val="18"/>
          <w:szCs w:val="18"/>
        </w:rPr>
        <w:t>Current Opinion in Microbiology</w:t>
      </w:r>
      <w:r>
        <w:rPr>
          <w:rStyle w:val="None"/>
          <w:rFonts w:ascii="Arial" w:hAnsi="Arial"/>
          <w:sz w:val="18"/>
          <w:szCs w:val="18"/>
        </w:rPr>
        <w:t>. http://doi.org/10.1016/j.mib.2015.01.006</w:t>
      </w:r>
    </w:p>
    <w:p w14:paraId="0684CE87"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i/>
          <w:iCs/>
          <w:sz w:val="18"/>
          <w:szCs w:val="18"/>
        </w:rPr>
      </w:pPr>
      <w:r>
        <w:rPr>
          <w:rStyle w:val="None"/>
          <w:rFonts w:ascii="Arial" w:hAnsi="Arial"/>
          <w:sz w:val="18"/>
          <w:szCs w:val="18"/>
        </w:rPr>
        <w:t xml:space="preserve">Freter, R. 1983. Mechanisms that control the microflora in the large intestine, p. 33-54. In D. J. Hentges (ed.), </w:t>
      </w:r>
      <w:r>
        <w:rPr>
          <w:rStyle w:val="None"/>
          <w:rFonts w:ascii="Arial" w:hAnsi="Arial"/>
          <w:i/>
          <w:iCs/>
          <w:sz w:val="18"/>
          <w:szCs w:val="18"/>
          <w:lang w:val="fr-FR"/>
        </w:rPr>
        <w:t xml:space="preserve">Human </w:t>
      </w:r>
    </w:p>
    <w:p w14:paraId="2FF3B216"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sz w:val="18"/>
          <w:szCs w:val="18"/>
        </w:rPr>
      </w:pPr>
      <w:r>
        <w:rPr>
          <w:rStyle w:val="None"/>
          <w:rFonts w:ascii="Arial" w:eastAsia="Arial" w:hAnsi="Arial" w:cs="Arial"/>
          <w:i/>
          <w:iCs/>
          <w:sz w:val="18"/>
          <w:szCs w:val="18"/>
        </w:rPr>
        <w:tab/>
        <w:t>intestinal microflora in health and disease</w:t>
      </w:r>
      <w:r>
        <w:rPr>
          <w:rStyle w:val="None"/>
          <w:rFonts w:ascii="Arial" w:hAnsi="Arial"/>
          <w:sz w:val="18"/>
          <w:szCs w:val="18"/>
        </w:rPr>
        <w:t>. Academic Press, Inc., New York, NY.</w:t>
      </w:r>
    </w:p>
    <w:p w14:paraId="3303D3CE"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34E14933"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Pr>
        <w:t xml:space="preserve">Ho, T. D., &amp; Ellermeier, C. D. (2015). Ferric uptake regulator fur control of putative iron acquisition systems in Clostridium </w:t>
      </w:r>
      <w:r>
        <w:rPr>
          <w:rStyle w:val="None"/>
          <w:rFonts w:ascii="Arial" w:hAnsi="Arial"/>
          <w:sz w:val="18"/>
          <w:szCs w:val="18"/>
        </w:rPr>
        <w:tab/>
      </w:r>
      <w:r>
        <w:rPr>
          <w:rStyle w:val="None"/>
          <w:rFonts w:ascii="Arial" w:eastAsia="Arial" w:hAnsi="Arial" w:cs="Arial"/>
          <w:sz w:val="18"/>
          <w:szCs w:val="18"/>
        </w:rPr>
        <w:tab/>
      </w:r>
      <w:r>
        <w:rPr>
          <w:rStyle w:val="None"/>
          <w:rFonts w:ascii="Arial" w:hAnsi="Arial"/>
          <w:sz w:val="18"/>
          <w:szCs w:val="18"/>
          <w:lang w:val="it-IT"/>
        </w:rPr>
        <w:t xml:space="preserve">difficile. </w:t>
      </w:r>
      <w:r>
        <w:rPr>
          <w:rStyle w:val="None"/>
          <w:rFonts w:ascii="Arial" w:hAnsi="Arial"/>
          <w:i/>
          <w:iCs/>
          <w:sz w:val="18"/>
          <w:szCs w:val="18"/>
        </w:rPr>
        <w:t>Journal of Bacteriology</w:t>
      </w:r>
      <w:r>
        <w:rPr>
          <w:rStyle w:val="None"/>
          <w:rFonts w:ascii="Arial" w:hAnsi="Arial"/>
          <w:sz w:val="18"/>
          <w:szCs w:val="18"/>
        </w:rPr>
        <w:t xml:space="preserve">, </w:t>
      </w:r>
      <w:r>
        <w:rPr>
          <w:rStyle w:val="None"/>
          <w:rFonts w:ascii="Arial" w:hAnsi="Arial"/>
          <w:i/>
          <w:iCs/>
          <w:sz w:val="18"/>
          <w:szCs w:val="18"/>
        </w:rPr>
        <w:t>197</w:t>
      </w:r>
      <w:r>
        <w:rPr>
          <w:rStyle w:val="None"/>
          <w:rFonts w:ascii="Arial" w:hAnsi="Arial"/>
          <w:sz w:val="18"/>
          <w:szCs w:val="18"/>
        </w:rPr>
        <w:t>(18), 2930–</w:t>
      </w:r>
      <w:r>
        <w:rPr>
          <w:rStyle w:val="None"/>
          <w:rFonts w:ascii="Arial" w:hAnsi="Arial"/>
          <w:sz w:val="18"/>
          <w:szCs w:val="18"/>
          <w:lang w:val="it-IT"/>
        </w:rPr>
        <w:t xml:space="preserve">2940. </w:t>
      </w:r>
      <w:hyperlink r:id="rId15" w:history="1">
        <w:r>
          <w:rPr>
            <w:rStyle w:val="Hyperlink2"/>
          </w:rPr>
          <w:t>http://doi.org/10.1128/JB.00098-15</w:t>
        </w:r>
      </w:hyperlink>
    </w:p>
    <w:p w14:paraId="41C1E851"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46FA4D82"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lang w:val="de-DE"/>
        </w:rPr>
        <w:t>Hundsberger, T., Braun, V., Weidmann, M., Leukel, P., Sauerborn, M., &amp; von Eichel-Streiber, C. (1997). Transcription anal</w:t>
      </w:r>
      <w:r>
        <w:rPr>
          <w:rStyle w:val="None"/>
          <w:rFonts w:ascii="Arial" w:hAnsi="Arial"/>
          <w:sz w:val="18"/>
          <w:szCs w:val="18"/>
          <w:lang w:val="de-DE"/>
        </w:rPr>
        <w:t>y</w:t>
      </w:r>
      <w:r>
        <w:rPr>
          <w:rStyle w:val="None"/>
          <w:rFonts w:ascii="Arial" w:hAnsi="Arial"/>
          <w:sz w:val="18"/>
          <w:szCs w:val="18"/>
          <w:lang w:val="de-DE"/>
        </w:rPr>
        <w:t xml:space="preserve">sis </w:t>
      </w:r>
      <w:r>
        <w:rPr>
          <w:rStyle w:val="None"/>
          <w:rFonts w:ascii="Arial" w:eastAsia="Arial" w:hAnsi="Arial" w:cs="Arial"/>
          <w:sz w:val="18"/>
          <w:szCs w:val="18"/>
        </w:rPr>
        <w:tab/>
        <w:t xml:space="preserve">of the genes tcdA-E of the pathogenicity locus of Clostridium difficile. </w:t>
      </w:r>
      <w:r>
        <w:rPr>
          <w:rStyle w:val="None"/>
          <w:rFonts w:ascii="Arial" w:hAnsi="Arial"/>
          <w:i/>
          <w:iCs/>
          <w:sz w:val="18"/>
          <w:szCs w:val="18"/>
        </w:rPr>
        <w:t>European Journal of Biochemistry / FEBS</w:t>
      </w:r>
      <w:r>
        <w:rPr>
          <w:rStyle w:val="None"/>
          <w:rFonts w:ascii="Arial" w:hAnsi="Arial"/>
          <w:sz w:val="18"/>
          <w:szCs w:val="18"/>
        </w:rPr>
        <w:t xml:space="preserve">, </w:t>
      </w:r>
      <w:r>
        <w:rPr>
          <w:rStyle w:val="None"/>
          <w:rFonts w:ascii="Arial" w:hAnsi="Arial"/>
          <w:sz w:val="18"/>
          <w:szCs w:val="18"/>
        </w:rPr>
        <w:tab/>
      </w:r>
      <w:r>
        <w:rPr>
          <w:rStyle w:val="None"/>
          <w:rFonts w:ascii="Arial" w:eastAsia="Arial" w:hAnsi="Arial" w:cs="Arial"/>
          <w:sz w:val="18"/>
          <w:szCs w:val="18"/>
        </w:rPr>
        <w:tab/>
      </w:r>
      <w:r>
        <w:rPr>
          <w:rStyle w:val="None"/>
          <w:rFonts w:ascii="Arial" w:hAnsi="Arial"/>
          <w:i/>
          <w:iCs/>
          <w:sz w:val="18"/>
          <w:szCs w:val="18"/>
        </w:rPr>
        <w:t>244</w:t>
      </w:r>
      <w:r>
        <w:rPr>
          <w:rStyle w:val="None"/>
          <w:rFonts w:ascii="Arial" w:hAnsi="Arial"/>
          <w:sz w:val="18"/>
          <w:szCs w:val="18"/>
        </w:rPr>
        <w:t xml:space="preserve">(3), 735–742. </w:t>
      </w:r>
      <w:hyperlink r:id="rId16" w:history="1">
        <w:r>
          <w:rPr>
            <w:rStyle w:val="Hyperlink2"/>
          </w:rPr>
          <w:t>http://doi.org/10.1111/j.1432-1033.1997.t01-1-00735.x</w:t>
        </w:r>
      </w:hyperlink>
    </w:p>
    <w:p w14:paraId="0B7C4527"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3975A33D"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sz w:val="18"/>
          <w:szCs w:val="18"/>
        </w:rPr>
      </w:pPr>
      <w:r>
        <w:rPr>
          <w:rStyle w:val="None"/>
          <w:rFonts w:ascii="Arial" w:hAnsi="Arial"/>
          <w:sz w:val="18"/>
          <w:szCs w:val="18"/>
          <w:lang w:val="fr-FR"/>
        </w:rPr>
        <w:t>Janoir, C., Denè</w:t>
      </w:r>
      <w:r>
        <w:rPr>
          <w:rStyle w:val="None"/>
          <w:rFonts w:ascii="Arial" w:hAnsi="Arial"/>
          <w:sz w:val="18"/>
          <w:szCs w:val="18"/>
        </w:rPr>
        <w:t>ve, C., Bouttier, S., Barbut, F., Hoys, S., Caleechum, L., &amp; Dupuy, B. (2013). Adaptive strategies and patho</w:t>
      </w:r>
      <w:r>
        <w:rPr>
          <w:rStyle w:val="None"/>
          <w:rFonts w:ascii="Arial" w:hAnsi="Arial"/>
          <w:sz w:val="18"/>
          <w:szCs w:val="18"/>
        </w:rPr>
        <w:tab/>
      </w:r>
      <w:r>
        <w:rPr>
          <w:rStyle w:val="None"/>
          <w:rFonts w:ascii="Arial" w:eastAsia="Arial" w:hAnsi="Arial" w:cs="Arial"/>
          <w:sz w:val="18"/>
          <w:szCs w:val="18"/>
        </w:rPr>
        <w:tab/>
      </w:r>
      <w:r>
        <w:rPr>
          <w:rStyle w:val="None"/>
          <w:rFonts w:ascii="Arial" w:hAnsi="Arial"/>
          <w:sz w:val="18"/>
          <w:szCs w:val="18"/>
        </w:rPr>
        <w:t xml:space="preserve">genesis of clostridium difficile from In vivo transcriptomics.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81</w:t>
      </w:r>
      <w:r>
        <w:rPr>
          <w:rStyle w:val="None"/>
          <w:rFonts w:ascii="Arial" w:hAnsi="Arial"/>
          <w:sz w:val="18"/>
          <w:szCs w:val="18"/>
        </w:rPr>
        <w:t>(10), 3757–3769.</w:t>
      </w:r>
    </w:p>
    <w:p w14:paraId="71042C3B"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eastAsia="Arial" w:hAnsi="Arial" w:cs="Arial"/>
          <w:sz w:val="18"/>
          <w:szCs w:val="18"/>
        </w:rPr>
        <w:tab/>
      </w:r>
      <w:hyperlink r:id="rId17" w:history="1">
        <w:r>
          <w:rPr>
            <w:rStyle w:val="Hyperlink3"/>
          </w:rPr>
          <w:t>http://doi.org/10.1128/IAI.00515-13</w:t>
        </w:r>
      </w:hyperlink>
    </w:p>
    <w:p w14:paraId="4821C1CE"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5214C4BE"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sz w:val="18"/>
          <w:szCs w:val="18"/>
        </w:rPr>
      </w:pPr>
      <w:r>
        <w:rPr>
          <w:rStyle w:val="None"/>
          <w:rFonts w:ascii="Arial" w:hAnsi="Arial"/>
          <w:sz w:val="18"/>
          <w:szCs w:val="18"/>
        </w:rPr>
        <w:t xml:space="preserve">Joshi, N., &amp; Fass, J. (2011). Sickle: A sliding-window, adaptive, quality-based trimming tool for FastQ files (Version 1.33) </w:t>
      </w:r>
      <w:r>
        <w:rPr>
          <w:rStyle w:val="None"/>
          <w:rFonts w:ascii="Arial" w:hAnsi="Arial"/>
          <w:sz w:val="18"/>
          <w:szCs w:val="18"/>
        </w:rPr>
        <w:tab/>
      </w:r>
      <w:r>
        <w:rPr>
          <w:rStyle w:val="None"/>
          <w:rFonts w:ascii="Arial" w:eastAsia="Arial" w:hAnsi="Arial" w:cs="Arial"/>
          <w:sz w:val="18"/>
          <w:szCs w:val="18"/>
        </w:rPr>
        <w:tab/>
      </w:r>
      <w:r>
        <w:rPr>
          <w:rStyle w:val="None"/>
          <w:rFonts w:ascii="Arial" w:hAnsi="Arial"/>
          <w:sz w:val="18"/>
          <w:szCs w:val="18"/>
        </w:rPr>
        <w:t xml:space="preserve">[Software]. </w:t>
      </w:r>
      <w:r>
        <w:rPr>
          <w:rStyle w:val="None"/>
          <w:rFonts w:ascii="Arial" w:hAnsi="Arial"/>
          <w:i/>
          <w:iCs/>
          <w:sz w:val="18"/>
          <w:szCs w:val="18"/>
        </w:rPr>
        <w:t>Available at Https://github.com/najoshi/sickle.</w:t>
      </w:r>
      <w:r>
        <w:rPr>
          <w:rStyle w:val="None"/>
          <w:rFonts w:ascii="Arial" w:hAnsi="Arial"/>
          <w:sz w:val="18"/>
          <w:szCs w:val="18"/>
        </w:rPr>
        <w:t>, 2011.</w:t>
      </w:r>
    </w:p>
    <w:p w14:paraId="01CC7CC0"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sz w:val="18"/>
          <w:szCs w:val="18"/>
        </w:rPr>
      </w:pPr>
    </w:p>
    <w:p w14:paraId="1CDA8F6B"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rPr>
        <w:t>PLoS ONE</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(7). http://doi.org/10.1371/journal.pone.0101267</w:t>
      </w:r>
    </w:p>
    <w:p w14:paraId="07BCC229"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rPr>
        <w:t>PLoS ONE</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(7). http://doi.org/10.1371/journal.pone.0101267</w:t>
      </w:r>
    </w:p>
    <w:p w14:paraId="6F71518B" w14:textId="77777777" w:rsidR="004C352D" w:rsidRDefault="004C352D">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color w:val="323232"/>
          <w:sz w:val="18"/>
          <w:szCs w:val="18"/>
          <w:u w:color="323232"/>
        </w:rPr>
      </w:pPr>
    </w:p>
    <w:p w14:paraId="6952399B" w14:textId="77777777" w:rsidR="004C352D" w:rsidRDefault="00BC6DB8">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eastAsia="Arial" w:hAnsi="Arial" w:cs="Arial"/>
          <w:color w:val="323232"/>
          <w:sz w:val="18"/>
          <w:szCs w:val="18"/>
          <w:u w:color="323232"/>
        </w:rPr>
      </w:pPr>
      <w:r>
        <w:rPr>
          <w:rStyle w:val="None"/>
          <w:rFonts w:ascii="Arial" w:hAnsi="Arial"/>
          <w:color w:val="323232"/>
          <w:sz w:val="18"/>
          <w:szCs w:val="18"/>
          <w:u w:color="323232"/>
        </w:rPr>
        <w:t>Kansau, I., Barketi-Klai, A., Monot, M., Hoy, S., Dupuy, B., &amp; Janoir, C. (2016). Deciphering Adaptation Strategies of the Epi</w:t>
      </w:r>
      <w:r>
        <w:rPr>
          <w:rStyle w:val="None"/>
          <w:rFonts w:ascii="Arial" w:hAnsi="Arial"/>
          <w:color w:val="323232"/>
          <w:sz w:val="18"/>
          <w:szCs w:val="18"/>
          <w:u w:color="323232"/>
        </w:rPr>
        <w:tab/>
        <w:t xml:space="preserve">demic Clostridium difficile 027 Strain during Infection through In Vivo Transcriptional Analysis. </w:t>
      </w:r>
      <w:r>
        <w:rPr>
          <w:rStyle w:val="None"/>
          <w:rFonts w:ascii="Arial" w:hAnsi="Arial"/>
          <w:i/>
          <w:iCs/>
          <w:color w:val="323232"/>
          <w:sz w:val="18"/>
          <w:szCs w:val="18"/>
          <w:u w:color="323232"/>
          <w:lang w:val="de-DE"/>
        </w:rPr>
        <w:t>PLoS ONE</w:t>
      </w:r>
      <w:r>
        <w:rPr>
          <w:rStyle w:val="None"/>
          <w:rFonts w:ascii="Arial" w:hAnsi="Arial"/>
          <w:color w:val="323232"/>
          <w:sz w:val="18"/>
          <w:szCs w:val="18"/>
          <w:u w:color="323232"/>
        </w:rPr>
        <w:t xml:space="preserve">, 11(6). </w:t>
      </w:r>
      <w:r>
        <w:rPr>
          <w:rStyle w:val="None"/>
          <w:rFonts w:ascii="Arial" w:hAnsi="Arial"/>
          <w:color w:val="323232"/>
          <w:sz w:val="18"/>
          <w:szCs w:val="18"/>
          <w:u w:color="323232"/>
        </w:rPr>
        <w:tab/>
        <w:t>http://dx.doi.org/10.1371/journal.pone.0158204</w:t>
      </w:r>
    </w:p>
    <w:p w14:paraId="1278CFBF" w14:textId="77777777" w:rsidR="004C352D" w:rsidRDefault="004C352D">
      <w:pPr>
        <w:pStyle w:val="Textbody"/>
        <w:shd w:val="clear" w:color="auto" w:fill="FFFFFF"/>
        <w:ind w:left="480" w:hanging="480"/>
        <w:rPr>
          <w:rFonts w:ascii="Arial" w:eastAsia="Arial" w:hAnsi="Arial" w:cs="Arial"/>
          <w:sz w:val="18"/>
          <w:szCs w:val="18"/>
        </w:rPr>
      </w:pPr>
    </w:p>
    <w:p w14:paraId="3FC67D19"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Karasawa, T., Maegawa, T., Nojiri, T., Yamakawa, K., &amp; Nakamura, S. (1997). Effect of arginine on toxin production by Clostridium difficile in defined medium. </w:t>
      </w:r>
      <w:r>
        <w:rPr>
          <w:rStyle w:val="None"/>
          <w:rFonts w:ascii="Arial" w:hAnsi="Arial"/>
          <w:i/>
          <w:iCs/>
          <w:sz w:val="18"/>
          <w:szCs w:val="18"/>
        </w:rPr>
        <w:t>Microbiology and Immunology</w:t>
      </w:r>
      <w:r>
        <w:rPr>
          <w:rStyle w:val="None"/>
          <w:rFonts w:ascii="Arial" w:hAnsi="Arial"/>
          <w:sz w:val="18"/>
          <w:szCs w:val="18"/>
        </w:rPr>
        <w:t xml:space="preserve">, </w:t>
      </w:r>
      <w:r>
        <w:rPr>
          <w:rStyle w:val="None"/>
          <w:rFonts w:ascii="Arial" w:hAnsi="Arial"/>
          <w:i/>
          <w:iCs/>
          <w:sz w:val="18"/>
          <w:szCs w:val="18"/>
        </w:rPr>
        <w:t>41</w:t>
      </w:r>
      <w:r>
        <w:rPr>
          <w:rStyle w:val="None"/>
          <w:rFonts w:ascii="Arial" w:hAnsi="Arial"/>
          <w:sz w:val="18"/>
          <w:szCs w:val="18"/>
        </w:rPr>
        <w:t>(8), 581–5. Retrieved from http://www.ncbi.nlm.nih.gov/pubmed/9310936</w:t>
      </w:r>
    </w:p>
    <w:p w14:paraId="3CB9F017"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71</w:t>
      </w:r>
      <w:r>
        <w:rPr>
          <w:rStyle w:val="None"/>
          <w:rFonts w:ascii="Arial" w:hAnsi="Arial"/>
          <w:sz w:val="18"/>
          <w:szCs w:val="18"/>
        </w:rPr>
        <w:t>(4), 1784–1793. http://doi.org/10.1128/IAI.71.4.1784-1793.2003</w:t>
      </w:r>
    </w:p>
    <w:p w14:paraId="443C6B3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Kim, J., Hetzel, M., Boiangiu, C. D., &amp; Buckel, W. (2004). Dehydration of (R)-2-hydroxyacyl-CoA to enoyl-CoA in the fermentation of α-amino acids by anaerobic bacteria. </w:t>
      </w:r>
      <w:r>
        <w:rPr>
          <w:rStyle w:val="None"/>
          <w:rFonts w:ascii="Arial" w:hAnsi="Arial"/>
          <w:i/>
          <w:iCs/>
          <w:sz w:val="18"/>
          <w:szCs w:val="18"/>
        </w:rPr>
        <w:t>FEMS Microbiology Reviews</w:t>
      </w:r>
      <w:r>
        <w:rPr>
          <w:rStyle w:val="None"/>
          <w:rFonts w:ascii="Arial" w:hAnsi="Arial"/>
          <w:sz w:val="18"/>
          <w:szCs w:val="18"/>
        </w:rPr>
        <w:t xml:space="preserve">, </w:t>
      </w:r>
      <w:r>
        <w:rPr>
          <w:rStyle w:val="None"/>
          <w:rFonts w:ascii="Arial" w:hAnsi="Arial"/>
          <w:i/>
          <w:iCs/>
          <w:sz w:val="18"/>
          <w:szCs w:val="18"/>
        </w:rPr>
        <w:t>28</w:t>
      </w:r>
      <w:r>
        <w:rPr>
          <w:rStyle w:val="None"/>
          <w:rFonts w:ascii="Arial" w:hAnsi="Arial"/>
          <w:sz w:val="18"/>
          <w:szCs w:val="18"/>
        </w:rPr>
        <w:t>(4), 455–468. http://doi.org/10.1016/j.femsre.2004.03.001</w:t>
      </w:r>
    </w:p>
    <w:p w14:paraId="5CE8D931"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83</w:t>
      </w:r>
      <w:r>
        <w:rPr>
          <w:rStyle w:val="None"/>
          <w:rFonts w:ascii="Arial" w:hAnsi="Arial"/>
          <w:sz w:val="18"/>
          <w:szCs w:val="18"/>
        </w:rPr>
        <w:t>(3), 934–941. http://doi.org/10.1128/IAI.02768-14</w:t>
      </w:r>
    </w:p>
    <w:p w14:paraId="6BE114F3"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Langmead, B., Trapnell, C., Pop, M., &amp; Salzberg, S. L. (2009). Ultrafast and memory-efficient alignment of short DNA sequences to the human genome. </w:t>
      </w:r>
      <w:r>
        <w:rPr>
          <w:rStyle w:val="None"/>
          <w:rFonts w:ascii="Arial" w:hAnsi="Arial"/>
          <w:i/>
          <w:iCs/>
          <w:sz w:val="18"/>
          <w:szCs w:val="18"/>
        </w:rPr>
        <w:t>Genome Biol</w:t>
      </w:r>
      <w:r>
        <w:rPr>
          <w:rStyle w:val="None"/>
          <w:rFonts w:ascii="Arial" w:hAnsi="Arial"/>
          <w:sz w:val="18"/>
          <w:szCs w:val="18"/>
        </w:rPr>
        <w:t>, 1–10. http://doi.org/gb-2009-10-3-r25 [pii]\r10.1186/gb-2009-10-3-r25</w:t>
      </w:r>
    </w:p>
    <w:p w14:paraId="34ED9A8D"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Lawley, T. D., &amp; Walker, A. W. (2013). Intestinal colonization resistance. </w:t>
      </w:r>
      <w:r>
        <w:rPr>
          <w:rStyle w:val="None"/>
          <w:rFonts w:ascii="Arial" w:hAnsi="Arial"/>
          <w:i/>
          <w:iCs/>
          <w:sz w:val="18"/>
          <w:szCs w:val="18"/>
        </w:rPr>
        <w:t>Immunology</w:t>
      </w:r>
      <w:r>
        <w:rPr>
          <w:rStyle w:val="None"/>
          <w:rFonts w:ascii="Arial" w:hAnsi="Arial"/>
          <w:sz w:val="18"/>
          <w:szCs w:val="18"/>
        </w:rPr>
        <w:t xml:space="preserve">, </w:t>
      </w:r>
      <w:r>
        <w:rPr>
          <w:rStyle w:val="None"/>
          <w:rFonts w:ascii="Arial" w:hAnsi="Arial"/>
          <w:i/>
          <w:iCs/>
          <w:sz w:val="18"/>
          <w:szCs w:val="18"/>
        </w:rPr>
        <w:t>138</w:t>
      </w:r>
      <w:r>
        <w:rPr>
          <w:rStyle w:val="None"/>
          <w:rFonts w:ascii="Arial" w:hAnsi="Arial"/>
          <w:sz w:val="18"/>
          <w:szCs w:val="18"/>
        </w:rPr>
        <w:t>(1), 1–11. http://doi.org/10.1111/j.1365-2567.2012.03616.x</w:t>
      </w:r>
    </w:p>
    <w:p w14:paraId="1A4ED8D5"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Leffler, D. A., &amp; Lamont, J. T. (2015). Clostridium difficile Infection. </w:t>
      </w:r>
      <w:r>
        <w:rPr>
          <w:rStyle w:val="None"/>
          <w:rFonts w:ascii="Arial" w:hAnsi="Arial"/>
          <w:i/>
          <w:iCs/>
          <w:sz w:val="18"/>
          <w:szCs w:val="18"/>
        </w:rPr>
        <w:t>New England Journal of Medicine</w:t>
      </w:r>
      <w:r>
        <w:rPr>
          <w:rStyle w:val="None"/>
          <w:rFonts w:ascii="Arial" w:hAnsi="Arial"/>
          <w:sz w:val="18"/>
          <w:szCs w:val="18"/>
        </w:rPr>
        <w:t xml:space="preserve">, </w:t>
      </w:r>
      <w:r>
        <w:rPr>
          <w:rStyle w:val="None"/>
          <w:rFonts w:ascii="Arial" w:hAnsi="Arial"/>
          <w:i/>
          <w:iCs/>
          <w:sz w:val="18"/>
          <w:szCs w:val="18"/>
        </w:rPr>
        <w:t>372</w:t>
      </w:r>
      <w:r>
        <w:rPr>
          <w:rStyle w:val="None"/>
          <w:rFonts w:ascii="Arial" w:hAnsi="Arial"/>
          <w:sz w:val="18"/>
          <w:szCs w:val="18"/>
        </w:rPr>
        <w:t>(16), 1539–1548. http://doi.org/10.1056/NEJMra1403772</w:t>
      </w:r>
    </w:p>
    <w:p w14:paraId="5DE13367"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Lessa, F. C., Gould, C. V, &amp; McDonald, L. C. (2012). Current status of Clostridium difficile infection epidemiology. </w:t>
      </w:r>
      <w:r>
        <w:rPr>
          <w:rStyle w:val="None"/>
          <w:rFonts w:ascii="Arial" w:hAnsi="Arial"/>
          <w:i/>
          <w:iCs/>
          <w:sz w:val="18"/>
          <w:szCs w:val="18"/>
        </w:rPr>
        <w:t>Clinical Infectious Diseases</w:t>
      </w:r>
      <w:r>
        <w:rPr>
          <w:rStyle w:val="None"/>
          <w:rFonts w:ascii="Arial Unicode MS" w:hAnsi="Arial Unicode MS"/>
          <w:sz w:val="18"/>
          <w:szCs w:val="18"/>
        </w:rPr>
        <w:t> </w:t>
      </w:r>
      <w:r>
        <w:rPr>
          <w:rStyle w:val="None"/>
          <w:rFonts w:ascii="Arial" w:hAnsi="Arial"/>
          <w:i/>
          <w:iCs/>
          <w:sz w:val="18"/>
          <w:szCs w:val="18"/>
        </w:rPr>
        <w:t>: An Official Publication of the Infectious Diseases Society of America</w:t>
      </w:r>
      <w:r>
        <w:rPr>
          <w:rStyle w:val="None"/>
          <w:rFonts w:ascii="Arial" w:hAnsi="Arial"/>
          <w:sz w:val="18"/>
          <w:szCs w:val="18"/>
        </w:rPr>
        <w:t xml:space="preserve">, </w:t>
      </w:r>
      <w:r>
        <w:rPr>
          <w:rStyle w:val="None"/>
          <w:rFonts w:ascii="Arial" w:hAnsi="Arial"/>
          <w:i/>
          <w:iCs/>
          <w:sz w:val="18"/>
          <w:szCs w:val="18"/>
        </w:rPr>
        <w:t>55 Suppl 2</w:t>
      </w:r>
      <w:r>
        <w:rPr>
          <w:rStyle w:val="None"/>
          <w:rFonts w:ascii="Arial" w:hAnsi="Arial"/>
          <w:sz w:val="18"/>
          <w:szCs w:val="18"/>
        </w:rPr>
        <w:t>(Suppl 2), S65–70. http://doi.org/10.1093/cid/cis319</w:t>
      </w:r>
    </w:p>
    <w:p w14:paraId="237DCFF6" w14:textId="77777777" w:rsidR="004C352D" w:rsidRDefault="00BC6DB8">
      <w:pPr>
        <w:pStyle w:val="Textbody"/>
        <w:shd w:val="clear" w:color="auto" w:fill="FFFFFF"/>
        <w:ind w:left="480" w:hanging="480"/>
      </w:pPr>
      <w:r>
        <w:rPr>
          <w:rStyle w:val="None"/>
          <w:rFonts w:ascii="Arial" w:hAnsi="Arial"/>
          <w:sz w:val="18"/>
          <w:szCs w:val="18"/>
        </w:rPr>
        <w:t xml:space="preserve">Lessa, F. C., Mu, Y., Bamberg, W. M., Beldavs, Z. G., Dumyati, G. K., Dunn, J. R., &amp; McDonald, L. C. (2015). Burden of Clostridium difficile Infection in the United States. </w:t>
      </w:r>
      <w:r>
        <w:rPr>
          <w:rStyle w:val="None"/>
          <w:rFonts w:ascii="Arial" w:hAnsi="Arial"/>
          <w:i/>
          <w:iCs/>
          <w:sz w:val="18"/>
          <w:szCs w:val="18"/>
        </w:rPr>
        <w:t>The New England Journal of Medicine</w:t>
      </w:r>
      <w:r>
        <w:rPr>
          <w:rStyle w:val="None"/>
          <w:rFonts w:ascii="Arial" w:hAnsi="Arial"/>
          <w:sz w:val="18"/>
          <w:szCs w:val="18"/>
        </w:rPr>
        <w:t xml:space="preserve">, </w:t>
      </w:r>
      <w:r>
        <w:rPr>
          <w:rStyle w:val="None"/>
          <w:rFonts w:ascii="Arial" w:hAnsi="Arial"/>
          <w:i/>
          <w:iCs/>
          <w:sz w:val="18"/>
          <w:szCs w:val="18"/>
        </w:rPr>
        <w:t>372</w:t>
      </w:r>
      <w:r>
        <w:rPr>
          <w:rStyle w:val="None"/>
          <w:rFonts w:ascii="Arial" w:hAnsi="Arial"/>
          <w:sz w:val="18"/>
          <w:szCs w:val="18"/>
        </w:rPr>
        <w:t xml:space="preserve">(9), 825–834. </w:t>
      </w:r>
      <w:hyperlink r:id="rId18" w:history="1">
        <w:r>
          <w:rPr>
            <w:rStyle w:val="Hyperlink4"/>
          </w:rPr>
          <w:t>http://doi.org/10.1056/NEJMoa1408913</w:t>
        </w:r>
      </w:hyperlink>
    </w:p>
    <w:p w14:paraId="2C9FC62B"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rPr>
        <w:t>Journal of Bacteriology</w:t>
      </w:r>
      <w:r>
        <w:rPr>
          <w:rStyle w:val="None"/>
          <w:rFonts w:ascii="Arial" w:hAnsi="Arial"/>
          <w:sz w:val="18"/>
          <w:szCs w:val="18"/>
        </w:rPr>
        <w:t xml:space="preserve">, </w:t>
      </w:r>
      <w:r>
        <w:rPr>
          <w:rStyle w:val="None"/>
          <w:rFonts w:ascii="Arial" w:hAnsi="Arial"/>
          <w:i/>
          <w:iCs/>
          <w:sz w:val="18"/>
          <w:szCs w:val="18"/>
        </w:rPr>
        <w:t>190</w:t>
      </w:r>
      <w:r>
        <w:rPr>
          <w:rStyle w:val="None"/>
          <w:rFonts w:ascii="Arial" w:hAnsi="Arial"/>
          <w:sz w:val="18"/>
          <w:szCs w:val="18"/>
        </w:rPr>
        <w:t>(3), 843–850. http://doi.org/10.1128/JB.01417-07</w:t>
      </w:r>
    </w:p>
    <w:p w14:paraId="08822323"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Li, H., Handsaker, B., Wysoker, A., Fennell, T., Ruan, J., Homer, N., &amp; Durbin, R. (2009). The Sequence Alignment/Map format and SAMtools. </w:t>
      </w:r>
      <w:r>
        <w:rPr>
          <w:rStyle w:val="None"/>
          <w:rFonts w:ascii="Arial" w:hAnsi="Arial"/>
          <w:i/>
          <w:iCs/>
          <w:sz w:val="18"/>
          <w:szCs w:val="18"/>
        </w:rPr>
        <w:t>Bioinformatics</w:t>
      </w:r>
      <w:r>
        <w:rPr>
          <w:rStyle w:val="None"/>
          <w:rFonts w:ascii="Arial" w:hAnsi="Arial"/>
          <w:sz w:val="18"/>
          <w:szCs w:val="18"/>
        </w:rPr>
        <w:t xml:space="preserve">, </w:t>
      </w:r>
      <w:r>
        <w:rPr>
          <w:rStyle w:val="None"/>
          <w:rFonts w:ascii="Arial" w:hAnsi="Arial"/>
          <w:i/>
          <w:iCs/>
          <w:sz w:val="18"/>
          <w:szCs w:val="18"/>
        </w:rPr>
        <w:t>25</w:t>
      </w:r>
      <w:r>
        <w:rPr>
          <w:rStyle w:val="None"/>
          <w:rFonts w:ascii="Arial" w:hAnsi="Arial"/>
          <w:sz w:val="18"/>
          <w:szCs w:val="18"/>
        </w:rPr>
        <w:t>(16), 2078–2079. http://doi.org/10.1093/bioinformatics/btp352</w:t>
      </w:r>
    </w:p>
    <w:p w14:paraId="038A9C15"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López-Maury, L., Marguerat, S., &amp; Bähler, J. (2008). Tuning gene expression to changing environments: from rapid responses to evolutionary adaptation. </w:t>
      </w:r>
      <w:r>
        <w:rPr>
          <w:rStyle w:val="None"/>
          <w:rFonts w:ascii="Arial" w:hAnsi="Arial"/>
          <w:i/>
          <w:iCs/>
          <w:sz w:val="18"/>
          <w:szCs w:val="18"/>
        </w:rPr>
        <w:t>Nature Reviews Genetics</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(8), 583–593. http://doi.org/10.1038/nrg2398</w:t>
      </w:r>
    </w:p>
    <w:p w14:paraId="7792851A"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López-Maury, L., Marguerat, S., &amp; Bähler, J. (2008). Tuning gene expression to changing environments: from rapid responses to evolutionary adaptation. </w:t>
      </w:r>
      <w:r>
        <w:rPr>
          <w:rStyle w:val="None"/>
          <w:rFonts w:ascii="Arial" w:hAnsi="Arial"/>
          <w:i/>
          <w:iCs/>
          <w:sz w:val="18"/>
          <w:szCs w:val="18"/>
        </w:rPr>
        <w:t>Nature Reviews Genetics</w:t>
      </w:r>
      <w:r>
        <w:rPr>
          <w:rStyle w:val="None"/>
          <w:rFonts w:ascii="Arial" w:hAnsi="Arial"/>
          <w:sz w:val="18"/>
          <w:szCs w:val="18"/>
        </w:rPr>
        <w:t xml:space="preserve">, </w:t>
      </w:r>
      <w:r>
        <w:rPr>
          <w:rStyle w:val="None"/>
          <w:rFonts w:ascii="Arial" w:hAnsi="Arial"/>
          <w:i/>
          <w:iCs/>
          <w:sz w:val="18"/>
          <w:szCs w:val="18"/>
        </w:rPr>
        <w:t>9</w:t>
      </w:r>
      <w:r>
        <w:rPr>
          <w:rStyle w:val="None"/>
          <w:rFonts w:ascii="Arial" w:hAnsi="Arial"/>
          <w:sz w:val="18"/>
          <w:szCs w:val="18"/>
        </w:rPr>
        <w:t>(8), 583–593. http://doi.org/10.1038/nrg2398</w:t>
      </w:r>
    </w:p>
    <w:p w14:paraId="4B092E7B"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Lopez-Medina, E., Neubauer, M. M., Pier, G. B., &amp; Koh, A. Y. (2011). RNA isolation of Pseudomonas aeruginosa colonizing the murine gastrointestinal tract. </w:t>
      </w:r>
      <w:r>
        <w:rPr>
          <w:rStyle w:val="None"/>
          <w:rFonts w:ascii="Arial" w:hAnsi="Arial"/>
          <w:i/>
          <w:iCs/>
          <w:sz w:val="18"/>
          <w:szCs w:val="18"/>
        </w:rPr>
        <w:t>Journal of Visualized Experiments</w:t>
      </w:r>
      <w:r>
        <w:rPr>
          <w:rStyle w:val="None"/>
          <w:rFonts w:ascii="Arial Unicode MS" w:hAnsi="Arial Unicode MS"/>
          <w:sz w:val="18"/>
          <w:szCs w:val="18"/>
        </w:rPr>
        <w:t> </w:t>
      </w:r>
      <w:r>
        <w:rPr>
          <w:rStyle w:val="None"/>
          <w:rFonts w:ascii="Arial" w:hAnsi="Arial"/>
          <w:i/>
          <w:iCs/>
          <w:sz w:val="18"/>
          <w:szCs w:val="18"/>
        </w:rPr>
        <w:t>: JoVE</w:t>
      </w:r>
      <w:r>
        <w:rPr>
          <w:rStyle w:val="None"/>
          <w:rFonts w:ascii="Arial" w:hAnsi="Arial"/>
          <w:sz w:val="18"/>
          <w:szCs w:val="18"/>
        </w:rPr>
        <w:t>, (55), 6–9. http://doi.org/10.3791/3293</w:t>
      </w:r>
    </w:p>
    <w:p w14:paraId="3A48FE39"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Martin, M. (2011). Cutadapt removes adapter sequences from high-throughput sequencing reads. </w:t>
      </w:r>
      <w:r>
        <w:rPr>
          <w:rStyle w:val="None"/>
          <w:rFonts w:ascii="Arial" w:hAnsi="Arial"/>
          <w:i/>
          <w:iCs/>
          <w:sz w:val="18"/>
          <w:szCs w:val="18"/>
        </w:rPr>
        <w:t>EMBnet.journal</w:t>
      </w:r>
      <w:r>
        <w:rPr>
          <w:rStyle w:val="None"/>
          <w:rFonts w:ascii="Arial" w:hAnsi="Arial"/>
          <w:sz w:val="18"/>
          <w:szCs w:val="18"/>
        </w:rPr>
        <w:t xml:space="preserve">, </w:t>
      </w:r>
      <w:r>
        <w:rPr>
          <w:rStyle w:val="None"/>
          <w:rFonts w:ascii="Arial" w:hAnsi="Arial"/>
          <w:i/>
          <w:iCs/>
          <w:sz w:val="18"/>
          <w:szCs w:val="18"/>
        </w:rPr>
        <w:t>17</w:t>
      </w:r>
      <w:r>
        <w:rPr>
          <w:rStyle w:val="None"/>
          <w:rFonts w:ascii="Arial" w:hAnsi="Arial"/>
          <w:sz w:val="18"/>
          <w:szCs w:val="18"/>
        </w:rPr>
        <w:t>(1), 10. http://doi.org/10.14806/ej.17.1.200</w:t>
      </w:r>
    </w:p>
    <w:p w14:paraId="1D4DACD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M, N.-S., JD, H., SE, W., &amp; D, S. (2015). Time-resolved amino acid uptake of Clostridium difficile 630Δerm and concomitant fermentation product and toxin formation. </w:t>
      </w:r>
      <w:r>
        <w:rPr>
          <w:rStyle w:val="None"/>
          <w:rFonts w:ascii="Arial" w:hAnsi="Arial"/>
          <w:i/>
          <w:iCs/>
          <w:sz w:val="18"/>
          <w:szCs w:val="18"/>
        </w:rPr>
        <w:t>BMC Microbiology</w:t>
      </w:r>
      <w:r>
        <w:rPr>
          <w:rStyle w:val="None"/>
          <w:rFonts w:ascii="Arial" w:hAnsi="Arial"/>
          <w:sz w:val="18"/>
          <w:szCs w:val="18"/>
        </w:rPr>
        <w:t>, 281. http://doi.org/10.1186/s12866-015-0614-2</w:t>
      </w:r>
    </w:p>
    <w:p w14:paraId="47EDAA8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M, N.-S., JD, H., SE, W., &amp; D, S. (2015). Time-resolved amino acid uptake of Clostridium difficile 630Δerm and concomitant fermentation product and toxin formation. </w:t>
      </w:r>
      <w:r>
        <w:rPr>
          <w:rStyle w:val="None"/>
          <w:rFonts w:ascii="Arial" w:hAnsi="Arial"/>
          <w:i/>
          <w:iCs/>
          <w:sz w:val="18"/>
          <w:szCs w:val="18"/>
        </w:rPr>
        <w:t>BMC Microbiology</w:t>
      </w:r>
      <w:r>
        <w:rPr>
          <w:rStyle w:val="None"/>
          <w:rFonts w:ascii="Arial" w:hAnsi="Arial"/>
          <w:sz w:val="18"/>
          <w:szCs w:val="18"/>
        </w:rPr>
        <w:t>, 281. http://doi.org/10.1186/s12866-015-0614-2</w:t>
      </w:r>
    </w:p>
    <w:p w14:paraId="03B3A369"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Matamouros, S., England, P., &amp; Dupuy, B. (2007). Clostridium difficile toxin expression is inhibited by the novel regulator TcdC. </w:t>
      </w:r>
      <w:r>
        <w:rPr>
          <w:rStyle w:val="None"/>
          <w:rFonts w:ascii="Arial" w:hAnsi="Arial"/>
          <w:i/>
          <w:iCs/>
          <w:sz w:val="18"/>
          <w:szCs w:val="18"/>
        </w:rPr>
        <w:t>Molecular Microbiology</w:t>
      </w:r>
      <w:r>
        <w:rPr>
          <w:rStyle w:val="None"/>
          <w:rFonts w:ascii="Arial" w:hAnsi="Arial"/>
          <w:sz w:val="18"/>
          <w:szCs w:val="18"/>
        </w:rPr>
        <w:t xml:space="preserve">, </w:t>
      </w:r>
      <w:r>
        <w:rPr>
          <w:rStyle w:val="None"/>
          <w:rFonts w:ascii="Arial" w:hAnsi="Arial"/>
          <w:i/>
          <w:iCs/>
          <w:sz w:val="18"/>
          <w:szCs w:val="18"/>
        </w:rPr>
        <w:t>64</w:t>
      </w:r>
      <w:r>
        <w:rPr>
          <w:rStyle w:val="None"/>
          <w:rFonts w:ascii="Arial" w:hAnsi="Arial"/>
          <w:sz w:val="18"/>
          <w:szCs w:val="18"/>
        </w:rPr>
        <w:t>(5), 1274–1288. http://doi.org/10.1111/j.1365-2958.2007.05739.x</w:t>
      </w:r>
    </w:p>
    <w:p w14:paraId="1D90A69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Matsumoto, M., Kibe, R., Ooga, T., Aiba, Y., Kurihara, S., Sawaki, E., &amp; Benno, Y. (2012). Impact of intestinal microbiota on intestinal luminal metabolome. Scientific Reports, 2, 233. http://doi.org/10.1038/srep00233</w:t>
      </w:r>
    </w:p>
    <w:p w14:paraId="5154F36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Moncrief, J. S., Barroso, L. A., &amp; Wilkins, T. D. (1997). Positive regulation of Clostridium difficile toxins.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65</w:t>
      </w:r>
      <w:r>
        <w:rPr>
          <w:rStyle w:val="None"/>
          <w:rFonts w:ascii="Arial" w:hAnsi="Arial"/>
          <w:sz w:val="18"/>
          <w:szCs w:val="18"/>
        </w:rPr>
        <w:t>(3), 1105–1108.</w:t>
      </w:r>
    </w:p>
    <w:p w14:paraId="430BC2B7"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Naaber, P., Smidt, I., Štšepetova, J., Brilene, T., Annuk, H., &amp; Mikelsaar, M. (2004). Inhibition of Clostridium difficile strains by intestinal Lactobacillus species. </w:t>
      </w:r>
      <w:r>
        <w:rPr>
          <w:rStyle w:val="None"/>
          <w:rFonts w:ascii="Arial" w:hAnsi="Arial"/>
          <w:i/>
          <w:iCs/>
          <w:sz w:val="18"/>
          <w:szCs w:val="18"/>
        </w:rPr>
        <w:t>Journal of Medical Microbiology</w:t>
      </w:r>
      <w:r>
        <w:rPr>
          <w:rStyle w:val="None"/>
          <w:rFonts w:ascii="Arial" w:hAnsi="Arial"/>
          <w:sz w:val="18"/>
          <w:szCs w:val="18"/>
        </w:rPr>
        <w:t xml:space="preserve">, </w:t>
      </w:r>
      <w:r>
        <w:rPr>
          <w:rStyle w:val="None"/>
          <w:rFonts w:ascii="Arial" w:hAnsi="Arial"/>
          <w:i/>
          <w:iCs/>
          <w:sz w:val="18"/>
          <w:szCs w:val="18"/>
        </w:rPr>
        <w:t>53</w:t>
      </w:r>
      <w:r>
        <w:rPr>
          <w:rStyle w:val="None"/>
          <w:rFonts w:ascii="Arial" w:hAnsi="Arial"/>
          <w:sz w:val="18"/>
          <w:szCs w:val="18"/>
        </w:rPr>
        <w:t>(6), 551–554. http://doi.org/10.1099/jmm.0.45595-0</w:t>
      </w:r>
    </w:p>
    <w:p w14:paraId="3539B4B5"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Nakamura, S., Nakashio, S., Yamakawa, K., Tanabe, N., &amp; Nishida, S. (1982). Carbohydrate Fermentation by Clostridium difficile. Microbiology and Immunology, 26(2), 107–111. http://doi.org/10.1111/j.1348-0421.1982.tb00159.x</w:t>
      </w:r>
    </w:p>
    <w:p w14:paraId="01D64F83"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rPr>
        <w:t>Nature</w:t>
      </w:r>
      <w:r>
        <w:rPr>
          <w:rStyle w:val="None"/>
          <w:rFonts w:ascii="Arial" w:hAnsi="Arial"/>
          <w:sz w:val="18"/>
          <w:szCs w:val="18"/>
        </w:rPr>
        <w:t xml:space="preserve">, </w:t>
      </w:r>
      <w:r>
        <w:rPr>
          <w:rStyle w:val="None"/>
          <w:rFonts w:ascii="Arial" w:hAnsi="Arial"/>
          <w:i/>
          <w:iCs/>
          <w:sz w:val="18"/>
          <w:szCs w:val="18"/>
        </w:rPr>
        <w:t>502</w:t>
      </w:r>
      <w:r>
        <w:rPr>
          <w:rStyle w:val="None"/>
          <w:rFonts w:ascii="Arial" w:hAnsi="Arial"/>
          <w:sz w:val="18"/>
          <w:szCs w:val="18"/>
        </w:rPr>
        <w:t>(7469), 96–9. http://doi.org/10.1038/nature12503</w:t>
      </w:r>
    </w:p>
    <w:p w14:paraId="15B4FA35"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Patil, K. R., &amp; Nielsen, J. (2005). Uncovering transcriptional regulation of metabolism by using metabolic network topology. </w:t>
      </w:r>
      <w:r>
        <w:rPr>
          <w:rStyle w:val="None"/>
          <w:rFonts w:ascii="Arial" w:hAnsi="Arial"/>
          <w:i/>
          <w:iCs/>
          <w:sz w:val="18"/>
          <w:szCs w:val="18"/>
        </w:rPr>
        <w:t>Proceedings of the National Academy of the Sciences of the United States of America</w:t>
      </w:r>
      <w:r>
        <w:rPr>
          <w:rStyle w:val="None"/>
          <w:rFonts w:ascii="Arial" w:hAnsi="Arial"/>
          <w:sz w:val="18"/>
          <w:szCs w:val="18"/>
        </w:rPr>
        <w:t xml:space="preserve">, </w:t>
      </w:r>
      <w:r>
        <w:rPr>
          <w:rStyle w:val="None"/>
          <w:rFonts w:ascii="Arial" w:hAnsi="Arial"/>
          <w:i/>
          <w:iCs/>
          <w:sz w:val="18"/>
          <w:szCs w:val="18"/>
        </w:rPr>
        <w:t>102</w:t>
      </w:r>
      <w:r>
        <w:rPr>
          <w:rStyle w:val="None"/>
          <w:rFonts w:ascii="Arial" w:hAnsi="Arial"/>
          <w:sz w:val="18"/>
          <w:szCs w:val="18"/>
        </w:rPr>
        <w:t>(8), 2685–2689.</w:t>
      </w:r>
    </w:p>
    <w:p w14:paraId="5AEF7DC6"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Patil, K. R., &amp; Nielsen, J. (2005). Uncovering transcriptional regulation of metabolism by using metabolic network topology. </w:t>
      </w:r>
      <w:r>
        <w:rPr>
          <w:rStyle w:val="None"/>
          <w:rFonts w:ascii="Arial" w:hAnsi="Arial"/>
          <w:i/>
          <w:iCs/>
          <w:sz w:val="18"/>
          <w:szCs w:val="18"/>
        </w:rPr>
        <w:t>Proceedings of the National Academy of the Sciences of the United States of America</w:t>
      </w:r>
      <w:r>
        <w:rPr>
          <w:rStyle w:val="None"/>
          <w:rFonts w:ascii="Arial" w:hAnsi="Arial"/>
          <w:sz w:val="18"/>
          <w:szCs w:val="18"/>
        </w:rPr>
        <w:t xml:space="preserve">, </w:t>
      </w:r>
      <w:r>
        <w:rPr>
          <w:rStyle w:val="None"/>
          <w:rFonts w:ascii="Arial" w:hAnsi="Arial"/>
          <w:i/>
          <w:iCs/>
          <w:sz w:val="18"/>
          <w:szCs w:val="18"/>
        </w:rPr>
        <w:t>102</w:t>
      </w:r>
      <w:r>
        <w:rPr>
          <w:rStyle w:val="None"/>
          <w:rFonts w:ascii="Arial" w:hAnsi="Arial"/>
          <w:sz w:val="18"/>
          <w:szCs w:val="18"/>
        </w:rPr>
        <w:t>(8), 2685–2689.</w:t>
      </w:r>
    </w:p>
    <w:p w14:paraId="30B90074"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rPr>
        <w:t>Journal of Bacteriology</w:t>
      </w:r>
      <w:r>
        <w:rPr>
          <w:rStyle w:val="None"/>
          <w:rFonts w:ascii="Arial" w:hAnsi="Arial"/>
          <w:sz w:val="18"/>
          <w:szCs w:val="18"/>
        </w:rPr>
        <w:t xml:space="preserve">, </w:t>
      </w:r>
      <w:r>
        <w:rPr>
          <w:rStyle w:val="None"/>
          <w:rFonts w:ascii="Arial" w:hAnsi="Arial"/>
          <w:i/>
          <w:iCs/>
          <w:sz w:val="18"/>
          <w:szCs w:val="18"/>
        </w:rPr>
        <w:t>195</w:t>
      </w:r>
      <w:r>
        <w:rPr>
          <w:rStyle w:val="None"/>
          <w:rFonts w:ascii="Arial" w:hAnsi="Arial"/>
          <w:sz w:val="18"/>
          <w:szCs w:val="18"/>
        </w:rPr>
        <w:t>(7), 1492–1503. http://doi.org/10.1128/JB.02104-12</w:t>
      </w:r>
    </w:p>
    <w:p w14:paraId="44532EB8"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Pierpoint, W. S. (1994). Salicylic Acid and its Derivatives in Plants: Medicines, Metabolites and Messenger Molecules. In Advances in Botanical Research (Vol. Volume 20, pp. 163–235). http://doi.org/10.1016/S0065-2296(08)60217-7</w:t>
      </w:r>
    </w:p>
    <w:p w14:paraId="463414BF"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Saujet, L., Pereira, F. C., Henriques, A. O., &amp; Martin-Verstraete, I. (2014). The regulatory network controlling spore formation in Clostridium difficile. </w:t>
      </w:r>
      <w:r>
        <w:rPr>
          <w:rStyle w:val="None"/>
          <w:rFonts w:ascii="Arial" w:hAnsi="Arial"/>
          <w:i/>
          <w:iCs/>
          <w:sz w:val="18"/>
          <w:szCs w:val="18"/>
        </w:rPr>
        <w:t>FEMS Microbiology Letters</w:t>
      </w:r>
      <w:r>
        <w:rPr>
          <w:rStyle w:val="None"/>
          <w:rFonts w:ascii="Arial" w:hAnsi="Arial"/>
          <w:sz w:val="18"/>
          <w:szCs w:val="18"/>
        </w:rPr>
        <w:t xml:space="preserve">, </w:t>
      </w:r>
      <w:r>
        <w:rPr>
          <w:rStyle w:val="None"/>
          <w:rFonts w:ascii="Arial" w:hAnsi="Arial"/>
          <w:i/>
          <w:iCs/>
          <w:sz w:val="18"/>
          <w:szCs w:val="18"/>
        </w:rPr>
        <w:t>358</w:t>
      </w:r>
      <w:r>
        <w:rPr>
          <w:rStyle w:val="None"/>
          <w:rFonts w:ascii="Arial" w:hAnsi="Arial"/>
          <w:sz w:val="18"/>
          <w:szCs w:val="18"/>
        </w:rPr>
        <w:t>(1), 1–10. http://doi.org/10.1111/1574-6968.12540</w:t>
      </w:r>
    </w:p>
    <w:p w14:paraId="570CBD4D"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Scaria, J., Suzuki, H., Ptak, C. P., Chen, J.-W., Zhu, Y., Guo, X.-K., &amp; Chang, Y.-F. (2015). Comparative genomic and phenomic analysis of Clostridium difficile and </w:t>
      </w:r>
      <w:r>
        <w:rPr>
          <w:rStyle w:val="None"/>
          <w:rFonts w:ascii="Arial" w:hAnsi="Arial"/>
          <w:i/>
          <w:iCs/>
          <w:sz w:val="18"/>
          <w:szCs w:val="18"/>
        </w:rPr>
        <w:t>Clostridium sordellii</w:t>
      </w:r>
      <w:r>
        <w:rPr>
          <w:rStyle w:val="None"/>
          <w:rFonts w:ascii="Arial" w:hAnsi="Arial"/>
          <w:sz w:val="18"/>
          <w:szCs w:val="18"/>
        </w:rPr>
        <w:t xml:space="preserve">, two related pathogens with differing host tissue preference. </w:t>
      </w:r>
      <w:r>
        <w:rPr>
          <w:rStyle w:val="None"/>
          <w:rFonts w:ascii="Arial" w:hAnsi="Arial"/>
          <w:i/>
          <w:iCs/>
          <w:sz w:val="18"/>
          <w:szCs w:val="18"/>
        </w:rPr>
        <w:t>BMC Genomics</w:t>
      </w:r>
      <w:r>
        <w:rPr>
          <w:rStyle w:val="None"/>
          <w:rFonts w:ascii="Arial" w:hAnsi="Arial"/>
          <w:sz w:val="18"/>
          <w:szCs w:val="18"/>
        </w:rPr>
        <w:t xml:space="preserve">, </w:t>
      </w:r>
      <w:r>
        <w:rPr>
          <w:rStyle w:val="None"/>
          <w:rFonts w:ascii="Arial" w:hAnsi="Arial"/>
          <w:i/>
          <w:iCs/>
          <w:sz w:val="18"/>
          <w:szCs w:val="18"/>
        </w:rPr>
        <w:t>16</w:t>
      </w:r>
      <w:r>
        <w:rPr>
          <w:rStyle w:val="None"/>
          <w:rFonts w:ascii="Arial" w:hAnsi="Arial"/>
          <w:sz w:val="18"/>
          <w:szCs w:val="18"/>
        </w:rPr>
        <w:t>(1), 448. http://doi.org/10.1186/s12864-015-1663-5</w:t>
      </w:r>
    </w:p>
    <w:p w14:paraId="1EC70B9D"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rPr>
        <w:t>Journal of Bacteriology</w:t>
      </w:r>
      <w:r>
        <w:rPr>
          <w:rStyle w:val="None"/>
          <w:rFonts w:ascii="Arial" w:hAnsi="Arial"/>
          <w:sz w:val="18"/>
          <w:szCs w:val="18"/>
        </w:rPr>
        <w:t xml:space="preserve">, </w:t>
      </w:r>
      <w:r>
        <w:rPr>
          <w:rStyle w:val="None"/>
          <w:rFonts w:ascii="Arial" w:hAnsi="Arial"/>
          <w:i/>
          <w:iCs/>
          <w:sz w:val="18"/>
          <w:szCs w:val="18"/>
        </w:rPr>
        <w:t>169</w:t>
      </w:r>
      <w:r>
        <w:rPr>
          <w:rStyle w:val="None"/>
          <w:rFonts w:ascii="Arial" w:hAnsi="Arial"/>
          <w:sz w:val="18"/>
          <w:szCs w:val="18"/>
        </w:rPr>
        <w:t>(6), 2579–2590.</w:t>
      </w:r>
    </w:p>
    <w:p w14:paraId="55155B4D"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rPr>
        <w:t>mBio</w:t>
      </w:r>
      <w:r>
        <w:rPr>
          <w:rStyle w:val="None"/>
          <w:rFonts w:ascii="Arial" w:hAnsi="Arial"/>
          <w:sz w:val="18"/>
          <w:szCs w:val="18"/>
        </w:rPr>
        <w:t xml:space="preserve">, </w:t>
      </w:r>
      <w:r>
        <w:rPr>
          <w:rStyle w:val="None"/>
          <w:rFonts w:ascii="Arial" w:hAnsi="Arial"/>
          <w:i/>
          <w:iCs/>
          <w:sz w:val="18"/>
          <w:szCs w:val="18"/>
        </w:rPr>
        <w:t>6</w:t>
      </w:r>
      <w:r>
        <w:rPr>
          <w:rStyle w:val="None"/>
          <w:rFonts w:ascii="Arial" w:hAnsi="Arial"/>
          <w:sz w:val="18"/>
          <w:szCs w:val="18"/>
        </w:rPr>
        <w:t>(4). http://doi.org/10.1128/mBio.00974-15</w:t>
      </w:r>
    </w:p>
    <w:p w14:paraId="2F5C8DF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rPr>
        <w:t>Nature Genetics</w:t>
      </w:r>
      <w:r>
        <w:rPr>
          <w:rStyle w:val="None"/>
          <w:rFonts w:ascii="Arial" w:hAnsi="Arial"/>
          <w:sz w:val="18"/>
          <w:szCs w:val="18"/>
        </w:rPr>
        <w:t xml:space="preserve">, </w:t>
      </w:r>
      <w:r>
        <w:rPr>
          <w:rStyle w:val="None"/>
          <w:rFonts w:ascii="Arial" w:hAnsi="Arial"/>
          <w:i/>
          <w:iCs/>
          <w:sz w:val="18"/>
          <w:szCs w:val="18"/>
        </w:rPr>
        <w:t>38</w:t>
      </w:r>
      <w:r>
        <w:rPr>
          <w:rStyle w:val="None"/>
          <w:rFonts w:ascii="Arial" w:hAnsi="Arial"/>
          <w:sz w:val="18"/>
          <w:szCs w:val="18"/>
        </w:rPr>
        <w:t>(7), 779–786. http://doi.org/10.1038/ng1830</w:t>
      </w:r>
    </w:p>
    <w:p w14:paraId="0CBDF86C"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Songer, J. G., &amp; Anderson, M. A. (2006). Clostridium difficile: An important pathogen of food animals. </w:t>
      </w:r>
      <w:r>
        <w:rPr>
          <w:rStyle w:val="None"/>
          <w:rFonts w:ascii="Arial" w:hAnsi="Arial"/>
          <w:i/>
          <w:iCs/>
          <w:sz w:val="18"/>
          <w:szCs w:val="18"/>
        </w:rPr>
        <w:t>Anaerobe</w:t>
      </w:r>
      <w:r>
        <w:rPr>
          <w:rStyle w:val="None"/>
          <w:rFonts w:ascii="Arial" w:hAnsi="Arial"/>
          <w:sz w:val="18"/>
          <w:szCs w:val="18"/>
        </w:rPr>
        <w:t>. http://doi.org/10.1016/j.anaerobe.2005.09.001</w:t>
      </w:r>
    </w:p>
    <w:p w14:paraId="6EEFFE9B"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Theriot, C. M., Koenigsknecht, M. J., Jr, P. E. C., Hatton, G. E., Nelson, A. M., Li, B., &amp; Young, V. B. (2014). Antibiotic-induced shifts in the mouse gut microbiome and metabolome increase susceptibility to Clostridium difficile infection. http://doi.org/10.1038/ncomms4114.Antibiotic-induced</w:t>
      </w:r>
    </w:p>
    <w:p w14:paraId="08076311"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rPr>
        <w:t>Gut Microbes</w:t>
      </w:r>
      <w:r>
        <w:rPr>
          <w:rStyle w:val="None"/>
          <w:rFonts w:ascii="Arial" w:hAnsi="Arial"/>
          <w:sz w:val="18"/>
          <w:szCs w:val="18"/>
        </w:rPr>
        <w:t xml:space="preserve">, </w:t>
      </w:r>
      <w:r>
        <w:rPr>
          <w:rStyle w:val="None"/>
          <w:rFonts w:ascii="Arial" w:hAnsi="Arial"/>
          <w:i/>
          <w:iCs/>
          <w:sz w:val="18"/>
          <w:szCs w:val="18"/>
        </w:rPr>
        <w:t>2</w:t>
      </w:r>
      <w:r>
        <w:rPr>
          <w:rStyle w:val="None"/>
          <w:rFonts w:ascii="Arial" w:hAnsi="Arial"/>
          <w:sz w:val="18"/>
          <w:szCs w:val="18"/>
        </w:rPr>
        <w:t>(6), 326–334. http://doi.org/10.4161/gmic.19142</w:t>
      </w:r>
    </w:p>
    <w:p w14:paraId="1E70463D"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rPr>
        <w:t>13th biennial Congress of the Anaerobe Society of the Americas</w:t>
      </w:r>
      <w:r>
        <w:rPr>
          <w:rStyle w:val="None"/>
          <w:rFonts w:ascii="Arial" w:hAnsi="Arial"/>
          <w:sz w:val="18"/>
          <w:szCs w:val="18"/>
        </w:rPr>
        <w:t>. Poster presentation. 2016 July 11-14. Nashville, TN.</w:t>
      </w:r>
    </w:p>
    <w:p w14:paraId="54435B70"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rPr>
        <w:t>Current Opinion in Biotechnology</w:t>
      </w:r>
      <w:r>
        <w:rPr>
          <w:rStyle w:val="None"/>
          <w:rFonts w:ascii="Arial" w:hAnsi="Arial"/>
          <w:sz w:val="18"/>
          <w:szCs w:val="18"/>
        </w:rPr>
        <w:t>. http://doi.org/10.1016/j.copbio.2011.10.008</w:t>
      </w:r>
    </w:p>
    <w:p w14:paraId="3717CA41"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rPr>
        <w:t>Frontiers in Microbiology</w:t>
      </w:r>
      <w:r>
        <w:rPr>
          <w:rStyle w:val="None"/>
          <w:rFonts w:ascii="Arial" w:hAnsi="Arial"/>
          <w:sz w:val="18"/>
          <w:szCs w:val="18"/>
        </w:rPr>
        <w:t xml:space="preserve">, </w:t>
      </w:r>
      <w:r>
        <w:rPr>
          <w:rStyle w:val="None"/>
          <w:rFonts w:ascii="Arial" w:hAnsi="Arial"/>
          <w:i/>
          <w:iCs/>
          <w:sz w:val="18"/>
          <w:szCs w:val="18"/>
        </w:rPr>
        <w:t>4</w:t>
      </w:r>
      <w:r>
        <w:rPr>
          <w:rStyle w:val="None"/>
          <w:rFonts w:ascii="Arial" w:hAnsi="Arial"/>
          <w:sz w:val="18"/>
          <w:szCs w:val="18"/>
        </w:rPr>
        <w:t>(JUN). http://doi.org/10.3389/fmicb.2013.00157</w:t>
      </w:r>
    </w:p>
    <w:p w14:paraId="26B6EF0A" w14:textId="77777777" w:rsidR="004C352D" w:rsidRDefault="00BC6DB8">
      <w:pPr>
        <w:pStyle w:val="Textbody"/>
        <w:shd w:val="clear" w:color="auto" w:fill="FFFFFF"/>
        <w:ind w:left="480" w:hanging="480"/>
        <w:rPr>
          <w:rStyle w:val="None"/>
          <w:rFonts w:ascii="Arial" w:eastAsia="Arial" w:hAnsi="Arial" w:cs="Arial"/>
          <w:sz w:val="18"/>
          <w:szCs w:val="18"/>
        </w:rPr>
      </w:pPr>
      <w:r>
        <w:rPr>
          <w:rStyle w:val="None"/>
          <w:rFonts w:ascii="Arial" w:hAnsi="Arial"/>
          <w:sz w:val="18"/>
          <w:szCs w:val="18"/>
        </w:rPr>
        <w:t xml:space="preserve">Wilson, K. H., &amp; Perini, F. (1988). Role of competition for nutrients in suppression of Clostridium difficile by the colonic microflora. </w:t>
      </w:r>
      <w:r>
        <w:rPr>
          <w:rStyle w:val="None"/>
          <w:rFonts w:ascii="Arial" w:hAnsi="Arial"/>
          <w:i/>
          <w:iCs/>
          <w:sz w:val="18"/>
          <w:szCs w:val="18"/>
        </w:rPr>
        <w:t>Infection and Immunity</w:t>
      </w:r>
      <w:r>
        <w:rPr>
          <w:rStyle w:val="None"/>
          <w:rFonts w:ascii="Arial" w:hAnsi="Arial"/>
          <w:sz w:val="18"/>
          <w:szCs w:val="18"/>
        </w:rPr>
        <w:t xml:space="preserve">, </w:t>
      </w:r>
      <w:r>
        <w:rPr>
          <w:rStyle w:val="None"/>
          <w:rFonts w:ascii="Arial" w:hAnsi="Arial"/>
          <w:i/>
          <w:iCs/>
          <w:sz w:val="18"/>
          <w:szCs w:val="18"/>
        </w:rPr>
        <w:t>56</w:t>
      </w:r>
      <w:r>
        <w:rPr>
          <w:rStyle w:val="None"/>
          <w:rFonts w:ascii="Arial" w:hAnsi="Arial"/>
          <w:sz w:val="18"/>
          <w:szCs w:val="18"/>
        </w:rPr>
        <w:t>(10), 2610–2614.</w:t>
      </w:r>
    </w:p>
    <w:p w14:paraId="52FD1ACA" w14:textId="77777777" w:rsidR="004C352D" w:rsidRDefault="00BC6DB8">
      <w:pPr>
        <w:pStyle w:val="Textbody"/>
        <w:shd w:val="clear" w:color="auto" w:fill="FFFFFF"/>
        <w:spacing w:line="100" w:lineRule="atLeast"/>
        <w:ind w:left="480" w:hanging="480"/>
        <w:jc w:val="both"/>
        <w:rPr>
          <w:rStyle w:val="None"/>
          <w:rFonts w:ascii="Arial" w:eastAsia="Arial" w:hAnsi="Arial" w:cs="Arial"/>
          <w:sz w:val="18"/>
          <w:szCs w:val="18"/>
        </w:rPr>
      </w:pPr>
      <w:r>
        <w:rPr>
          <w:rStyle w:val="None"/>
          <w:rFonts w:ascii="Arial" w:hAnsi="Arial"/>
          <w:sz w:val="18"/>
          <w:szCs w:val="18"/>
        </w:rPr>
        <w:t>Young, V. B., &amp; Schmidt, T. M. (2004). Antibiotic-Associated Diarrhea Accompanied by Large-Scale Alterations in the Composition of the Fecal Microbiota. Journal of Clinical Microbiology, 42(3), 1203–1206. http://doi.org/10.1128/JCM.42.3.1203-1206.2004</w:t>
      </w:r>
    </w:p>
    <w:p w14:paraId="52F98E26" w14:textId="77777777" w:rsidR="004C352D" w:rsidRDefault="00BC6DB8">
      <w:pPr>
        <w:pStyle w:val="Textbody"/>
        <w:shd w:val="clear" w:color="auto" w:fill="FFFFFF"/>
        <w:spacing w:line="100" w:lineRule="atLeast"/>
        <w:ind w:left="480" w:hanging="480"/>
        <w:jc w:val="both"/>
      </w:pPr>
      <w:r>
        <w:rPr>
          <w:rStyle w:val="None"/>
          <w:rFonts w:ascii="Arial" w:hAnsi="Arial"/>
          <w:sz w:val="18"/>
          <w:szCs w:val="18"/>
        </w:rPr>
        <w:t xml:space="preserve">Yuille, S., Mackay, W. G., Morrison, D. J., &amp; Tedford, M. C. (2015). Optimising gut colonisation resistance against Clostridium difficile infection. </w:t>
      </w:r>
      <w:r>
        <w:rPr>
          <w:rStyle w:val="None"/>
          <w:rFonts w:ascii="Arial" w:hAnsi="Arial"/>
          <w:i/>
          <w:iCs/>
          <w:sz w:val="18"/>
          <w:szCs w:val="18"/>
        </w:rPr>
        <w:t>European Journal of Clinical Microbiology and Infectious Diseases</w:t>
      </w:r>
      <w:r>
        <w:rPr>
          <w:rStyle w:val="None"/>
          <w:rFonts w:ascii="Arial" w:hAnsi="Arial"/>
          <w:sz w:val="18"/>
          <w:szCs w:val="18"/>
        </w:rPr>
        <w:t xml:space="preserve">. </w:t>
      </w:r>
      <w:hyperlink r:id="rId19" w:history="1">
        <w:r>
          <w:rPr>
            <w:rStyle w:val="Hyperlink5"/>
          </w:rPr>
          <w:t>http://doi.org/10.1007/s10096-015-2479-6</w:t>
        </w:r>
      </w:hyperlink>
    </w:p>
    <w:sectPr w:rsidR="004C352D">
      <w:pgSz w:w="12240" w:h="15840"/>
      <w:pgMar w:top="1134" w:right="1134" w:bottom="1134" w:left="1134" w:header="720" w:footer="720" w:gutter="0"/>
      <w:cols w:space="720"/>
      <w:bidi/>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A8B9D" w14:textId="77777777" w:rsidR="00616D00" w:rsidRDefault="00616D00">
      <w:r>
        <w:separator/>
      </w:r>
    </w:p>
  </w:endnote>
  <w:endnote w:type="continuationSeparator" w:id="0">
    <w:p w14:paraId="6436FC3C" w14:textId="77777777" w:rsidR="00616D00" w:rsidRDefault="0061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63595" w14:textId="77777777" w:rsidR="00616D00" w:rsidRDefault="00616D0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F2EAE" w14:textId="77777777" w:rsidR="00616D00" w:rsidRDefault="00616D00">
      <w:r>
        <w:separator/>
      </w:r>
    </w:p>
  </w:footnote>
  <w:footnote w:type="continuationSeparator" w:id="0">
    <w:p w14:paraId="4543C166" w14:textId="77777777" w:rsidR="00616D00" w:rsidRDefault="00616D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35603" w14:textId="77777777" w:rsidR="00616D00" w:rsidRDefault="00616D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66"/>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C352D"/>
    <w:rsid w:val="00034B8A"/>
    <w:rsid w:val="001B03BC"/>
    <w:rsid w:val="001B7981"/>
    <w:rsid w:val="00254770"/>
    <w:rsid w:val="002C0D9E"/>
    <w:rsid w:val="002F3779"/>
    <w:rsid w:val="003246FB"/>
    <w:rsid w:val="003D1A15"/>
    <w:rsid w:val="004C352D"/>
    <w:rsid w:val="004F0D3E"/>
    <w:rsid w:val="00616D00"/>
    <w:rsid w:val="00663D78"/>
    <w:rsid w:val="009603D0"/>
    <w:rsid w:val="00976C54"/>
    <w:rsid w:val="00BB4251"/>
    <w:rsid w:val="00BC6DB8"/>
    <w:rsid w:val="00E5207C"/>
    <w:rsid w:val="00EC08ED"/>
    <w:rsid w:val="00FC0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D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color w:val="000080"/>
      <w:sz w:val="22"/>
      <w:szCs w:val="22"/>
      <w:u w:val="single" w:color="000080"/>
    </w:rPr>
  </w:style>
  <w:style w:type="character" w:customStyle="1" w:styleId="Hyperlink1">
    <w:name w:val="Hyperlink.1"/>
    <w:basedOn w:val="None"/>
    <w:rPr>
      <w:rFonts w:ascii="Arial" w:eastAsia="Arial" w:hAnsi="Arial" w:cs="Arial"/>
      <w:caps w:val="0"/>
      <w:smallCaps w:val="0"/>
      <w:color w:val="000000"/>
      <w:spacing w:val="0"/>
      <w:sz w:val="22"/>
      <w:szCs w:val="22"/>
      <w:u w:val="single" w:color="000000"/>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2">
    <w:name w:val="Hyperlink.2"/>
    <w:basedOn w:val="None"/>
    <w:rPr>
      <w:rFonts w:ascii="Arial" w:eastAsia="Arial" w:hAnsi="Arial" w:cs="Arial"/>
      <w:color w:val="0000FF"/>
      <w:sz w:val="18"/>
      <w:szCs w:val="18"/>
      <w:u w:val="single" w:color="0000FF"/>
      <w:lang w:val="en-US"/>
    </w:rPr>
  </w:style>
  <w:style w:type="character" w:customStyle="1" w:styleId="Hyperlink3">
    <w:name w:val="Hyperlink.3"/>
    <w:basedOn w:val="None"/>
    <w:rPr>
      <w:rFonts w:ascii="Arial" w:eastAsia="Arial" w:hAnsi="Arial" w:cs="Arial"/>
      <w:color w:val="0000FF"/>
      <w:sz w:val="18"/>
      <w:szCs w:val="18"/>
      <w:u w:val="single" w:color="0000FF"/>
    </w:rPr>
  </w:style>
  <w:style w:type="character" w:customStyle="1" w:styleId="Hyperlink4">
    <w:name w:val="Hyperlink.4"/>
    <w:basedOn w:val="None"/>
    <w:rPr>
      <w:rFonts w:ascii="Arial" w:eastAsia="Arial" w:hAnsi="Arial" w:cs="Arial"/>
      <w:color w:val="000080"/>
      <w:sz w:val="18"/>
      <w:szCs w:val="18"/>
      <w:u w:val="single" w:color="000080"/>
    </w:rPr>
  </w:style>
  <w:style w:type="character" w:customStyle="1" w:styleId="Hyperlink5">
    <w:name w:val="Hyperlink.5"/>
    <w:basedOn w:val="None"/>
    <w:rPr>
      <w:rFonts w:ascii="Arial" w:eastAsia="Arial" w:hAnsi="Arial" w:cs="Arial"/>
      <w:outline w:val="0"/>
      <w:color w:val="000000"/>
      <w:spacing w:val="0"/>
      <w:sz w:val="18"/>
      <w:szCs w:val="18"/>
      <w:u w:val="none"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color w:val="000080"/>
      <w:sz w:val="22"/>
      <w:szCs w:val="22"/>
      <w:u w:val="single" w:color="000080"/>
    </w:rPr>
  </w:style>
  <w:style w:type="character" w:customStyle="1" w:styleId="Hyperlink1">
    <w:name w:val="Hyperlink.1"/>
    <w:basedOn w:val="None"/>
    <w:rPr>
      <w:rFonts w:ascii="Arial" w:eastAsia="Arial" w:hAnsi="Arial" w:cs="Arial"/>
      <w:caps w:val="0"/>
      <w:smallCaps w:val="0"/>
      <w:color w:val="000000"/>
      <w:spacing w:val="0"/>
      <w:sz w:val="22"/>
      <w:szCs w:val="22"/>
      <w:u w:val="single" w:color="000000"/>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2">
    <w:name w:val="Hyperlink.2"/>
    <w:basedOn w:val="None"/>
    <w:rPr>
      <w:rFonts w:ascii="Arial" w:eastAsia="Arial" w:hAnsi="Arial" w:cs="Arial"/>
      <w:color w:val="0000FF"/>
      <w:sz w:val="18"/>
      <w:szCs w:val="18"/>
      <w:u w:val="single" w:color="0000FF"/>
      <w:lang w:val="en-US"/>
    </w:rPr>
  </w:style>
  <w:style w:type="character" w:customStyle="1" w:styleId="Hyperlink3">
    <w:name w:val="Hyperlink.3"/>
    <w:basedOn w:val="None"/>
    <w:rPr>
      <w:rFonts w:ascii="Arial" w:eastAsia="Arial" w:hAnsi="Arial" w:cs="Arial"/>
      <w:color w:val="0000FF"/>
      <w:sz w:val="18"/>
      <w:szCs w:val="18"/>
      <w:u w:val="single" w:color="0000FF"/>
    </w:rPr>
  </w:style>
  <w:style w:type="character" w:customStyle="1" w:styleId="Hyperlink4">
    <w:name w:val="Hyperlink.4"/>
    <w:basedOn w:val="None"/>
    <w:rPr>
      <w:rFonts w:ascii="Arial" w:eastAsia="Arial" w:hAnsi="Arial" w:cs="Arial"/>
      <w:color w:val="000080"/>
      <w:sz w:val="18"/>
      <w:szCs w:val="18"/>
      <w:u w:val="single" w:color="000080"/>
    </w:rPr>
  </w:style>
  <w:style w:type="character" w:customStyle="1" w:styleId="Hyperlink5">
    <w:name w:val="Hyperlink.5"/>
    <w:basedOn w:val="None"/>
    <w:rPr>
      <w:rFonts w:ascii="Arial" w:eastAsia="Arial" w:hAnsi="Arial" w:cs="Arial"/>
      <w:outline w:val="0"/>
      <w:color w:val="000000"/>
      <w:spacing w:val="0"/>
      <w:sz w:val="18"/>
      <w:szCs w:val="18"/>
      <w:u w:val="non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jenior/bigsmal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jlleslie/Intraspecific_Competition/blob/master/methods/Verocell_ToxinActivity_Assay.Rmd" TargetMode="External"/><Relationship Id="rId11" Type="http://schemas.openxmlformats.org/officeDocument/2006/relationships/hyperlink" Target="https://github.com/jlleslie/Intraspecific_Competition/blob/master/methods/Verocell_ToxinActivity_Assay.Rmd" TargetMode="External"/><Relationship Id="rId12" Type="http://schemas.openxmlformats.org/officeDocument/2006/relationships/hyperlink" Target="https://github.com/SchlossLab/Jenior_Transcriptomics_2015/blob/master/doc/wetlab_protocol.txt" TargetMode="External"/><Relationship Id="rId13" Type="http://schemas.openxmlformats.org/officeDocument/2006/relationships/hyperlink" Target="http://broadinstitute.github.io/picard/" TargetMode="External"/><Relationship Id="rId14" Type="http://schemas.openxmlformats.org/officeDocument/2006/relationships/hyperlink" Target="https://github.com/mjenior/bigsmall" TargetMode="External"/><Relationship Id="rId15" Type="http://schemas.openxmlformats.org/officeDocument/2006/relationships/hyperlink" Target="http://doi.org/10.1128/JB.00098-15" TargetMode="External"/><Relationship Id="rId16" Type="http://schemas.openxmlformats.org/officeDocument/2006/relationships/hyperlink" Target="http://doi.org/10.1111/j.1432-1033.1997.t01-1-00735.x" TargetMode="External"/><Relationship Id="rId17" Type="http://schemas.openxmlformats.org/officeDocument/2006/relationships/hyperlink" Target="http://doi.org/10.1128/IAI.00515-13" TargetMode="External"/><Relationship Id="rId18" Type="http://schemas.openxmlformats.org/officeDocument/2006/relationships/hyperlink" Target="http://doi.org/10.1056/NEJMoa1408913" TargetMode="External"/><Relationship Id="rId19" Type="http://schemas.openxmlformats.org/officeDocument/2006/relationships/hyperlink" Target="http://doi.org/10.1007/s10096-015-2479-6"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31</Pages>
  <Words>12161</Words>
  <Characters>69318</Characters>
  <Application>Microsoft Macintosh Word</Application>
  <DocSecurity>0</DocSecurity>
  <Lines>577</Lines>
  <Paragraphs>162</Paragraphs>
  <ScaleCrop>false</ScaleCrop>
  <Company>The University of Michigan</Company>
  <LinksUpToDate>false</LinksUpToDate>
  <CharactersWithSpaces>81317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10</cp:revision>
  <dcterms:created xsi:type="dcterms:W3CDTF">2016-09-13T13:59:00Z</dcterms:created>
  <dcterms:modified xsi:type="dcterms:W3CDTF">2016-09-13T15:56:00Z</dcterms:modified>
</cp:coreProperties>
</file>