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480" w:lineRule="auto"/>
        <w:jc w:val="both"/>
      </w:pPr>
      <w:r>
        <w:rPr>
          <w:rStyle w:val="None A"/>
          <w:rFonts w:ascii="Arial" w:hAnsi="Arial"/>
          <w:b w:val="1"/>
          <w:bCs w:val="1"/>
          <w:sz w:val="22"/>
          <w:szCs w:val="22"/>
          <w:rtl w:val="0"/>
          <w:lang w:val="en-US"/>
        </w:rPr>
        <w:t>Target Journal:</w:t>
      </w:r>
      <w:r>
        <w:rPr>
          <w:rStyle w:val="None A"/>
          <w:rFonts w:ascii="Arial" w:hAnsi="Arial"/>
          <w:sz w:val="22"/>
          <w:szCs w:val="22"/>
          <w:rtl w:val="0"/>
          <w:lang w:val="en-US"/>
        </w:rPr>
        <w:t xml:space="preserve"> Nature Microbiology</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Title</w:t>
      </w:r>
    </w:p>
    <w:p>
      <w:pPr>
        <w:pStyle w:val="Default"/>
        <w:spacing w:line="480" w:lineRule="auto"/>
        <w:jc w:val="both"/>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distinct murine gut environments</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Authors</w:t>
      </w:r>
    </w:p>
    <w:p>
      <w:pPr>
        <w:pStyle w:val="Default"/>
        <w:spacing w:line="480" w:lineRule="auto"/>
        <w:jc w:val="both"/>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pacing w:line="480" w:lineRule="auto"/>
        <w:jc w:val="both"/>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Affiliations</w:t>
      </w:r>
    </w:p>
    <w:p>
      <w:pPr>
        <w:pStyle w:val="Default"/>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Abstract</w:t>
      </w:r>
    </w:p>
    <w:p>
      <w:pPr>
        <w:pStyle w:val="Default"/>
        <w:spacing w:line="480" w:lineRule="auto"/>
        <w:jc w:val="both"/>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ceca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Introduction</w:t>
      </w:r>
    </w:p>
    <w:p>
      <w:pPr>
        <w:pStyle w:val="Default"/>
        <w:spacing w:line="480" w:lineRule="auto"/>
        <w:jc w:val="both"/>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pacing w:line="480" w:lineRule="auto"/>
        <w:ind w:firstLine="709"/>
        <w:jc w:val="both"/>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pacing w:line="480" w:lineRule="auto"/>
        <w:ind w:firstLine="709"/>
        <w:jc w:val="both"/>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adapted its nutrient utilization profile to colonize to high levels and express its virulence factors.</w:t>
      </w:r>
    </w:p>
    <w:p>
      <w:pPr>
        <w:pStyle w:val="Default"/>
        <w:spacing w:line="480" w:lineRule="auto"/>
        <w:ind w:firstLine="709"/>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pacing w:line="480" w:lineRule="auto"/>
        <w:jc w:val="both"/>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antibiotic-treated specific pathogen free and germ free mice.</w:t>
      </w:r>
    </w:p>
    <w:p>
      <w:pPr>
        <w:pStyle w:val="Default"/>
        <w:spacing w:line="480" w:lineRule="auto"/>
        <w:jc w:val="both"/>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&gt; 0.05; Fig. 2a). All antibiotic treated specific pathogen free (SPF) and germ free (GF)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 per gram of content, while untreated SPF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pacing w:line="480" w:lineRule="auto"/>
        <w:jc w:val="both"/>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 A"/>
          <w:rFonts w:ascii="Arial" w:hAnsi="Arial"/>
          <w:i w:val="1"/>
          <w:iCs w:val="1"/>
          <w:sz w:val="22"/>
          <w:szCs w:val="22"/>
          <w:rtl w:val="0"/>
          <w:lang w:val="en-US"/>
        </w:rPr>
        <w:t>spoIIAB</w:t>
      </w:r>
      <w:r>
        <w:rPr>
          <w:rStyle w:val="None A"/>
          <w:rFonts w:ascii="Arial" w:hAnsi="Arial"/>
          <w:sz w:val="22"/>
          <w:szCs w:val="22"/>
          <w:rtl w:val="0"/>
          <w:lang w:val="en-US"/>
        </w:rPr>
        <w:t>/</w:t>
      </w:r>
      <w:r>
        <w:rPr>
          <w:rStyle w:val="None A"/>
          <w:rFonts w:ascii="Arial" w:hAnsi="Arial"/>
          <w:i w:val="1"/>
          <w:iCs w:val="1"/>
          <w:sz w:val="22"/>
          <w:szCs w:val="22"/>
          <w:rtl w:val="0"/>
          <w:lang w:val="en-US"/>
        </w:rPr>
        <w:t>spoIIE</w:t>
      </w:r>
      <w:r>
        <w:rPr>
          <w:rStyle w:val="None A"/>
          <w:rFonts w:ascii="Arial" w:hAnsi="Arial"/>
          <w:sz w:val="22"/>
          <w:szCs w:val="22"/>
          <w:rtl w:val="0"/>
          <w:lang w:val="en-US"/>
        </w:rPr>
        <w:t xml:space="preserve">), but they also had relatively high levels of expression of </w:t>
      </w:r>
      <w:r>
        <w:rPr>
          <w:rStyle w:val="None A"/>
          <w:rFonts w:ascii="Arial" w:hAnsi="Arial"/>
          <w:i w:val="1"/>
          <w:iCs w:val="1"/>
          <w:sz w:val="22"/>
          <w:szCs w:val="22"/>
          <w:rtl w:val="0"/>
          <w:lang w:val="en-US"/>
        </w:rPr>
        <w:t xml:space="preserve">sspA </w:t>
      </w:r>
      <w:r>
        <w:rPr>
          <w:rStyle w:val="None A"/>
          <w:rFonts w:ascii="Arial" w:hAnsi="Arial"/>
          <w:sz w:val="22"/>
          <w:szCs w:val="22"/>
          <w:rtl w:val="0"/>
          <w:lang w:val="en-US"/>
        </w:rPr>
        <w:t xml:space="preserve">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which are genes that code for effectors that protect DNA from damage during dormancy. Next, mice treated with clindamycin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expressed genes associated with late stages of sporulation, including those for spore coat components (</w:t>
      </w:r>
      <w:r>
        <w:rPr>
          <w:rStyle w:val="None A"/>
          <w:rFonts w:ascii="Arial" w:hAnsi="Arial"/>
          <w:i w:val="1"/>
          <w:iCs w:val="1"/>
          <w:sz w:val="22"/>
          <w:szCs w:val="22"/>
          <w:rtl w:val="0"/>
          <w:lang w:val="en-US"/>
        </w:rPr>
        <w:t>cdeC</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cotJB2</w:t>
      </w:r>
      <w:r>
        <w:rPr>
          <w:rStyle w:val="None A"/>
          <w:rFonts w:ascii="Arial" w:hAnsi="Arial"/>
          <w:sz w:val="22"/>
          <w:szCs w:val="22"/>
          <w:rtl w:val="0"/>
          <w:lang w:val="en-US"/>
        </w:rPr>
        <w:t>), spore formation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spoVB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spoVFB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sspA</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Finally, GF mice harbored the highest density of spores and those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primarily expressed the dormancy genes linked with the latest stages sporulation. Together these data demonstrate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expresses stages of sporulation between the gut environments it colonizes.</w:t>
      </w:r>
    </w:p>
    <w:p>
      <w:pPr>
        <w:pStyle w:val="Default"/>
        <w:spacing w:line="480" w:lineRule="auto"/>
        <w:jc w:val="both"/>
        <w:rPr>
          <w:rFonts w:ascii="Arial" w:cs="Arial" w:hAnsi="Arial" w:eastAsia="Arial"/>
          <w:sz w:val="22"/>
          <w:szCs w:val="22"/>
        </w:rPr>
      </w:pPr>
    </w:p>
    <w:p>
      <w:pPr>
        <w:pStyle w:val="Default"/>
        <w:spacing w:line="480" w:lineRule="auto"/>
        <w:jc w:val="both"/>
      </w:pPr>
      <w:r>
        <w:tab/>
      </w:r>
      <w:r>
        <w:rPr>
          <w:rStyle w:val="None A"/>
          <w:rFonts w:ascii="Arial" w:hAnsi="Arial"/>
          <w:sz w:val="22"/>
          <w:szCs w:val="22"/>
          <w:rtl w:val="0"/>
          <w:lang w:val="en-US"/>
        </w:rPr>
        <w:t xml:space="preserve">Expression of genes for quorum sensing and pathogenicity have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Both the </w:t>
      </w:r>
      <w:r>
        <w:rPr>
          <w:rStyle w:val="None A"/>
          <w:rFonts w:ascii="Arial" w:hAnsi="Arial"/>
          <w:i w:val="1"/>
          <w:iCs w:val="1"/>
          <w:sz w:val="22"/>
          <w:szCs w:val="22"/>
          <w:rtl w:val="0"/>
          <w:lang w:val="en-US"/>
        </w:rPr>
        <w:t>agr</w:t>
      </w:r>
      <w:r>
        <w:rPr>
          <w:rStyle w:val="None A"/>
          <w:rFonts w:ascii="Arial" w:hAnsi="Arial"/>
          <w:sz w:val="22"/>
          <w:szCs w:val="22"/>
          <w:rtl w:val="0"/>
          <w:lang w:val="en-US"/>
        </w:rPr>
        <w:t xml:space="preserve"> locus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gene are thought to be associated with inducing the expression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 A"/>
          <w:rFonts w:ascii="Arial" w:hAnsi="Arial"/>
          <w:i w:val="1"/>
          <w:iCs w:val="1"/>
          <w:sz w:val="22"/>
          <w:szCs w:val="22"/>
          <w:rtl w:val="0"/>
          <w:lang w:val="en-US"/>
        </w:rPr>
        <w:t xml:space="preserve">tcdA </w:t>
      </w:r>
      <w:r>
        <w:rPr>
          <w:rStyle w:val="None A"/>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pacing w:line="480" w:lineRule="auto"/>
        <w:jc w:val="both"/>
        <w:rPr>
          <w:rFonts w:ascii="Arial" w:cs="Arial" w:hAnsi="Arial" w:eastAsia="Arial"/>
          <w:sz w:val="22"/>
          <w:szCs w:val="22"/>
        </w:rPr>
      </w:pPr>
    </w:p>
    <w:p>
      <w:pPr>
        <w:pStyle w:val="Default"/>
        <w:spacing w:line="480" w:lineRule="auto"/>
        <w:jc w:val="both"/>
      </w:pPr>
      <w:r>
        <w:tab/>
      </w:r>
      <w:r>
        <w:rPr>
          <w:rStyle w:val="None A"/>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responsive to intracellular concentrations of GTP and certain amino acids, which are </w:t>
      </w:r>
      <w:r>
        <w:rPr>
          <w:rStyle w:val="None A"/>
          <w:rFonts w:ascii="Arial" w:hAnsi="Arial"/>
          <w:i w:val="1"/>
          <w:iCs w:val="1"/>
          <w:sz w:val="22"/>
          <w:szCs w:val="22"/>
          <w:rtl w:val="0"/>
          <w:lang w:val="en-US"/>
        </w:rPr>
        <w:t>C. difficile</w:t>
      </w:r>
      <w:r>
        <w:rPr>
          <w:rtl w:val="0"/>
          <w:lang w:val="en-US"/>
        </w:rPr>
        <w:t xml:space="preserve"> </w:t>
      </w:r>
      <w:r>
        <w:rPr>
          <w:rStyle w:val="None A"/>
          <w:rFonts w:ascii="Arial" w:hAnsi="Arial"/>
          <w:sz w:val="22"/>
          <w:szCs w:val="22"/>
          <w:rtl w:val="0"/>
          <w:lang w:val="en-US"/>
        </w:rPr>
        <w:t xml:space="preserve">energy sources (Fig 3d). Highest transcription for this gene was found in cefoperazone-treated and GF mice. Expression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is dependent on relief of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but the GF condition did not follow the same pattern. CcpA acts directly on </w:t>
      </w:r>
      <w:r>
        <w:rPr>
          <w:rStyle w:val="None A"/>
          <w:rFonts w:ascii="Arial" w:hAnsi="Arial"/>
          <w:i w:val="1"/>
          <w:iCs w:val="1"/>
          <w:sz w:val="22"/>
          <w:szCs w:val="22"/>
          <w:rtl w:val="0"/>
          <w:lang w:val="en-US"/>
        </w:rPr>
        <w:t xml:space="preserve">spoA0 </w:t>
      </w:r>
      <w:r>
        <w:rPr>
          <w:rStyle w:val="None A"/>
          <w:rFonts w:ascii="Arial" w:hAnsi="Arial"/>
          <w:sz w:val="22"/>
          <w:szCs w:val="22"/>
          <w:rtl w:val="0"/>
          <w:lang w:val="en-US"/>
        </w:rPr>
        <w:t xml:space="preserve">(Fig. 3d), which positively regulates initiation of the sporulation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Transcripts for </w:t>
      </w:r>
      <w:r>
        <w:rPr>
          <w:rStyle w:val="None A"/>
          <w:rFonts w:ascii="Arial" w:hAnsi="Arial"/>
          <w:i w:val="1"/>
          <w:iCs w:val="1"/>
          <w:sz w:val="22"/>
          <w:szCs w:val="22"/>
          <w:rtl w:val="0"/>
          <w:lang w:val="en-US"/>
        </w:rPr>
        <w:t>spoA0</w:t>
      </w:r>
      <w:r>
        <w:rPr>
          <w:rStyle w:val="None A"/>
          <w:rFonts w:ascii="Arial" w:hAnsi="Arial"/>
          <w:sz w:val="22"/>
          <w:szCs w:val="22"/>
          <w:rtl w:val="0"/>
          <w:lang w:val="en-US"/>
        </w:rPr>
        <w:t xml:space="preserve"> were highly abundant in all conditions tested except for clindamycin-treated mice, where it was still moderately detectable. The </w:t>
      </w:r>
      <w:r>
        <w:rPr>
          <w:rStyle w:val="None A"/>
          <w:rFonts w:ascii="Arial" w:hAnsi="Arial"/>
          <w:i w:val="1"/>
          <w:iCs w:val="1"/>
          <w:sz w:val="22"/>
          <w:szCs w:val="22"/>
          <w:rtl w:val="0"/>
          <w:lang w:val="en-US"/>
        </w:rPr>
        <w:t>sig</w:t>
      </w:r>
      <w:r>
        <w:rPr>
          <w:rStyle w:val="None A"/>
          <w:rFonts w:ascii="Arial" w:hAnsi="Arial"/>
          <w:sz w:val="22"/>
          <w:szCs w:val="22"/>
          <w:rtl w:val="0"/>
          <w:lang w:val="en-US"/>
        </w:rPr>
        <w:t>-family of sigma factors is under the control of SpoA0 and regulate different stages of sporulation. The genes from this family with the highest total transcription (</w:t>
      </w:r>
      <w:r>
        <w:rPr>
          <w:rStyle w:val="None A"/>
          <w:rFonts w:ascii="Arial" w:hAnsi="Arial"/>
          <w:i w:val="1"/>
          <w:iCs w:val="1"/>
          <w:sz w:val="22"/>
          <w:szCs w:val="22"/>
          <w:rtl w:val="0"/>
          <w:lang w:val="en-US"/>
        </w:rPr>
        <w:t>sigA1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sigF</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 A"/>
          <w:rFonts w:ascii="Arial" w:hAnsi="Arial"/>
          <w:i w:val="1"/>
          <w:iCs w:val="1"/>
          <w:sz w:val="22"/>
          <w:szCs w:val="22"/>
          <w:rtl w:val="0"/>
          <w:lang w:val="en-US"/>
        </w:rPr>
        <w:t>tcdC</w:t>
      </w:r>
      <w:r>
        <w:rPr>
          <w:rStyle w:val="None A"/>
          <w:rFonts w:ascii="Arial" w:hAnsi="Arial"/>
          <w:sz w:val="22"/>
          <w:szCs w:val="22"/>
          <w:rtl w:val="0"/>
          <w:lang w:val="en-US"/>
        </w:rPr>
        <w:t>/</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(Fig. 3d). We found expression of the toxin negative regulator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in all of the antibiotic-treated groups, but no detectable transcripts for the positive toxin A/B regulator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as needed.  These targets include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(general fermentation regulator) and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(Stickland fermentation regulator)</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(Fig. 3d). Although the expression of both has been shown to be linked to environmental proline concentrations,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integrates additional signals from the intracellular NADH/NAD+ ratio to also control carbohydrate fermentation. Low-level transcription of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was found across all conditions, however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the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 highly in both cefoperazone-treated and GF mice. Combined, the variable expression of these sigma factors support the hypothesis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adapts expression metabolism to fit its needs between colonized environments.</w:t>
      </w:r>
    </w:p>
    <w:p>
      <w:pPr>
        <w:pStyle w:val="Default"/>
        <w:spacing w:line="480" w:lineRule="auto"/>
        <w:jc w:val="both"/>
      </w:pPr>
    </w:p>
    <w:p>
      <w:pPr>
        <w:pStyle w:val="Default"/>
        <w:spacing w:line="480" w:lineRule="auto"/>
        <w:jc w:val="both"/>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pacing w:line="480" w:lineRule="auto"/>
        <w:jc w:val="both"/>
      </w:pPr>
      <w:r>
        <w:rPr>
          <w:rStyle w:val="None A"/>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Style w:val="None A"/>
          <w:rFonts w:ascii="Arial" w:hAnsi="Arial"/>
          <w:sz w:val="22"/>
          <w:szCs w:val="22"/>
          <w:rtl w:val="0"/>
          <w:lang w:val="en-US"/>
        </w:rPr>
        <w:t>(Fig. 4a), but lacking functional labels isn</w:t>
      </w:r>
      <w:r>
        <w:rPr>
          <w:rStyle w:val="None A"/>
          <w:rFonts w:ascii="Arial" w:hAnsi="Arial" w:hint="default"/>
          <w:sz w:val="22"/>
          <w:szCs w:val="22"/>
          <w:rtl w:val="0"/>
          <w:lang w:val="en-US"/>
        </w:rPr>
        <w:t>’</w:t>
      </w:r>
      <w:r>
        <w:rPr>
          <w:rStyle w:val="None A"/>
          <w:rFonts w:ascii="Arial" w:hAnsi="Arial"/>
          <w:sz w:val="22"/>
          <w:szCs w:val="22"/>
          <w:rtl w:val="0"/>
          <w:lang w:val="en-US"/>
        </w:rPr>
        <w:t xml:space="preserve">t informative for uncovering differences in metabolic strategy. We then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amino acids for energy as a central part of its metabolism</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during infection under any condition.</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separate pathways with shared terminal steps.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0"/>
      <w:r>
        <w:rPr>
          <w:rStyle w:val="None A"/>
          <w:rFonts w:ascii="Arial" w:hAnsi="Arial"/>
          <w:i w:val="1"/>
          <w:iCs w:val="1"/>
          <w:sz w:val="22"/>
          <w:szCs w:val="22"/>
          <w:rtl w:val="0"/>
          <w:lang w:val="en-US"/>
        </w:rPr>
        <w:t>adhE</w:t>
      </w:r>
      <w:bookmarkEnd w:id="0"/>
      <w:r>
        <w:rPr>
          <w:rStyle w:val="None A"/>
          <w:rFonts w:ascii="Arial" w:hAnsi="Arial"/>
          <w:sz w:val="22"/>
          <w:szCs w:val="22"/>
          <w:rtl w:val="0"/>
          <w:lang w:val="en-US"/>
        </w:rPr>
        <w:t>) were more abundant in  clindamycin-treated mice. Additionally, alpha/beta-galactosidase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which catalyzes the committed step of glycolysis.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pacing w:line="480" w:lineRule="auto"/>
        <w:jc w:val="both"/>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during infection.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Genome-scale Bipartite metabolic models underscore known bacterial metabolism.</w:t>
      </w:r>
    </w:p>
    <w:p>
      <w:pPr>
        <w:pStyle w:val="Default"/>
        <w:spacing w:line="480" w:lineRule="auto"/>
        <w:ind w:firstLine="709"/>
        <w:jc w:val="both"/>
      </w:pPr>
      <w:r>
        <w:rPr>
          <w:rStyle w:val="None A"/>
          <w:rFonts w:ascii="Arial" w:hAnsi="Arial"/>
          <w:sz w:val="22"/>
          <w:szCs w:val="22"/>
          <w:rtl w:val="0"/>
          <w:lang w:val="en-US"/>
        </w:rPr>
        <w:t xml:space="preserve">To further investigate which metabolites are differentially utilized between conditions, 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Style w:val="None A"/>
          <w:rFonts w:ascii="Arial" w:hAnsi="Arial" w:hint="default"/>
          <w:sz w:val="22"/>
          <w:szCs w:val="22"/>
          <w:rtl w:val="0"/>
          <w:lang w:val="en-US"/>
        </w:rPr>
        <w:t>’</w:t>
      </w:r>
      <w:r>
        <w:rPr>
          <w:rStyle w:val="None A"/>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shd w:val="clear" w:color="auto" w:fill="ffffff"/>
          <w:rtl w:val="0"/>
          <w:lang w:val="en-US"/>
        </w:rPr>
        <w:t xml:space="preserve">Metabolite importance algorithm reveals adaptive nutritional strategies of </w:t>
      </w:r>
      <w:r>
        <w:rPr>
          <w:rStyle w:val="None A"/>
          <w:rFonts w:ascii="Arial" w:hAnsi="Arial"/>
          <w:b w:val="1"/>
          <w:bCs w:val="1"/>
          <w:i w:val="1"/>
          <w:iCs w:val="1"/>
          <w:sz w:val="22"/>
          <w:szCs w:val="22"/>
          <w:shd w:val="clear" w:color="auto" w:fill="ffffff"/>
          <w:rtl w:val="0"/>
          <w:lang w:val="en-US"/>
        </w:rPr>
        <w:t xml:space="preserve">C. difficile </w:t>
      </w:r>
      <w:r>
        <w:rPr>
          <w:rStyle w:val="None A"/>
          <w:rFonts w:ascii="Arial" w:hAnsi="Arial"/>
          <w:b w:val="1"/>
          <w:bCs w:val="1"/>
          <w:sz w:val="22"/>
          <w:szCs w:val="22"/>
          <w:shd w:val="clear" w:color="auto" w:fill="ffffff"/>
          <w:rtl w:val="0"/>
          <w:lang w:val="en-US"/>
        </w:rPr>
        <w:t>during infection across distinct environments</w:t>
      </w:r>
    </w:p>
    <w:p>
      <w:pPr>
        <w:pStyle w:val="Default"/>
        <w:spacing w:line="480" w:lineRule="auto"/>
        <w:ind w:firstLine="709"/>
        <w:jc w:val="both"/>
      </w:pPr>
      <w:r>
        <w:rPr>
          <w:rStyle w:val="None A"/>
          <w:rFonts w:ascii="Arial" w:hAnsi="Arial"/>
          <w:sz w:val="22"/>
          <w:szCs w:val="22"/>
          <w:shd w:val="clear" w:color="auto" w:fill="ffffff"/>
          <w:rtl w:val="0"/>
          <w:lang w:val="en-US"/>
        </w:rPr>
        <w:t xml:space="preserve">Moving beyond a strictly topological analysis of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metabolic network, we sought to utilize transcriptomic data to infer which metabolites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5a). A metabolite with a high importance score is most likely obtained from the environment because the expression of genes for enzymes that produce the metabolite are low. </w:t>
      </w:r>
      <w:r>
        <w:rPr>
          <w:rStyle w:val="None A"/>
          <w:rFonts w:ascii="Arial" w:hAnsi="Arial"/>
          <w:rtl w:val="0"/>
          <w:lang w:val="en-US"/>
        </w:rPr>
        <w:t>We t</w:t>
      </w:r>
      <w:r>
        <w:rPr>
          <w:rStyle w:val="None A"/>
          <w:rFonts w:ascii="Arial" w:hAnsi="Arial"/>
          <w:sz w:val="22"/>
          <w:szCs w:val="22"/>
          <w:shd w:val="clear" w:color="auto" w:fill="ffffff"/>
          <w:rtl w:val="0"/>
          <w:lang w:val="en-US"/>
        </w:rPr>
        <w:t xml:space="preserve">hen applied these methods to the C. difficile transcriptomic data collected from the </w:t>
      </w:r>
      <w:r>
        <w:rPr>
          <w:rStyle w:val="None A"/>
          <w:rFonts w:ascii="Arial" w:hAnsi="Arial"/>
          <w:i w:val="1"/>
          <w:iCs w:val="1"/>
          <w:sz w:val="22"/>
          <w:szCs w:val="22"/>
          <w:shd w:val="clear" w:color="auto" w:fill="ffffff"/>
          <w:rtl w:val="0"/>
          <w:lang w:val="en-US"/>
        </w:rPr>
        <w:t>in vivo</w:t>
      </w:r>
      <w:r>
        <w:rPr>
          <w:rStyle w:val="None A"/>
          <w:rFonts w:ascii="Arial" w:hAnsi="Arial"/>
          <w:sz w:val="22"/>
          <w:szCs w:val="22"/>
          <w:shd w:val="clear" w:color="auto" w:fill="ffffff"/>
          <w:rtl w:val="0"/>
          <w:lang w:val="en-US"/>
        </w:rPr>
        <w:t xml:space="preserve"> CDI models to assess differential patterns of metabolite importance. We first ranked the importance scores to identify the most important metabolites for each treatment group (Table S5), however a more informative effort is to </w:t>
      </w:r>
      <w:r>
        <w:rPr>
          <w:rStyle w:val="None A"/>
          <w:rFonts w:ascii="Arial" w:hAnsi="Arial"/>
          <w:sz w:val="22"/>
          <w:szCs w:val="22"/>
          <w:rtl w:val="0"/>
          <w:lang w:val="en-US"/>
        </w:rPr>
        <w:t xml:space="preserve">identify the core metabolites that are essential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6a).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These findings provided validation for our metabolite importance algorithm as well as supporting known elements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w:t>
      </w:r>
    </w:p>
    <w:p>
      <w:pPr>
        <w:pStyle w:val="Default"/>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(Ng, 2013; Theriot, 2014). This included close analogs of D-fructose, mannitol, N-acetylneuraminic acid, salicin, and D-sorbitol. Furthermore, in GF mice where no other competitors are present, our model indicates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nutrient sources between the susceptible environments it colonizes.</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 xml:space="preserve">Important carbon sources </w:t>
      </w:r>
      <w:r>
        <w:rPr>
          <w:rStyle w:val="None A"/>
          <w:rFonts w:ascii="Arial" w:hAnsi="Arial"/>
          <w:b w:val="1"/>
          <w:bCs w:val="1"/>
          <w:i w:val="1"/>
          <w:iCs w:val="1"/>
          <w:sz w:val="22"/>
          <w:szCs w:val="22"/>
          <w:rtl w:val="0"/>
          <w:lang w:val="en-US"/>
        </w:rPr>
        <w:t>in vivo</w:t>
      </w:r>
      <w:r>
        <w:rPr>
          <w:rStyle w:val="None A"/>
          <w:rFonts w:ascii="Arial" w:hAnsi="Arial"/>
          <w:b w:val="1"/>
          <w:bCs w:val="1"/>
          <w:sz w:val="22"/>
          <w:szCs w:val="22"/>
          <w:rtl w:val="0"/>
          <w:lang w:val="en-US"/>
        </w:rPr>
        <w:t xml:space="preserve"> according to network-based approach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differential 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w:t>
      </w:r>
    </w:p>
    <w:p>
      <w:pPr>
        <w:pStyle w:val="Default"/>
        <w:spacing w:line="480" w:lineRule="auto"/>
        <w:ind w:firstLine="709"/>
        <w:jc w:val="both"/>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(Fig. 6c).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0.212). </w:t>
      </w:r>
    </w:p>
    <w:p>
      <w:pPr>
        <w:pStyle w:val="Default"/>
        <w:spacing w:line="480" w:lineRule="auto"/>
        <w:ind w:firstLine="709"/>
        <w:jc w:val="both"/>
      </w:pPr>
      <w:r>
        <w:rPr>
          <w:rStyle w:val="None A"/>
          <w:rFonts w:ascii="Arial" w:hAnsi="Arial"/>
          <w:sz w:val="22"/>
          <w:szCs w:val="22"/>
          <w:rtl w:val="0"/>
          <w:lang w:val="en-US"/>
        </w:rPr>
        <w:t>As previously stated, N-acetyl-D-glucosamine was shown to be important to C. difficile in each condition tested. When tested for improved growth, significantly more growth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0.559) was observed compared to no carbohydrate controls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This provided evidence that</w:t>
      </w:r>
      <w:r>
        <w:rPr>
          <w:rtl w:val="0"/>
          <w:lang w:val="en-US"/>
        </w:rPr>
        <w:t xml:space="preserve"> </w:t>
      </w:r>
      <w:r>
        <w:rPr>
          <w:rStyle w:val="None A"/>
          <w:rFonts w:ascii="Arial" w:hAnsi="Arial"/>
          <w:sz w:val="22"/>
          <w:szCs w:val="22"/>
          <w:rtl w:val="0"/>
          <w:lang w:val="en-US"/>
        </w:rPr>
        <w:t xml:space="preserve">N-acetyl-D-glucosamine derived from the host mucus layer may be a central component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niche during infection. Furthermore, at least one carbohydrate highlighted as distinctly more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control wells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This included D-fructose (streptomycin;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0.869), N-acetylneuraminate (GF;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0.439). D-sorbitol induced no difference over controls (Fig. S6). Interestingly, this carbohydrate has been shown to moderately promote the growth of other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strains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and may indicate strain to strain variation in nutrient preferences (Theriot, 2014). Together,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nutritional strategy to carbohydrate availability during infection and may suggest that a hierarchy of nutrient preference exists.</w:t>
      </w:r>
    </w:p>
    <w:p>
      <w:pPr>
        <w:pStyle w:val="Default"/>
        <w:spacing w:line="480" w:lineRule="auto"/>
        <w:jc w:val="both"/>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Discussion</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Collectively, our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adapt its metabolism to the available niche landscape across susceptible gut environments. We showed that mice treated with different antibiotics harbor distinct microbial communities and that when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colonizes these communities it alters its gene expression. Mapping this gene expression onto a metabolic network model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allowed us to quantify the importance of different metabolites acquired from its environment. That the most important metabolites differed between antibiotic treatment groups indicated a shift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Furthermore, we validated these results by growing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media where important metabolites were the sole carbohydrate and observed robust growth. These results give insight to the adaptive strategies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to colonize diverse human microbiota.</w:t>
      </w:r>
    </w:p>
    <w:p>
      <w:pPr>
        <w:pStyle w:val="Default"/>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The metabolic modeling approach that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Our approach demonstrates several key improvements over </w:t>
      </w:r>
    </w:p>
    <w:p>
      <w:pPr>
        <w:pStyle w:val="Default"/>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Strengths/Weakness of modeling approach</w:t>
      </w:r>
    </w:p>
    <w:p>
      <w:pPr>
        <w:pStyle w:val="Default"/>
        <w:numPr>
          <w:ilvl w:val="0"/>
          <w:numId w:val="2"/>
        </w:numPr>
        <w:bidi w:val="0"/>
        <w:spacing w:line="480" w:lineRule="auto"/>
        <w:ind w:right="0"/>
        <w:jc w:val="both"/>
        <w:rPr>
          <w:rStyle w:val="None A"/>
          <w:rFonts w:ascii="Arial" w:cs="Arial" w:hAnsi="Arial" w:eastAsia="Arial"/>
          <w:sz w:val="22"/>
          <w:szCs w:val="22"/>
          <w:rtl w:val="0"/>
          <w:lang w:val="en-US"/>
        </w:rPr>
      </w:pPr>
      <w:r>
        <w:rPr>
          <w:rStyle w:val="None A"/>
          <w:rFonts w:ascii="Arial" w:hAnsi="Arial"/>
          <w:sz w:val="22"/>
          <w:szCs w:val="22"/>
          <w:rtl w:val="0"/>
          <w:lang w:val="en-US"/>
        </w:rPr>
        <w:t>Transcriptomics is better than metagenomics, duh.</w:t>
      </w:r>
    </w:p>
    <w:p>
      <w:pPr>
        <w:pStyle w:val="Default"/>
        <w:numPr>
          <w:ilvl w:val="0"/>
          <w:numId w:val="2"/>
        </w:numPr>
        <w:bidi w:val="0"/>
        <w:spacing w:line="480" w:lineRule="auto"/>
        <w:ind w:right="0"/>
        <w:jc w:val="both"/>
        <w:rPr>
          <w:rStyle w:val="None A"/>
          <w:rFonts w:ascii="Arial" w:cs="Arial" w:hAnsi="Arial" w:eastAsia="Arial"/>
          <w:sz w:val="22"/>
          <w:szCs w:val="22"/>
          <w:rtl w:val="0"/>
          <w:lang w:val="en-US"/>
        </w:rPr>
      </w:pPr>
      <w:r>
        <w:rPr>
          <w:rStyle w:val="None A"/>
          <w:rFonts w:ascii="Arial" w:hAnsi="Arial"/>
          <w:sz w:val="22"/>
          <w:szCs w:val="22"/>
          <w:rtl w:val="0"/>
          <w:lang w:val="en-US"/>
        </w:rPr>
        <w:t>Modeling transcriptomics allowed us to integrate multiple metabolic pathways to track the flow of nutrients through the cell. Metabolics is a shadow and there are many ways to generate any metabolite (many pathways and many bacteria)</w:t>
      </w:r>
    </w:p>
    <w:p>
      <w:pPr>
        <w:pStyle w:val="Default"/>
        <w:numPr>
          <w:ilvl w:val="0"/>
          <w:numId w:val="2"/>
        </w:numPr>
        <w:bidi w:val="0"/>
        <w:spacing w:line="480" w:lineRule="auto"/>
        <w:ind w:right="0"/>
        <w:jc w:val="both"/>
        <w:rPr>
          <w:rStyle w:val="None A"/>
          <w:rFonts w:ascii="Arial" w:cs="Arial" w:hAnsi="Arial" w:eastAsia="Arial"/>
          <w:sz w:val="22"/>
          <w:szCs w:val="22"/>
          <w:rtl w:val="0"/>
          <w:lang w:val="en-US"/>
        </w:rPr>
      </w:pPr>
      <w:r>
        <w:rPr>
          <w:rStyle w:val="None A"/>
          <w:rFonts w:ascii="Arial" w:hAnsi="Arial"/>
          <w:sz w:val="22"/>
          <w:szCs w:val="22"/>
          <w:rtl w:val="0"/>
          <w:lang w:val="en-US"/>
        </w:rPr>
        <w:t>Weaknesses: annotation, lack of translation / kinetic data</w:t>
      </w:r>
    </w:p>
    <w:p>
      <w:pPr>
        <w:pStyle w:val="Default"/>
        <w:spacing w:line="480" w:lineRule="auto"/>
        <w:ind w:firstLine="709"/>
        <w:jc w:val="both"/>
        <w:rPr>
          <w:rStyle w:val="None A"/>
        </w:rPr>
      </w:pPr>
    </w:p>
    <w:p>
      <w:pPr>
        <w:pStyle w:val="Default"/>
        <w:spacing w:line="480" w:lineRule="auto"/>
        <w:ind w:firstLine="709"/>
        <w:jc w:val="both"/>
        <w:rPr>
          <w:rStyle w:val="None A"/>
        </w:rPr>
      </w:pPr>
    </w:p>
    <w:p>
      <w:pPr>
        <w:pStyle w:val="Default"/>
        <w:spacing w:line="480" w:lineRule="auto"/>
        <w:ind w:firstLine="709"/>
        <w:jc w:val="both"/>
      </w:pPr>
      <w:r>
        <w:rPr>
          <w:rStyle w:val="None A"/>
          <w:rFonts w:ascii="Arial" w:hAnsi="Arial"/>
          <w:sz w:val="22"/>
          <w:szCs w:val="22"/>
          <w:rtl w:val="0"/>
          <w:lang w:val="en-US"/>
        </w:rPr>
        <w:t xml:space="preserve">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This general trend is also true in streptomycin and clindamycin pretreatments, as well as in GF mice with different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growth substrates enriched in each. Together, these results provide evidence that our network-based approach accurately predicts which metabolites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in a given environments and that these changes are most likely due to nutrient availability.</w:t>
      </w:r>
      <w:r>
        <w:rPr>
          <w:rStyle w:val="None A"/>
          <w:rFonts w:ascii="Arial" w:hAnsi="Arial"/>
          <w:sz w:val="22"/>
          <w:szCs w:val="22"/>
          <w:rtl w:val="0"/>
          <w:lang w:val="en-US"/>
        </w:rPr>
        <w:t xml:space="preserve"> </w:t>
      </w:r>
      <w:r>
        <w:rPr>
          <w:rStyle w:val="None A"/>
          <w:rFonts w:ascii="Arial" w:hAnsi="Arial"/>
          <w:sz w:val="22"/>
          <w:szCs w:val="22"/>
          <w:rtl w:val="0"/>
          <w:lang w:val="en-US"/>
        </w:rPr>
        <w:t xml:space="preserve">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w:t>
      </w:r>
      <w:r>
        <w:rPr>
          <w:rStyle w:val="None A"/>
          <w:rFonts w:ascii="Arial" w:hAnsi="Arial"/>
          <w:sz w:val="22"/>
          <w:szCs w:val="22"/>
          <w:rtl w:val="0"/>
          <w:lang w:val="en-US"/>
        </w:rPr>
        <w:t>.</w:t>
      </w:r>
      <w:r>
        <w:rPr>
          <w:rtl w:val="0"/>
          <w:lang w:val="en-US"/>
        </w:rPr>
        <w:t xml:space="preserve"> </w:t>
      </w:r>
      <w:r>
        <w:rPr>
          <w:rStyle w:val="None A"/>
          <w:rFonts w:ascii="Arial" w:hAnsi="Arial"/>
          <w:sz w:val="22"/>
          <w:szCs w:val="22"/>
          <w:rtl w:val="0"/>
          <w:lang w:val="en-US"/>
        </w:rPr>
        <w:t>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s plant-based diet, possibly following release during degradation of cell wall molecules by other gut bacterial species (Pierpoint, 1994).</w:t>
      </w:r>
      <w:r>
        <w:rPr>
          <w:rStyle w:val="None A"/>
          <w:rFonts w:ascii="Arial" w:hAnsi="Arial"/>
          <w:sz w:val="22"/>
          <w:szCs w:val="22"/>
          <w:rtl w:val="0"/>
          <w:lang w:val="en-US"/>
        </w:rPr>
        <w:t xml:space="preserve"> </w:t>
      </w:r>
      <w:r>
        <w:rPr>
          <w:rStyle w:val="None A"/>
          <w:rFonts w:ascii="Arial" w:hAnsi="Arial"/>
          <w:sz w:val="22"/>
          <w:szCs w:val="22"/>
          <w:rtl w:val="0"/>
          <w:lang w:val="en-US"/>
        </w:rPr>
        <w:t>Network analysis also supports that</w:t>
      </w:r>
      <w:r>
        <w:rPr>
          <w:rtl w:val="0"/>
          <w:lang w:val="en-US"/>
        </w:rPr>
        <w:t xml:space="preserve"> </w:t>
      </w:r>
      <w:r>
        <w:rPr>
          <w:rStyle w:val="None A"/>
          <w:rFonts w:ascii="Arial" w:hAnsi="Arial"/>
          <w:sz w:val="22"/>
          <w:szCs w:val="22"/>
          <w:rtl w:val="0"/>
          <w:lang w:val="en-US"/>
        </w:rPr>
        <w:t xml:space="preserve">in GF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N-acetylneuraminate as an important carbon source. The capacity to catabolize this amino sugar, and others like it, is highly distributed among bacterial species that inhabit the mammalian gut (Vimr, 2004). This means that N-acetylneuraminate is </w:t>
      </w:r>
      <w:r>
        <w:rPr>
          <w:rStyle w:val="None A"/>
          <w:rFonts w:ascii="Arial" w:hAnsi="Arial"/>
          <w:sz w:val="22"/>
          <w:szCs w:val="22"/>
          <w:rtl w:val="0"/>
          <w:lang w:val="en-US"/>
        </w:rPr>
        <w:t xml:space="preserve">most likely </w:t>
      </w:r>
      <w:r>
        <w:rPr>
          <w:rStyle w:val="None A"/>
          <w:rFonts w:ascii="Arial" w:hAnsi="Arial"/>
          <w:sz w:val="22"/>
          <w:szCs w:val="22"/>
          <w:rtl w:val="0"/>
          <w:lang w:val="en-US"/>
        </w:rPr>
        <w:t xml:space="preserve">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N-acetylneuraminate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pacing w:line="480" w:lineRule="auto"/>
        <w:ind w:firstLine="709"/>
        <w:jc w:val="both"/>
        <w:rPr>
          <w:rStyle w:val="None A"/>
        </w:rPr>
      </w:pPr>
    </w:p>
    <w:p>
      <w:pPr>
        <w:pStyle w:val="Default"/>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Novel insights from metabolic model</w:t>
      </w:r>
      <w:r>
        <w:rPr>
          <w:rStyle w:val="None A"/>
          <w:rFonts w:ascii="Arial" w:hAnsi="Arial"/>
          <w:sz w:val="22"/>
          <w:szCs w:val="22"/>
          <w:rtl w:val="0"/>
          <w:lang w:val="en-US"/>
        </w:rPr>
        <w:t xml:space="preserve"> - really significant metabolites in supplement</w:t>
      </w:r>
    </w:p>
    <w:p>
      <w:pPr>
        <w:pStyle w:val="Default"/>
        <w:numPr>
          <w:ilvl w:val="0"/>
          <w:numId w:val="2"/>
        </w:numPr>
        <w:bidi w:val="0"/>
        <w:spacing w:line="480" w:lineRule="auto"/>
        <w:ind w:right="0"/>
        <w:jc w:val="both"/>
        <w:rPr>
          <w:rStyle w:val="None A"/>
          <w:rFonts w:ascii="Arial" w:cs="Arial" w:hAnsi="Arial" w:eastAsia="Arial"/>
          <w:sz w:val="22"/>
          <w:szCs w:val="22"/>
          <w:rtl w:val="0"/>
          <w:lang w:val="en-US"/>
        </w:rPr>
      </w:pPr>
      <w:r>
        <w:rPr>
          <w:rStyle w:val="None A"/>
          <w:rFonts w:ascii="Arial" w:hAnsi="Arial"/>
          <w:sz w:val="22"/>
          <w:szCs w:val="22"/>
          <w:rtl w:val="0"/>
          <w:lang w:val="en-US"/>
        </w:rPr>
        <w:t>Example 1</w:t>
      </w:r>
    </w:p>
    <w:p>
      <w:pPr>
        <w:pStyle w:val="Default"/>
        <w:numPr>
          <w:ilvl w:val="0"/>
          <w:numId w:val="2"/>
        </w:numPr>
        <w:bidi w:val="0"/>
        <w:spacing w:line="480" w:lineRule="auto"/>
        <w:ind w:right="0"/>
        <w:jc w:val="both"/>
        <w:rPr>
          <w:rStyle w:val="None A"/>
          <w:rFonts w:ascii="Arial" w:cs="Arial" w:hAnsi="Arial" w:eastAsia="Arial"/>
          <w:sz w:val="22"/>
          <w:szCs w:val="22"/>
          <w:rtl w:val="0"/>
          <w:lang w:val="en-US"/>
        </w:rPr>
      </w:pPr>
      <w:r>
        <w:rPr>
          <w:rStyle w:val="None A"/>
          <w:rFonts w:ascii="Arial" w:hAnsi="Arial"/>
          <w:sz w:val="22"/>
          <w:szCs w:val="22"/>
          <w:rtl w:val="0"/>
          <w:lang w:val="en-US"/>
        </w:rPr>
        <w:t>Example 2</w:t>
      </w:r>
    </w:p>
    <w:p>
      <w:pPr>
        <w:pStyle w:val="Default"/>
        <w:numPr>
          <w:ilvl w:val="0"/>
          <w:numId w:val="2"/>
        </w:numPr>
        <w:bidi w:val="0"/>
        <w:spacing w:line="480" w:lineRule="auto"/>
        <w:ind w:right="0"/>
        <w:jc w:val="both"/>
        <w:rPr>
          <w:rStyle w:val="None A"/>
          <w:rFonts w:ascii="Arial" w:cs="Arial" w:hAnsi="Arial" w:eastAsia="Arial"/>
          <w:sz w:val="22"/>
          <w:szCs w:val="22"/>
          <w:rtl w:val="0"/>
          <w:lang w:val="en-US"/>
        </w:rPr>
      </w:pPr>
      <w:r>
        <w:rPr>
          <w:rStyle w:val="None A"/>
          <w:rFonts w:ascii="Arial" w:hAnsi="Arial"/>
          <w:sz w:val="22"/>
          <w:szCs w:val="22"/>
          <w:rtl w:val="0"/>
          <w:lang w:val="en-US"/>
        </w:rPr>
        <w:t>Example 3</w:t>
      </w:r>
    </w:p>
    <w:p>
      <w:pPr>
        <w:pStyle w:val="Default"/>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Grand conclusion</w:t>
      </w:r>
    </w:p>
    <w:p>
      <w:pPr>
        <w:pStyle w:val="Default"/>
        <w:numPr>
          <w:ilvl w:val="0"/>
          <w:numId w:val="2"/>
        </w:numPr>
        <w:bidi w:val="0"/>
        <w:spacing w:line="480" w:lineRule="auto"/>
        <w:ind w:right="0"/>
        <w:jc w:val="both"/>
        <w:rPr>
          <w:rFonts w:ascii="Arial" w:cs="Arial" w:hAnsi="Arial" w:eastAsia="Arial"/>
          <w:sz w:val="22"/>
          <w:szCs w:val="22"/>
          <w:rtl w:val="0"/>
          <w:lang w:val="en-US"/>
        </w:rPr>
      </w:pPr>
      <w:r>
        <w:rPr>
          <w:rStyle w:val="None A"/>
          <w:rFonts w:ascii="Arial" w:hAnsi="Arial"/>
          <w:sz w:val="22"/>
          <w:szCs w:val="22"/>
          <w:rtl w:val="0"/>
          <w:lang w:val="en-US"/>
        </w:rPr>
        <w:t xml:space="preserve">C. diff is able to colonize environment where these </w:t>
      </w:r>
      <w:r>
        <w:rPr>
          <w:rStyle w:val="None A"/>
          <w:rFonts w:ascii="Arial" w:hAnsi="Arial"/>
          <w:sz w:val="22"/>
          <w:szCs w:val="22"/>
          <w:rtl w:val="0"/>
          <w:lang w:val="en-US"/>
        </w:rPr>
        <w:t>carbohydrates</w:t>
      </w:r>
      <w:r>
        <w:rPr>
          <w:rStyle w:val="None A"/>
          <w:rFonts w:ascii="Arial" w:hAnsi="Arial"/>
          <w:sz w:val="22"/>
          <w:szCs w:val="22"/>
          <w:rtl w:val="0"/>
          <w:lang w:val="en-US"/>
        </w:rPr>
        <w:t xml:space="preserve"> are available because the community has shifted, excluding the population that would normally consume the carbohydrate</w:t>
      </w:r>
      <w:r>
        <w:rPr>
          <w:rStyle w:val="None A"/>
          <w:rFonts w:ascii="Arial" w:hAnsi="Arial"/>
          <w:sz w:val="22"/>
          <w:szCs w:val="22"/>
          <w:rtl w:val="0"/>
          <w:lang w:val="en-US"/>
        </w:rPr>
        <w:t xml:space="preserve"> or eliminated competition for other resources for the remaining populations and C diff picks up the scraps</w:t>
      </w:r>
    </w:p>
    <w:p>
      <w:pPr>
        <w:pStyle w:val="Default"/>
        <w:spacing w:line="480" w:lineRule="auto"/>
        <w:ind w:firstLine="709"/>
        <w:jc w:val="both"/>
      </w:pPr>
    </w:p>
    <w:p>
      <w:pPr>
        <w:pStyle w:val="Default"/>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The plasticity of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could be advantageous because it allows to fill an array of </w:t>
      </w:r>
      <w:r>
        <w:rPr>
          <w:rStyle w:val="None A"/>
          <w:rFonts w:ascii="Arial" w:hAnsi="Arial"/>
          <w:sz w:val="22"/>
          <w:szCs w:val="22"/>
          <w:rtl w:val="0"/>
          <w:lang w:val="en-US"/>
        </w:rPr>
        <w:t xml:space="preserve">nutrient </w:t>
      </w:r>
      <w:r>
        <w:rPr>
          <w:rStyle w:val="None A"/>
          <w:rFonts w:ascii="Arial" w:hAnsi="Arial"/>
          <w:sz w:val="22"/>
          <w:szCs w:val="22"/>
          <w:rtl w:val="0"/>
          <w:lang w:val="en-US"/>
        </w:rPr>
        <w:t>niches and outcompete other organisms in the environment</w:t>
      </w:r>
      <w:r>
        <w:rPr>
          <w:rStyle w:val="None A"/>
          <w:rFonts w:ascii="Arial" w:hAnsi="Arial"/>
          <w:sz w:val="22"/>
          <w:szCs w:val="22"/>
          <w:rtl w:val="0"/>
          <w:lang w:val="en-US"/>
        </w:rPr>
        <w:t xml:space="preserve"> that remain following antibiotics</w:t>
      </w:r>
      <w:r>
        <w:rPr>
          <w:rStyle w:val="None A"/>
          <w:rFonts w:ascii="Arial" w:hAnsi="Arial"/>
          <w:sz w:val="22"/>
          <w:szCs w:val="22"/>
          <w:rtl w:val="0"/>
          <w:lang w:val="en-US"/>
        </w:rPr>
        <w:t>.</w:t>
      </w:r>
      <w:r>
        <w:rPr>
          <w:rtl w:val="0"/>
          <w:lang w:val="en-US"/>
        </w:rPr>
        <w:t xml:space="preserve"> </w:t>
      </w:r>
      <w:r>
        <w:rPr>
          <w:rStyle w:val="None A"/>
          <w:rFonts w:ascii="Arial" w:hAnsi="Arial"/>
          <w:sz w:val="22"/>
          <w:szCs w:val="22"/>
          <w:rtl w:val="0"/>
          <w:lang w:val="en-US"/>
        </w:rPr>
        <w:t>a variety of factors including variations in concentration of certain nutrients or competition with other microorganisms for growth resources.</w:t>
      </w:r>
    </w:p>
    <w:p>
      <w:pPr>
        <w:pStyle w:val="Default"/>
        <w:spacing w:line="480" w:lineRule="auto"/>
        <w:ind w:firstLine="709"/>
        <w:jc w:val="both"/>
        <w:rPr>
          <w:rFonts w:ascii="Arial" w:cs="Arial" w:hAnsi="Arial" w:eastAsia="Arial"/>
          <w:sz w:val="22"/>
          <w:szCs w:val="22"/>
        </w:rPr>
      </w:pPr>
    </w:p>
    <w:p>
      <w:pPr>
        <w:pStyle w:val="Default"/>
        <w:spacing w:line="480" w:lineRule="auto"/>
        <w:ind w:firstLine="709"/>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w:t>
      </w:r>
    </w:p>
    <w:p>
      <w:pPr>
        <w:pStyle w:val="Default"/>
        <w:spacing w:line="480" w:lineRule="auto"/>
        <w:jc w:val="both"/>
        <w:rPr>
          <w:rStyle w:val="None A"/>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One potential limitation of the metabolite importance calculation is the inherent dependency on enzyme annotation. For example, </w:t>
      </w:r>
    </w:p>
    <w:p>
      <w:pPr>
        <w:pStyle w:val="Default"/>
        <w:spacing w:line="480" w:lineRule="auto"/>
        <w:jc w:val="both"/>
        <w:rPr>
          <w:rStyle w:val="None A"/>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Additionally, </w:t>
      </w:r>
      <w:r>
        <w:rPr>
          <w:rStyle w:val="None A"/>
          <w:rFonts w:ascii="Arial" w:hAnsi="Arial"/>
          <w:sz w:val="22"/>
          <w:szCs w:val="22"/>
          <w:rtl w:val="0"/>
          <w:lang w:val="en-US"/>
        </w:rPr>
        <w:t>the workflow presented here assumes that KEGG annotated biochemical reactions are monodirectional. Although this is not a complete reflection of an organism</w:t>
      </w:r>
      <w:r>
        <w:rPr>
          <w:rStyle w:val="None A"/>
          <w:rFonts w:ascii="Arial" w:hAnsi="Arial" w:hint="default"/>
          <w:sz w:val="22"/>
          <w:szCs w:val="22"/>
          <w:rtl w:val="0"/>
          <w:lang w:val="en-US"/>
        </w:rPr>
        <w:t>’</w:t>
      </w:r>
      <w:r>
        <w:rPr>
          <w:rStyle w:val="None A"/>
          <w:rFonts w:ascii="Arial" w:hAnsi="Arial"/>
          <w:sz w:val="22"/>
          <w:szCs w:val="22"/>
          <w:rtl w:val="0"/>
          <w:lang w:val="en-US"/>
        </w:rPr>
        <w:t>s physiology, it minimizes the likelihood of mislabeling reactions that are removing metabolites from the environment as instead adding to the unused fraction. Limitation of annotation may also be evident in the appearance of apparent metabolic end products score as highly important input metabolites (ex.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or Ethanol). While this may be a shortcoming inherent in database-driven research, it may instead serve as evidence for yet unappreciated aspects of a bacterium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Along these lines, one group has posited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actually be an autotrophe under certain conditions which could explain the appearance of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in the conserved metabolite list between all conditions (Kopke, 2013). As such, this platform may also prove informative for generating hypotheses that could ultimately lead to uncovering new edges of competition between species.</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Pr>
        <w:tab/>
      </w:r>
      <w:r>
        <w:rPr>
          <w:rStyle w:val="None A"/>
          <w:rFonts w:ascii="Arial" w:hAnsi="Arial"/>
          <w:sz w:val="22"/>
          <w:szCs w:val="22"/>
          <w:rtl w:val="0"/>
          <w:lang w:val="en-US"/>
        </w:rPr>
        <w:t>Based on</w:t>
      </w:r>
      <w:r>
        <w:rPr>
          <w:rStyle w:val="None A"/>
          <w:rFonts w:ascii="Arial" w:hAnsi="Arial"/>
          <w:sz w:val="22"/>
          <w:szCs w:val="22"/>
          <w:rtl w:val="0"/>
          <w:lang w:val="en-US"/>
        </w:rPr>
        <w:t xml:space="preserve">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w:t>
      </w:r>
      <w:r>
        <w:rPr>
          <w:rStyle w:val="None A"/>
          <w:rFonts w:ascii="Arial" w:hAnsi="Arial"/>
          <w:sz w:val="22"/>
          <w:szCs w:val="22"/>
          <w:rtl w:val="0"/>
          <w:lang w:val="en-US"/>
        </w:rPr>
        <w:t>distinct</w:t>
      </w:r>
      <w:r>
        <w:rPr>
          <w:rStyle w:val="None A"/>
          <w:rFonts w:ascii="Arial" w:hAnsi="Arial"/>
          <w:sz w:val="22"/>
          <w:szCs w:val="22"/>
          <w:rtl w:val="0"/>
          <w:lang w:val="en-US"/>
        </w:rPr>
        <w:t xml:space="preserv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w:t>
      </w:r>
      <w:r>
        <w:rPr>
          <w:rStyle w:val="None A"/>
          <w:rFonts w:ascii="Arial" w:hAnsi="Arial"/>
          <w:sz w:val="22"/>
          <w:szCs w:val="22"/>
          <w:rtl w:val="0"/>
          <w:lang w:val="en-US"/>
        </w:rPr>
        <w:t>t</w:t>
      </w:r>
      <w:r>
        <w:rPr>
          <w:rStyle w:val="None A"/>
          <w:rFonts w:ascii="Arial" w:hAnsi="Arial"/>
          <w:sz w:val="22"/>
          <w:szCs w:val="22"/>
          <w:rtl w:val="0"/>
          <w:lang w:val="en-US"/>
        </w:rPr>
        <w:t xml:space="preserve"> gut bacterial communities. 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distinct nutrient availabilities across vulnerable gut environments which it colonizes.</w:t>
      </w:r>
      <w:r>
        <w:rPr>
          <w:rStyle w:val="None A"/>
          <w:rFonts w:ascii="Arial" w:hAnsi="Arial"/>
          <w:sz w:val="22"/>
          <w:szCs w:val="22"/>
          <w:rtl w:val="0"/>
          <w:lang w:val="en-US"/>
        </w:rPr>
        <w:t xml:space="preserve"> </w:t>
      </w:r>
      <w:r>
        <w:rPr>
          <w:rStyle w:val="None A"/>
          <w:rFonts w:ascii="Arial" w:hAnsi="Arial"/>
          <w:sz w:val="22"/>
          <w:szCs w:val="22"/>
          <w:rtl w:val="0"/>
          <w:lang w:val="en-US"/>
        </w:rPr>
        <w:t xml:space="preserve">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w:t>
      </w:r>
    </w:p>
    <w:p>
      <w:pPr>
        <w:pStyle w:val="Default"/>
        <w:spacing w:line="480" w:lineRule="auto"/>
        <w:jc w:val="both"/>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 A"/>
          <w:rFonts w:ascii="Arial" w:hAnsi="Arial"/>
          <w:i w:val="1"/>
          <w:iCs w:val="1"/>
          <w:sz w:val="22"/>
          <w:szCs w:val="22"/>
          <w:rtl w:val="0"/>
          <w:lang w:val="en-US"/>
        </w:rPr>
        <w:t>ad libitum</w:t>
      </w:r>
      <w:r>
        <w:rPr>
          <w:rStyle w:val="None A"/>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https://github.com/jlleslie/Intraspecific_Competition/blob/master/methods/Verocell_ToxinActivity_Assa</w:t>
      </w:r>
      <w:r>
        <w:rPr/>
        <w:fldChar w:fldCharType="end" w:fldLock="0"/>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y.Rmd</w:t>
      </w:r>
      <w:r>
        <w:rPr/>
        <w:fldChar w:fldCharType="end" w:fldLock="0"/>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"https://github.com/SchlossLab/Jenior_Transcriptomics_2015/blob/master/doc/wetlab_protocol.txt"</w:instrText>
      </w:r>
      <w:r>
        <w:rPr>
          <w:rStyle w:val="Hyperlink.1"/>
        </w:rPr>
        <w:fldChar w:fldCharType="separate" w:fldLock="0"/>
      </w:r>
      <w:r>
        <w:rPr>
          <w:rStyle w:val="Hyperlink.1"/>
          <w:rtl w:val="0"/>
          <w:lang w:val="en-US"/>
        </w:rPr>
        <w:t>https://github.com/SchlossLab/Jenior_Transcriptomics_2015/blob/master/doc/wetlab_protocol.txt</w:t>
      </w:r>
      <w:r>
        <w:rPr/>
        <w:fldChar w:fldCharType="end" w:fldLock="0"/>
      </w:r>
    </w:p>
    <w:p>
      <w:pPr>
        <w:pStyle w:val="Default"/>
        <w:spacing w:line="480" w:lineRule="auto"/>
        <w:jc w:val="both"/>
        <w:rPr>
          <w:rStyle w:val="None A"/>
          <w:rFonts w:ascii="Arial" w:cs="Arial" w:hAnsi="Arial" w:eastAsia="Arial"/>
          <w:sz w:val="22"/>
          <w:szCs w:val="22"/>
          <w:shd w:val="clear" w:color="auto" w:fill="ffff00"/>
        </w:rPr>
      </w:pPr>
    </w:p>
    <w:p>
      <w:pPr>
        <w:pStyle w:val="Default"/>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1"/>
        </w:rPr>
        <w:fldChar w:fldCharType="begin" w:fldLock="0"/>
      </w:r>
      <w:r>
        <w:rPr>
          <w:rStyle w:val="Hyperlink.1"/>
        </w:rPr>
        <w:instrText xml:space="preserve"> HYPERLINK "http://broadinstitute.github.io/picard/"</w:instrText>
      </w:r>
      <w:r>
        <w:rPr>
          <w:rStyle w:val="Hyperlink.1"/>
        </w:rPr>
        <w:fldChar w:fldCharType="separate" w:fldLock="0"/>
      </w:r>
      <w:r>
        <w:rPr>
          <w:rStyle w:val="Hyperlink.1"/>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A detailed protocol for red curation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"https://github.com/SchlossLab/Jenior_Transcriptomics_2015/blob/master/doc/drylab_protocol.txt"</w:instrText>
      </w:r>
      <w:r>
        <w:rPr>
          <w:rStyle w:val="Hyperlink.1"/>
        </w:rPr>
        <w:fldChar w:fldCharType="separate" w:fldLock="0"/>
      </w:r>
      <w:r>
        <w:rPr>
          <w:rStyle w:val="Hyperlink.1"/>
          <w:rtl w:val="0"/>
          <w:lang w:val="en-US"/>
        </w:rPr>
        <w:t>https://github.com/SchlossLab/Jenior_Transcriptomics_2015/blob/master/doc/drylab_protocol.txt</w:t>
      </w:r>
      <w:r>
        <w:rPr/>
        <w:fldChar w:fldCharType="end" w:fldLock="0"/>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Reaction Annotation &amp; Bipartite Network Construction.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r>
        <w:rPr>
          <w:rStyle w:val="Hyperlink.2"/>
        </w:rPr>
        <w:fldChar w:fldCharType="begin" w:fldLock="0"/>
      </w:r>
      <w:r>
        <w:rPr>
          <w:rStyle w:val="Hyperlink.2"/>
        </w:rPr>
        <w:instrText xml:space="preserve"> HYPERLINK "http://igraph.org/r/"</w:instrText>
      </w:r>
      <w:r>
        <w:rPr>
          <w:rStyle w:val="Hyperlink.2"/>
        </w:rPr>
        <w:fldChar w:fldCharType="separate" w:fldLock="0"/>
      </w:r>
      <w:r>
        <w:rPr>
          <w:rStyle w:val="Hyperlink.2"/>
          <w:rtl w:val="0"/>
          <w:lang w:val="en-US"/>
        </w:rPr>
        <w:t>http://igraph.org/r/</w:t>
      </w:r>
      <w:r>
        <w:rPr/>
        <w:fldChar w:fldCharType="end" w:fldLock="0"/>
      </w:r>
      <w:r>
        <w:rPr>
          <w:rStyle w:val="Hyperlink.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Metabolite Importance Calculation.</w:t>
      </w:r>
      <w:r>
        <w:rPr>
          <w:rStyle w:val="Hyperlink.2"/>
          <w:rtl w:val="0"/>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A"/>
          <w:rFonts w:ascii="Arial" w:hAnsi="Arial"/>
          <w:b w:val="1"/>
          <w:bCs w:val="1"/>
          <w:sz w:val="22"/>
          <w:szCs w:val="22"/>
          <w:rtl w:val="0"/>
          <w:lang w:val="en-US"/>
        </w:rPr>
        <w:t>m</w:t>
      </w:r>
      <w:r>
        <w:rPr>
          <w:rStyle w:val="Hyperlink.2"/>
          <w:rtl w:val="0"/>
          <w:lang w:val="en-US"/>
        </w:rPr>
        <w:t xml:space="preserve">), we used rarefied transcript abundances mapped to respective enzyme nodes.  This is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Hyperlink.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Hyperlink.2"/>
          <w:rtl w:val="0"/>
          <w:lang w:val="en-US"/>
        </w:rPr>
        <w:t xml:space="preserve"> to designate if an enzyme creates or utilizes </w:t>
      </w:r>
      <w:r>
        <w:rPr>
          <w:rStyle w:val="None A"/>
          <w:rFonts w:ascii="Arial" w:hAnsi="Arial"/>
          <w:b w:val="1"/>
          <w:bCs w:val="1"/>
          <w:sz w:val="22"/>
          <w:szCs w:val="22"/>
          <w:rtl w:val="0"/>
          <w:lang w:val="en-US"/>
        </w:rPr>
        <w:t>m</w:t>
      </w:r>
      <w:r>
        <w:rPr>
          <w:rStyle w:val="Hyperlink.2"/>
          <w:rtl w:val="0"/>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name="MathJaxElement43Frame" w:id="1"/>
      <w:r>
        <w:rPr>
          <w:rStyle w:val="Hyperlink.2"/>
          <w:rtl w:val="0"/>
          <w:lang w:val="en-US"/>
        </w:rPr>
        <w:t>(</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Hyperlink.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Hyperlink.2"/>
          <w:rtl w:val="0"/>
          <w:lang w:val="en-US"/>
        </w:rPr>
        <w:t>)</w:t>
      </w:r>
      <w:bookmarkEnd w:id="1"/>
      <w:r>
        <w:rPr>
          <w:rStyle w:val="Hyperlink.2"/>
          <w:rtl w:val="0"/>
          <w:lang w:val="en-US"/>
        </w:rPr>
        <w:t xml:space="preserve"> to normalize for highly connected metabolite nodes:</w:t>
      </w:r>
    </w:p>
    <w:p>
      <w:pPr>
        <w:pStyle w:val="Default"/>
        <w:spacing w:line="480" w:lineRule="auto"/>
        <w:jc w:val="center"/>
      </w:pPr>
      <w:r>
        <w:rPr>
          <w:rStyle w:val="Hyperlink.2"/>
          <w:rtl w:val="0"/>
          <w:lang w:val="en-US"/>
        </w:rPr>
        <w:t xml:space="preserve">(i)  </w:t>
      </w:r>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i</w:t>
      </w:r>
      <w:r>
        <w:rPr>
          <w:rStyle w:val="Hyperlink.2"/>
          <w:rtl w:val="0"/>
          <w:lang w:val="en-US"/>
        </w:rPr>
        <w:t xml:space="preserve"> = </w:t>
      </w:r>
      <w:r>
        <w:rPr>
          <w:rStyle w:val="None A"/>
          <w:sz w:val="28"/>
          <w:szCs w:val="28"/>
          <w:rtl w:val="0"/>
          <w:lang w:val="en-US"/>
        </w:rPr>
        <w:t>Σ</w:t>
      </w:r>
      <w:r>
        <w:rPr>
          <w:rStyle w:val="Hyperlink.2"/>
          <w:rtl w:val="0"/>
          <w:lang w:val="en-US"/>
        </w:rPr>
        <w:t>t</w:t>
      </w:r>
      <w:r>
        <w:rPr>
          <w:rStyle w:val="None A"/>
          <w:rFonts w:ascii="Arial" w:hAnsi="Arial"/>
          <w:sz w:val="22"/>
          <w:szCs w:val="22"/>
          <w:vertAlign w:val="subscript"/>
          <w:rtl w:val="0"/>
          <w:lang w:val="en-US"/>
        </w:rPr>
        <w:t>i</w:t>
      </w:r>
      <w:r>
        <w:rPr>
          <w:rStyle w:val="Hyperlink.2"/>
          <w:rtl w:val="0"/>
          <w:lang w:val="en-US"/>
        </w:rPr>
        <w:t xml:space="preserve"> </w:t>
      </w:r>
      <w:r>
        <w:rPr>
          <w:rStyle w:val="None A"/>
          <w:rFonts w:ascii="Arial" w:hAnsi="Arial" w:hint="default"/>
          <w:color w:val="222222"/>
          <w:sz w:val="22"/>
          <w:szCs w:val="22"/>
          <w:u w:val="none" w:color="222222"/>
          <w:rtl w:val="0"/>
          <w:lang w:val="en-US"/>
        </w:rPr>
        <w:t>÷</w:t>
      </w:r>
      <w:r>
        <w:rPr>
          <w:rStyle w:val="Hyperlink.2"/>
          <w:rtl w:val="0"/>
          <w:lang w:val="en-US"/>
        </w:rPr>
        <w:t xml:space="preserve"> </w:t>
      </w:r>
      <w:r>
        <w:rPr>
          <w:rStyle w:val="None A"/>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A"/>
          <w:rFonts w:ascii="Arial" w:hAnsi="Arial"/>
          <w:sz w:val="22"/>
          <w:szCs w:val="22"/>
          <w:vertAlign w:val="subscript"/>
          <w:rtl w:val="0"/>
          <w:lang w:val="en-US"/>
        </w:rPr>
        <w:t>o</w:t>
      </w:r>
      <w:r>
        <w:rPr>
          <w:rStyle w:val="Hyperlink.2"/>
          <w:rtl w:val="0"/>
          <w:lang w:val="en-US"/>
        </w:rPr>
        <w:t>)</w:t>
        <w:tab/>
        <w:tab/>
        <w:tab/>
        <w:t xml:space="preserve">(ii)  </w:t>
      </w:r>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o</w:t>
      </w:r>
      <w:r>
        <w:rPr>
          <w:rStyle w:val="Hyperlink.2"/>
          <w:rtl w:val="0"/>
          <w:lang w:val="en-US"/>
        </w:rPr>
        <w:t xml:space="preserve"> = </w:t>
      </w:r>
      <w:r>
        <w:rPr>
          <w:rStyle w:val="None A"/>
          <w:sz w:val="28"/>
          <w:szCs w:val="28"/>
          <w:rtl w:val="0"/>
          <w:lang w:val="en-US"/>
        </w:rPr>
        <w:t>Σ</w:t>
      </w:r>
      <w:r>
        <w:rPr>
          <w:rStyle w:val="Hyperlink.2"/>
          <w:rtl w:val="0"/>
          <w:lang w:val="en-US"/>
        </w:rPr>
        <w:t>t</w:t>
      </w:r>
      <w:r>
        <w:rPr>
          <w:rStyle w:val="None A"/>
          <w:rFonts w:ascii="Arial" w:hAnsi="Arial"/>
          <w:sz w:val="22"/>
          <w:szCs w:val="22"/>
          <w:vertAlign w:val="subscript"/>
          <w:rtl w:val="0"/>
          <w:lang w:val="en-US"/>
        </w:rPr>
        <w:t>o</w:t>
      </w:r>
      <w:r>
        <w:rPr>
          <w:rStyle w:val="Hyperlink.2"/>
          <w:rtl w:val="0"/>
          <w:lang w:val="en-US"/>
        </w:rPr>
        <w:t xml:space="preserve"> </w:t>
      </w:r>
      <w:r>
        <w:rPr>
          <w:rStyle w:val="None A"/>
          <w:rFonts w:ascii="Arial" w:hAnsi="Arial" w:hint="default"/>
          <w:color w:val="222222"/>
          <w:sz w:val="22"/>
          <w:szCs w:val="22"/>
          <w:u w:val="none" w:color="222222"/>
          <w:rtl w:val="0"/>
          <w:lang w:val="en-US"/>
        </w:rPr>
        <w:t>÷</w:t>
      </w:r>
      <w:r>
        <w:rPr>
          <w:rStyle w:val="Hyperlink.2"/>
          <w:rtl w:val="0"/>
          <w:lang w:val="en-US"/>
        </w:rPr>
        <w:t xml:space="preserve"> </w:t>
      </w:r>
      <w:r>
        <w:rPr>
          <w:rStyle w:val="None A"/>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A"/>
          <w:rFonts w:ascii="Arial" w:hAnsi="Arial"/>
          <w:sz w:val="22"/>
          <w:szCs w:val="22"/>
          <w:vertAlign w:val="subscript"/>
          <w:rtl w:val="0"/>
          <w:lang w:val="en-US"/>
        </w:rPr>
        <w:t>i</w:t>
      </w:r>
      <w:r>
        <w:rPr>
          <w:rStyle w:val="Hyperlink.2"/>
          <w:rtl w:val="0"/>
          <w:lang w:val="en-US"/>
        </w:rPr>
        <w:t>)</w:t>
      </w:r>
    </w:p>
    <w:p>
      <w:pPr>
        <w:pStyle w:val="Default"/>
        <w:spacing w:line="480" w:lineRule="auto"/>
      </w:pPr>
      <w:r>
        <w:rPr>
          <w:rStyle w:val="Hyperlink.2"/>
          <w:rtl w:val="0"/>
          <w:lang w:val="en-US"/>
        </w:rPr>
        <w:t>Next the raw metabolite importance score is calculated by subtracting the creation value from the consumption value to weight for metabolites that are likely acquired exogenously:</w:t>
      </w:r>
    </w:p>
    <w:p>
      <w:pPr>
        <w:pStyle w:val="Default"/>
        <w:spacing w:line="480" w:lineRule="auto"/>
        <w:jc w:val="center"/>
      </w:pPr>
      <w:r>
        <w:rPr>
          <w:rStyle w:val="Hyperlink.2"/>
          <w:rtl w:val="0"/>
          <w:lang w:val="en-US"/>
        </w:rPr>
        <w:t xml:space="preserve">(iii)  </w:t>
      </w:r>
      <w:r>
        <w:rPr>
          <w:rStyle w:val="None A"/>
          <w:rFonts w:ascii="PT Serif Caption" w:hAnsi="PT Serif Caption"/>
          <w:sz w:val="22"/>
          <w:szCs w:val="22"/>
          <w:rtl w:val="0"/>
          <w:lang w:val="en-US"/>
        </w:rPr>
        <w:t>I</w:t>
      </w:r>
      <w:r>
        <w:rPr>
          <w:rStyle w:val="None A"/>
          <w:rFonts w:ascii="Arial" w:hAnsi="Arial"/>
          <w:sz w:val="22"/>
          <w:szCs w:val="22"/>
          <w:vertAlign w:val="subscript"/>
          <w:rtl w:val="0"/>
          <w:lang w:val="en-US"/>
        </w:rPr>
        <w:t>m</w:t>
      </w:r>
      <w:r>
        <w:rPr>
          <w:rStyle w:val="Hyperlink.2"/>
          <w:rtl w:val="0"/>
          <w:lang w:val="en-US"/>
        </w:rPr>
        <w:t xml:space="preserve"> = </w:t>
      </w:r>
      <w:bookmarkStart w:name="MathJaxElement43Frame1" w:id="2"/>
      <w:r>
        <w:rPr>
          <w:rStyle w:val="None A"/>
          <w:rFonts w:ascii="Arial" w:hAnsi="Arial"/>
          <w:sz w:val="22"/>
          <w:szCs w:val="22"/>
          <w:vertAlign w:val="superscript"/>
          <w:rtl w:val="0"/>
          <w:lang w:val="en-US"/>
        </w:rPr>
        <w:t>2</w:t>
      </w:r>
      <w:r>
        <w:rPr>
          <w:rStyle w:val="Hyperlink.2"/>
          <w:rtl w:val="0"/>
          <w:lang w:val="en-US"/>
        </w:rPr>
        <w:t>√</w:t>
      </w:r>
      <w:r>
        <w:rPr>
          <w:rStyle w:val="Hyperlink.2"/>
          <w:rtl w:val="0"/>
          <w:lang w:val="en-US"/>
        </w:rPr>
        <w:t>(</w:t>
      </w:r>
      <w:bookmarkEnd w:id="2"/>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i</w:t>
      </w:r>
      <w:r>
        <w:rPr>
          <w:rStyle w:val="Hyperlink.2"/>
          <w:rtl w:val="0"/>
          <w:lang w:val="en-US"/>
        </w:rPr>
        <w:t xml:space="preserve"> – </w:t>
      </w:r>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o</w:t>
      </w:r>
      <w:bookmarkStart w:name="MathJaxElement43Frame2" w:id="3"/>
      <w:r>
        <w:rPr>
          <w:rStyle w:val="Hyperlink.2"/>
          <w:rtl w:val="0"/>
          <w:lang w:val="en-US"/>
        </w:rPr>
        <w:t>)</w:t>
      </w:r>
    </w:p>
    <w:p>
      <w:pPr>
        <w:pStyle w:val="Default"/>
        <w:spacing w:line="480" w:lineRule="auto"/>
      </w:pPr>
      <w:r>
        <w:rPr>
          <w:rStyle w:val="Hyperlink.2"/>
          <w:rtl w:val="0"/>
          <w:lang w:val="en-US"/>
        </w:rPr>
        <w:t>The difference is Log</w:t>
      </w:r>
      <w:r>
        <w:rPr>
          <w:rStyle w:val="None A"/>
          <w:rFonts w:ascii="Arial" w:hAnsi="Arial"/>
          <w:sz w:val="22"/>
          <w:szCs w:val="22"/>
          <w:vertAlign w:val="subscript"/>
          <w:rtl w:val="0"/>
          <w:lang w:val="en-US"/>
        </w:rPr>
        <w:t>2</w:t>
      </w:r>
      <w:r>
        <w:rPr>
          <w:rStyle w:val="Hyperlink.2"/>
          <w:rtl w:val="0"/>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A"/>
          <w:rFonts w:ascii="Arial" w:hAnsi="Arial"/>
          <w:b w:val="1"/>
          <w:bCs w:val="1"/>
          <w:sz w:val="22"/>
          <w:szCs w:val="22"/>
          <w:rtl w:val="0"/>
          <w:lang w:val="en-US"/>
        </w:rPr>
        <w:t>B</w:t>
      </w:r>
      <w:r>
        <w:rPr>
          <w:rStyle w:val="Hyperlink.2"/>
          <w:rtl w:val="0"/>
          <w:lang w:val="en-US"/>
        </w:rPr>
        <w:t>acter</w:t>
      </w:r>
      <w:r>
        <w:rPr>
          <w:rStyle w:val="None A"/>
          <w:rFonts w:ascii="Arial" w:hAnsi="Arial"/>
          <w:b w:val="1"/>
          <w:bCs w:val="1"/>
          <w:sz w:val="22"/>
          <w:szCs w:val="22"/>
          <w:rtl w:val="0"/>
          <w:lang w:val="en-US"/>
        </w:rPr>
        <w:t>I</w:t>
      </w:r>
      <w:r>
        <w:rPr>
          <w:rStyle w:val="Hyperlink.2"/>
          <w:rtl w:val="0"/>
          <w:lang w:val="en-US"/>
        </w:rPr>
        <w:t xml:space="preserve">al </w:t>
      </w:r>
      <w:r>
        <w:rPr>
          <w:rStyle w:val="None A"/>
          <w:rFonts w:ascii="Arial" w:hAnsi="Arial"/>
          <w:b w:val="1"/>
          <w:bCs w:val="1"/>
          <w:sz w:val="22"/>
          <w:szCs w:val="22"/>
          <w:rtl w:val="0"/>
          <w:lang w:val="en-US"/>
        </w:rPr>
        <w:t>G</w:t>
      </w:r>
      <w:r>
        <w:rPr>
          <w:rStyle w:val="Hyperlink.2"/>
          <w:rtl w:val="0"/>
          <w:lang w:val="en-US"/>
        </w:rPr>
        <w:t>enome-</w:t>
      </w:r>
      <w:r>
        <w:rPr>
          <w:rStyle w:val="None A"/>
          <w:rFonts w:ascii="Arial" w:hAnsi="Arial"/>
          <w:b w:val="1"/>
          <w:bCs w:val="1"/>
          <w:sz w:val="22"/>
          <w:szCs w:val="22"/>
          <w:rtl w:val="0"/>
          <w:lang w:val="en-US"/>
        </w:rPr>
        <w:t>S</w:t>
      </w:r>
      <w:r>
        <w:rPr>
          <w:rStyle w:val="Hyperlink.2"/>
          <w:rtl w:val="0"/>
          <w:lang w:val="en-US"/>
        </w:rPr>
        <w:t xml:space="preserve">cale </w:t>
      </w:r>
      <w:r>
        <w:rPr>
          <w:rStyle w:val="None A"/>
          <w:rFonts w:ascii="Arial" w:hAnsi="Arial"/>
          <w:b w:val="1"/>
          <w:bCs w:val="1"/>
          <w:sz w:val="22"/>
          <w:szCs w:val="22"/>
          <w:rtl w:val="0"/>
          <w:lang w:val="en-US"/>
        </w:rPr>
        <w:t>M</w:t>
      </w:r>
      <w:r>
        <w:rPr>
          <w:rStyle w:val="Hyperlink.2"/>
          <w:rtl w:val="0"/>
          <w:lang w:val="en-US"/>
        </w:rPr>
        <w:t xml:space="preserve">etabolic models for </w:t>
      </w:r>
      <w:r>
        <w:rPr>
          <w:rStyle w:val="None A"/>
          <w:rFonts w:ascii="Arial" w:hAnsi="Arial"/>
          <w:b w:val="1"/>
          <w:bCs w:val="1"/>
          <w:sz w:val="22"/>
          <w:szCs w:val="22"/>
          <w:rtl w:val="0"/>
          <w:lang w:val="en-US"/>
        </w:rPr>
        <w:t>A</w:t>
      </w:r>
      <w:r>
        <w:rPr>
          <w:rStyle w:val="Hyperlink.2"/>
          <w:rtl w:val="0"/>
          <w:lang w:val="en-US"/>
        </w:rPr>
        <w:t>pp</w:t>
      </w:r>
      <w:r>
        <w:rPr>
          <w:rStyle w:val="None A"/>
          <w:rFonts w:ascii="Arial" w:hAnsi="Arial"/>
          <w:b w:val="1"/>
          <w:bCs w:val="1"/>
          <w:sz w:val="22"/>
          <w:szCs w:val="22"/>
          <w:rtl w:val="0"/>
          <w:lang w:val="en-US"/>
        </w:rPr>
        <w:t>L</w:t>
      </w:r>
      <w:r>
        <w:rPr>
          <w:rStyle w:val="Hyperlink.2"/>
          <w:rtl w:val="0"/>
          <w:lang w:val="en-US"/>
        </w:rPr>
        <w:t>ied reverse eco</w:t>
      </w:r>
      <w:r>
        <w:rPr>
          <w:rStyle w:val="None A"/>
          <w:rFonts w:ascii="Arial" w:hAnsi="Arial"/>
          <w:b w:val="1"/>
          <w:bCs w:val="1"/>
          <w:sz w:val="22"/>
          <w:szCs w:val="22"/>
          <w:rtl w:val="0"/>
          <w:lang w:val="en-US"/>
        </w:rPr>
        <w:t>L</w:t>
      </w:r>
      <w:r>
        <w:rPr>
          <w:rStyle w:val="Hyperlink.2"/>
          <w:rtl w:val="0"/>
          <w:lang w:val="en-US"/>
        </w:rPr>
        <w:t xml:space="preserve">ogy) available in a public Github repository at </w:t>
      </w:r>
      <w:r>
        <w:rPr>
          <w:rStyle w:val="Hyperlink.1"/>
        </w:rPr>
        <w:fldChar w:fldCharType="begin" w:fldLock="0"/>
      </w:r>
      <w:r>
        <w:rPr>
          <w:rStyle w:val="Hyperlink.1"/>
        </w:rPr>
        <w:instrText xml:space="preserve"> HYPERLINK "https://github.com/mjenior/bigsmall"</w:instrText>
      </w:r>
      <w:r>
        <w:rPr>
          <w:rStyle w:val="Hyperlink.1"/>
        </w:rPr>
        <w:fldChar w:fldCharType="separate" w:fldLock="0"/>
      </w:r>
      <w:r>
        <w:rPr>
          <w:rStyle w:val="Hyperlink.1"/>
          <w:rtl w:val="0"/>
          <w:lang w:val="en-US"/>
        </w:rPr>
        <w:t>https://github.com/mjenior/bigsmall</w:t>
      </w:r>
      <w:r>
        <w:rPr/>
        <w:fldChar w:fldCharType="end" w:fldLock="0"/>
      </w:r>
      <w:r>
        <w:rPr>
          <w:rStyle w:val="Hyperlink.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pPr>
      <w:bookmarkStart w:name="MathJaxElement43Frame3" w:id="4"/>
      <w:r>
        <w:rPr>
          <w:rStyle w:val="None A"/>
          <w:rFonts w:ascii="Arial" w:hAnsi="Arial"/>
          <w:b w:val="1"/>
          <w:bCs w:val="1"/>
          <w:sz w:val="22"/>
          <w:szCs w:val="22"/>
          <w:rtl w:val="0"/>
          <w:lang w:val="en-US"/>
        </w:rPr>
        <w:t>Transcriptome Bootstrapping and Probability Distribution Comparison.</w:t>
      </w:r>
      <w:bookmarkEnd w:id="4"/>
      <w:bookmarkEnd w:id="3"/>
      <w:r>
        <w:rPr>
          <w:rStyle w:val="None A"/>
          <w:rFonts w:ascii="Arial" w:hAnsi="Arial"/>
          <w:b w:val="1"/>
          <w:bCs w:val="1"/>
          <w:sz w:val="22"/>
          <w:szCs w:val="22"/>
          <w:rtl w:val="0"/>
          <w:lang w:val="en-US"/>
        </w:rPr>
        <w:t xml:space="preserve"> </w:t>
      </w:r>
      <w:r>
        <w:rPr>
          <w:rStyle w:val="Hyperlink.2"/>
          <w:rtl w:val="0"/>
          <w:lang w:val="en-US"/>
        </w:rPr>
        <w:t xml:space="preserve">As sequencing replicates of </w:t>
      </w:r>
      <w:r>
        <w:rPr>
          <w:rStyle w:val="None A"/>
          <w:rFonts w:ascii="Arial" w:hAnsi="Arial"/>
          <w:i w:val="1"/>
          <w:iCs w:val="1"/>
          <w:sz w:val="22"/>
          <w:szCs w:val="22"/>
          <w:rtl w:val="0"/>
          <w:lang w:val="en-US"/>
        </w:rPr>
        <w:t>in vivo</w:t>
      </w:r>
      <w:r>
        <w:rPr>
          <w:rStyle w:val="Hyperlink.2"/>
          <w:rtl w:val="0"/>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pacing w:line="480" w:lineRule="auto"/>
        <w:jc w:val="both"/>
        <w:rPr>
          <w:rStyle w:val="Hyperlink.2"/>
        </w:rPr>
      </w:pPr>
      <w:bookmarkStart w:name="MathJaxElement43Frame5" w:id="5"/>
    </w:p>
    <w:p>
      <w:pPr>
        <w:pStyle w:val="Default"/>
        <w:spacing w:line="480" w:lineRule="auto"/>
        <w:jc w:val="both"/>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Hyperlink.2"/>
          <w:rtl w:val="0"/>
          <w:lang w:val="en-US"/>
        </w:rPr>
        <w:t xml:space="preserve">The carbon-free variation of </w:t>
      </w:r>
      <w:r>
        <w:rPr>
          <w:rStyle w:val="None A"/>
          <w:rFonts w:ascii="Arial" w:hAnsi="Arial"/>
          <w:i w:val="1"/>
          <w:iCs w:val="1"/>
          <w:sz w:val="22"/>
          <w:szCs w:val="22"/>
          <w:rtl w:val="0"/>
          <w:lang w:val="en-US"/>
        </w:rPr>
        <w:t>C. difficile</w:t>
      </w:r>
      <w:r>
        <w:rPr>
          <w:rStyle w:val="Hyperlink.2"/>
          <w:rtl w:val="0"/>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w:t>
      </w:r>
      <w:r>
        <w:rPr>
          <w:rStyle w:val="Hyperlink.2"/>
          <w:rtl w:val="0"/>
          <w:lang w:val="en-US"/>
        </w:rPr>
        <w:t>μ</w:t>
      </w:r>
      <w:r>
        <w:rPr>
          <w:rStyle w:val="Hyperlink.2"/>
          <w:rtl w:val="0"/>
          <w:lang w:val="en-US"/>
        </w:rPr>
        <w:t>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Hyperlink.2"/>
          <w:rtl w:val="0"/>
          <w:lang w:val="en-US"/>
        </w:rPr>
        <w:t>, 92.0% N, 0.0% O</w:t>
      </w:r>
      <w:r>
        <w:rPr>
          <w:rStyle w:val="None A"/>
          <w:rFonts w:ascii="Arial" w:hAnsi="Arial"/>
          <w:sz w:val="22"/>
          <w:szCs w:val="22"/>
          <w:vertAlign w:val="subscript"/>
          <w:rtl w:val="0"/>
          <w:lang w:val="en-US"/>
        </w:rPr>
        <w:t>2</w:t>
      </w:r>
      <w:r>
        <w:rPr>
          <w:rStyle w:val="Hyperlink.2"/>
          <w:rtl w:val="0"/>
          <w:lang w:val="en-US"/>
        </w:rPr>
        <w:t xml:space="preserve">). </w:t>
      </w:r>
      <w:r>
        <w:rPr>
          <w:rStyle w:val="None A"/>
          <w:rFonts w:ascii="Arial" w:hAnsi="Arial"/>
          <w:i w:val="1"/>
          <w:iCs w:val="1"/>
          <w:sz w:val="22"/>
          <w:szCs w:val="22"/>
          <w:rtl w:val="0"/>
          <w:lang w:val="en-US"/>
        </w:rPr>
        <w:t>C. difficile</w:t>
      </w:r>
      <w:r>
        <w:rPr>
          <w:rStyle w:val="Hyperlink.2"/>
          <w:rtl w:val="0"/>
          <w:lang w:val="en-US"/>
        </w:rPr>
        <w:t xml:space="preserve"> str. 630 was grown for 14 hours at 37</w:t>
      </w:r>
      <w:r>
        <w:rPr>
          <w:rStyle w:val="Hyperlink.2"/>
          <w:rtl w:val="0"/>
          <w:lang w:val="en-US"/>
        </w:rPr>
        <w:t xml:space="preserve">° </w:t>
      </w:r>
      <w:r>
        <w:rPr>
          <w:rStyle w:val="Hyperlink.2"/>
          <w:rtl w:val="0"/>
          <w:lang w:val="en-US"/>
        </w:rPr>
        <w:t xml:space="preserve">C in 3 ml BHI + 0.5% cysteine. Cultures were then centrifuged at 2000 rpm for 5 minutes and resulting pellets were then washed twice with sterile, anaerobic 1 </w:t>
      </w:r>
      <w:r>
        <w:rPr>
          <w:rStyle w:val="Hyperlink.2"/>
          <w:rtl w:val="0"/>
          <w:lang w:val="en-US"/>
        </w:rPr>
        <w:t xml:space="preserve">× </w:t>
      </w:r>
      <w:r>
        <w:rPr>
          <w:rStyle w:val="Hyperlink.2"/>
          <w:rtl w:val="0"/>
          <w:lang w:val="en-US"/>
        </w:rPr>
        <w:t xml:space="preserve">phosphate-buffered saline (PBS). Washed pellets were resuspended in 3 ml more PBS and 5 </w:t>
      </w:r>
      <w:r>
        <w:rPr>
          <w:rStyle w:val="Hyperlink.2"/>
          <w:rtl w:val="0"/>
          <w:lang w:val="en-US"/>
        </w:rPr>
        <w:t>μ</w:t>
      </w:r>
      <w:r>
        <w:rPr>
          <w:rStyle w:val="Hyperlink.2"/>
          <w:rtl w:val="0"/>
          <w:lang w:val="en-US"/>
        </w:rPr>
        <w:t>l of prepped culture was added the each growth well of the plate containing aliquoted media. The plate was then placed in a Tecan Sunrise plate reader, heated to 37</w:t>
      </w:r>
      <w:r>
        <w:rPr>
          <w:rStyle w:val="Hyperlink.2"/>
          <w:rtl w:val="0"/>
          <w:lang w:val="en-US"/>
        </w:rPr>
        <w:t xml:space="preserve">° </w:t>
      </w:r>
      <w:r>
        <w:rPr>
          <w:rStyle w:val="Hyperlink.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Hyperlink.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Hyperlink.2"/>
          <w:rtl w:val="0"/>
          <w:lang w:val="en-US"/>
        </w:rPr>
        <w:t xml:space="preserve"> over time in R to obtain the slope at each time point. Significant differences were determined by 2-way ANOVA with Holm-Bonferroni correction.</w:t>
      </w:r>
    </w:p>
    <w:p>
      <w:pPr>
        <w:pStyle w:val="Default"/>
        <w:spacing w:line="480" w:lineRule="auto"/>
        <w:jc w:val="both"/>
        <w:rPr>
          <w:rFonts w:ascii="Arial" w:cs="Arial" w:hAnsi="Arial" w:eastAsia="Arial"/>
          <w:sz w:val="22"/>
          <w:szCs w:val="22"/>
        </w:rPr>
      </w:pPr>
    </w:p>
    <w:p>
      <w:pPr>
        <w:pStyle w:val="Text body"/>
        <w:spacing w:line="480" w:lineRule="auto"/>
        <w:ind w:left="480" w:hanging="480"/>
        <w:jc w:val="both"/>
      </w:pPr>
      <w:r>
        <w:rPr>
          <w:rStyle w:val="None A"/>
          <w:rFonts w:ascii="Arial" w:hAnsi="Arial"/>
          <w:b w:val="1"/>
          <w:bCs w:val="1"/>
          <w:sz w:val="22"/>
          <w:szCs w:val="22"/>
          <w:rtl w:val="0"/>
          <w:lang w:val="en-US"/>
        </w:rPr>
        <w:t>Figure Legends</w:t>
      </w:r>
    </w:p>
    <w:p>
      <w:pPr>
        <w:pStyle w:val="Default"/>
        <w:spacing w:line="480" w:lineRule="auto"/>
        <w:jc w:val="both"/>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 xml:space="preserve">Figure 1 | Experimental time lines for mouse model pretreatments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w:t>
      </w:r>
      <w:r>
        <w:rPr>
          <w:rStyle w:val="Hyperlink.2"/>
          <w:rtl w:val="0"/>
          <w:lang w:val="en-US"/>
        </w:rPr>
        <w:t xml:space="preserve"> Nine wild-type C57BL/6 mice were included in each pretreatment group. </w:t>
      </w:r>
      <w:r>
        <w:rPr>
          <w:rStyle w:val="None A"/>
          <w:rFonts w:ascii="Arial" w:hAnsi="Arial"/>
          <w:b w:val="1"/>
          <w:bCs w:val="1"/>
          <w:sz w:val="22"/>
          <w:szCs w:val="22"/>
          <w:rtl w:val="0"/>
          <w:lang w:val="en-US"/>
        </w:rPr>
        <w:t>(a)</w:t>
      </w:r>
      <w:r>
        <w:rPr>
          <w:rStyle w:val="Hyperlink.2"/>
          <w:rtl w:val="0"/>
          <w:lang w:val="en-US"/>
        </w:rPr>
        <w:t xml:space="preserve"> Streptomycin or </w:t>
      </w:r>
      <w:r>
        <w:rPr>
          <w:rStyle w:val="None A"/>
          <w:rFonts w:ascii="Arial" w:hAnsi="Arial"/>
          <w:b w:val="1"/>
          <w:bCs w:val="1"/>
          <w:sz w:val="22"/>
          <w:szCs w:val="22"/>
          <w:rtl w:val="0"/>
          <w:lang w:val="en-US"/>
        </w:rPr>
        <w:t>(b)</w:t>
      </w:r>
      <w:r>
        <w:rPr>
          <w:rStyle w:val="Hyperlink.2"/>
          <w:rtl w:val="0"/>
          <w:lang w:val="en-US"/>
        </w:rPr>
        <w:t xml:space="preserve"> cefoperazone administered </w:t>
      </w:r>
      <w:r>
        <w:rPr>
          <w:rStyle w:val="None A"/>
          <w:rFonts w:ascii="Arial" w:hAnsi="Arial"/>
          <w:i w:val="1"/>
          <w:iCs w:val="1"/>
          <w:sz w:val="22"/>
          <w:szCs w:val="22"/>
          <w:rtl w:val="0"/>
          <w:lang w:val="en-US"/>
        </w:rPr>
        <w:t>ad libitum</w:t>
      </w:r>
      <w:r>
        <w:rPr>
          <w:rStyle w:val="Hyperlink.2"/>
          <w:rtl w:val="0"/>
          <w:lang w:val="en-US"/>
        </w:rPr>
        <w:t xml:space="preserve"> in drinking water for 5 days, with 2 days recovery with untreated drinking water before infection, </w:t>
      </w:r>
      <w:r>
        <w:rPr>
          <w:rStyle w:val="None A"/>
          <w:rFonts w:ascii="Arial" w:hAnsi="Arial"/>
          <w:b w:val="1"/>
          <w:bCs w:val="1"/>
          <w:sz w:val="22"/>
          <w:szCs w:val="22"/>
          <w:rtl w:val="0"/>
          <w:lang w:val="en-US"/>
        </w:rPr>
        <w:t>(c)</w:t>
      </w:r>
      <w:r>
        <w:rPr>
          <w:rStyle w:val="Hyperlink.2"/>
          <w:rtl w:val="0"/>
          <w:lang w:val="en-US"/>
        </w:rPr>
        <w:t xml:space="preserve"> a single clindamycin intraperitoneal injection on Day -1 prior to infection, or </w:t>
      </w:r>
      <w:r>
        <w:rPr>
          <w:rStyle w:val="None A"/>
          <w:rFonts w:ascii="Arial" w:hAnsi="Arial"/>
          <w:b w:val="1"/>
          <w:bCs w:val="1"/>
          <w:sz w:val="22"/>
          <w:szCs w:val="22"/>
          <w:rtl w:val="0"/>
          <w:lang w:val="en-US"/>
        </w:rPr>
        <w:t>(d)</w:t>
      </w:r>
      <w:r>
        <w:rPr>
          <w:rStyle w:val="Hyperlink.2"/>
          <w:rtl w:val="0"/>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w:t>
      </w:r>
      <w:r>
        <w:rPr>
          <w:rStyle w:val="Hyperlink.2"/>
          <w:rtl w:val="0"/>
          <w:lang w:val="en-US"/>
        </w:rPr>
        <w:t>×</w:t>
      </w:r>
      <w:r>
        <w:rPr>
          <w:rStyle w:val="Hyperlink.2"/>
          <w:rtl w:val="0"/>
          <w:lang w:val="en-US"/>
        </w:rPr>
        <w:t>10</w:t>
      </w:r>
      <w:r>
        <w:rPr>
          <w:rStyle w:val="None A"/>
          <w:rFonts w:ascii="Arial" w:hAnsi="Arial"/>
          <w:sz w:val="22"/>
          <w:szCs w:val="22"/>
          <w:vertAlign w:val="superscript"/>
          <w:rtl w:val="0"/>
          <w:lang w:val="en-US"/>
        </w:rPr>
        <w:t>3</w:t>
      </w:r>
      <w:r>
        <w:rPr>
          <w:rStyle w:val="Hyperlink.2"/>
          <w:rtl w:val="0"/>
          <w:lang w:val="en-US"/>
        </w:rPr>
        <w:t xml:space="preserve"> </w:t>
      </w:r>
      <w:r>
        <w:rPr>
          <w:rStyle w:val="None A"/>
          <w:rFonts w:ascii="Arial" w:hAnsi="Arial"/>
          <w:i w:val="1"/>
          <w:iCs w:val="1"/>
          <w:sz w:val="22"/>
          <w:szCs w:val="22"/>
          <w:rtl w:val="0"/>
          <w:lang w:val="en-US"/>
        </w:rPr>
        <w:t>C. difficile</w:t>
      </w:r>
      <w:r>
        <w:rPr>
          <w:rStyle w:val="Hyperlink.2"/>
          <w:rtl w:val="0"/>
          <w:lang w:val="en-US"/>
        </w:rPr>
        <w:t xml:space="preserve"> str. 630 spores at the time of infection. Sacrifice and necropsy was done 18 hours post-challenge and cecal content was then collected.</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sporulation and toxin activity quantification after 18 hours of infection. (a)</w:t>
      </w:r>
      <w:r>
        <w:rPr>
          <w:rStyle w:val="Hyperlink.2"/>
          <w:rtl w:val="0"/>
          <w:lang w:val="en-US"/>
        </w:rPr>
        <w:t xml:space="preserve"> Vegetative </w:t>
      </w:r>
      <w:r>
        <w:rPr>
          <w:rStyle w:val="None A"/>
          <w:rFonts w:ascii="Arial" w:hAnsi="Arial"/>
          <w:i w:val="1"/>
          <w:iCs w:val="1"/>
          <w:sz w:val="22"/>
          <w:szCs w:val="22"/>
          <w:rtl w:val="0"/>
          <w:lang w:val="en-US"/>
        </w:rPr>
        <w:t>C. difficile</w:t>
      </w:r>
      <w:r>
        <w:rPr>
          <w:rStyle w:val="Hyperlink.2"/>
          <w:rtl w:val="0"/>
          <w:lang w:val="en-US"/>
        </w:rPr>
        <w:t xml:space="preserve"> c.f.u. per gram of cecal content (n=9 mice per group). No significant differences were observed in between any group colonized by </w:t>
      </w:r>
      <w:r>
        <w:rPr>
          <w:rStyle w:val="None A"/>
          <w:rFonts w:ascii="Arial" w:hAnsi="Arial"/>
          <w:i w:val="1"/>
          <w:iCs w:val="1"/>
          <w:sz w:val="22"/>
          <w:szCs w:val="22"/>
          <w:rtl w:val="0"/>
          <w:lang w:val="en-US"/>
        </w:rPr>
        <w:t>C. difficile</w:t>
      </w:r>
      <w:r>
        <w:rPr>
          <w:rStyle w:val="Hyperlink.2"/>
          <w:rtl w:val="0"/>
          <w:lang w:val="en-US"/>
        </w:rPr>
        <w:t xml:space="preserve">.  </w:t>
      </w:r>
      <w:r>
        <w:rPr>
          <w:rStyle w:val="None A"/>
          <w:rFonts w:ascii="Arial" w:hAnsi="Arial"/>
          <w:b w:val="1"/>
          <w:bCs w:val="1"/>
          <w:sz w:val="22"/>
          <w:szCs w:val="22"/>
          <w:rtl w:val="0"/>
          <w:lang w:val="en-US"/>
        </w:rPr>
        <w:t xml:space="preserve">(b) </w:t>
      </w:r>
      <w:r>
        <w:rPr>
          <w:rStyle w:val="None A"/>
          <w:rFonts w:ascii="Arial" w:hAnsi="Arial"/>
          <w:i w:val="1"/>
          <w:iCs w:val="1"/>
          <w:sz w:val="22"/>
          <w:szCs w:val="22"/>
          <w:rtl w:val="0"/>
          <w:lang w:val="en-US"/>
        </w:rPr>
        <w:t>C. difficile</w:t>
      </w:r>
      <w:r>
        <w:rPr>
          <w:rStyle w:val="Hyperlink.2"/>
          <w:rtl w:val="0"/>
          <w:lang w:val="en-US"/>
        </w:rPr>
        <w:t xml:space="preserve"> spore c.f.u. per gram of cecal content. Significantly more spores were detectable in GF mice compared to any of the antibiotic-treated SPF groups (</w:t>
      </w:r>
      <w:r>
        <w:rPr>
          <w:rStyle w:val="None A"/>
          <w:rFonts w:ascii="Arial" w:hAnsi="Arial"/>
          <w:i w:val="1"/>
          <w:iCs w:val="1"/>
          <w:sz w:val="22"/>
          <w:szCs w:val="22"/>
          <w:rtl w:val="0"/>
          <w:lang w:val="en-US"/>
        </w:rPr>
        <w:t>P</w:t>
      </w:r>
      <w:r>
        <w:rPr>
          <w:rStyle w:val="Hyperlink.2"/>
          <w:rtl w:val="0"/>
          <w:lang w:val="en-US"/>
        </w:rPr>
        <w:t xml:space="preserve"> &lt; 0.05). </w:t>
      </w:r>
      <w:r>
        <w:rPr>
          <w:rStyle w:val="None A"/>
          <w:rFonts w:ascii="Arial" w:hAnsi="Arial"/>
          <w:b w:val="1"/>
          <w:bCs w:val="1"/>
          <w:sz w:val="22"/>
          <w:szCs w:val="22"/>
          <w:rtl w:val="0"/>
          <w:lang w:val="en-US"/>
        </w:rPr>
        <w:t>(c)</w:t>
      </w:r>
      <w:r>
        <w:rPr>
          <w:rStyle w:val="Hyperlink.2"/>
          <w:rtl w:val="0"/>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A"/>
          <w:rFonts w:ascii="Arial" w:hAnsi="Arial"/>
          <w:i w:val="1"/>
          <w:iCs w:val="1"/>
          <w:sz w:val="22"/>
          <w:szCs w:val="22"/>
          <w:rtl w:val="0"/>
          <w:lang w:val="en-US"/>
        </w:rPr>
        <w:t>P</w:t>
      </w:r>
      <w:r>
        <w:rPr>
          <w:rStyle w:val="Hyperlink.2"/>
          <w:rtl w:val="0"/>
          <w:lang w:val="en-US"/>
        </w:rPr>
        <w:t xml:space="preserve"> &lt; 0.05). UD* in </w:t>
      </w:r>
      <w:r>
        <w:rPr>
          <w:rStyle w:val="None A"/>
          <w:rFonts w:ascii="Arial" w:hAnsi="Arial"/>
          <w:b w:val="1"/>
          <w:bCs w:val="1"/>
          <w:sz w:val="22"/>
          <w:szCs w:val="22"/>
          <w:rtl w:val="0"/>
          <w:lang w:val="en-US"/>
        </w:rPr>
        <w:t>a</w:t>
      </w:r>
      <w:r>
        <w:rPr>
          <w:rStyle w:val="Hyperlink.2"/>
          <w:rtl w:val="0"/>
          <w:lang w:val="en-US"/>
        </w:rPr>
        <w:t>,</w:t>
      </w:r>
      <w:r>
        <w:rPr>
          <w:rStyle w:val="None A"/>
          <w:rFonts w:ascii="Arial" w:hAnsi="Arial"/>
          <w:b w:val="1"/>
          <w:bCs w:val="1"/>
          <w:sz w:val="22"/>
          <w:szCs w:val="22"/>
          <w:rtl w:val="0"/>
          <w:lang w:val="en-US"/>
        </w:rPr>
        <w:t>b</w:t>
      </w:r>
      <w:r>
        <w:rPr>
          <w:rStyle w:val="Hyperlink.2"/>
          <w:rtl w:val="0"/>
          <w:lang w:val="en-US"/>
        </w:rPr>
        <w:t>,</w:t>
      </w:r>
      <w:r>
        <w:rPr>
          <w:rStyle w:val="None A"/>
          <w:rFonts w:ascii="Arial" w:hAnsi="Arial"/>
          <w:b w:val="1"/>
          <w:bCs w:val="1"/>
          <w:sz w:val="22"/>
          <w:szCs w:val="22"/>
          <w:rtl w:val="0"/>
          <w:lang w:val="en-US"/>
        </w:rPr>
        <w:t>c</w:t>
      </w:r>
      <w:r>
        <w:rPr>
          <w:rStyle w:val="Hyperlink.2"/>
          <w:rtl w:val="0"/>
          <w:lang w:val="en-US"/>
        </w:rPr>
        <w:t xml:space="preserve"> indicate that all points in this groups were undetectable and are significantly different from all other groups in each assay (</w:t>
      </w:r>
      <w:r>
        <w:rPr>
          <w:rStyle w:val="None A"/>
          <w:rFonts w:ascii="Arial" w:hAnsi="Arial"/>
          <w:i w:val="1"/>
          <w:iCs w:val="1"/>
          <w:sz w:val="22"/>
          <w:szCs w:val="22"/>
          <w:rtl w:val="0"/>
          <w:lang w:val="en-US"/>
        </w:rPr>
        <w:t>P</w:t>
      </w:r>
      <w:r>
        <w:rPr>
          <w:rStyle w:val="Hyperlink.2"/>
          <w:rtl w:val="0"/>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pacing w:line="480" w:lineRule="auto"/>
        <w:jc w:val="both"/>
      </w:pPr>
    </w:p>
    <w:p>
      <w:pPr>
        <w:pStyle w:val="Default"/>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Hyperlink.2"/>
          <w:rtl w:val="0"/>
          <w:lang w:val="en-US"/>
        </w:rPr>
        <w:t xml:space="preserve">Relative abundances of rarefied transcript data for each gene from pooled transcriptomic sequencing of </w:t>
      </w:r>
      <w:r>
        <w:rPr>
          <w:rStyle w:val="None A"/>
          <w:rFonts w:ascii="Arial" w:hAnsi="Arial"/>
          <w:i w:val="1"/>
          <w:iCs w:val="1"/>
          <w:sz w:val="22"/>
          <w:szCs w:val="22"/>
          <w:rtl w:val="0"/>
          <w:lang w:val="en-US"/>
        </w:rPr>
        <w:t>C. difficile</w:t>
      </w:r>
      <w:r>
        <w:rPr>
          <w:rStyle w:val="Hyperlink.2"/>
          <w:rtl w:val="0"/>
          <w:lang w:val="en-US"/>
        </w:rPr>
        <w:t xml:space="preserve"> in each condition. </w:t>
      </w:r>
      <w:r>
        <w:rPr>
          <w:rStyle w:val="None A"/>
          <w:rFonts w:ascii="Arial" w:hAnsi="Arial"/>
          <w:b w:val="1"/>
          <w:bCs w:val="1"/>
          <w:sz w:val="22"/>
          <w:szCs w:val="22"/>
          <w:rtl w:val="0"/>
          <w:lang w:val="en-US"/>
        </w:rPr>
        <w:t>(a)</w:t>
      </w:r>
      <w:r>
        <w:rPr>
          <w:rStyle w:val="Hyperlink.2"/>
          <w:rtl w:val="0"/>
          <w:lang w:val="en-US"/>
        </w:rPr>
        <w:t xml:space="preserve"> Select genes from the </w:t>
      </w:r>
      <w:r>
        <w:rPr>
          <w:rStyle w:val="None A"/>
          <w:rFonts w:ascii="Arial" w:hAnsi="Arial"/>
          <w:i w:val="1"/>
          <w:iCs w:val="1"/>
          <w:sz w:val="22"/>
          <w:szCs w:val="22"/>
          <w:rtl w:val="0"/>
          <w:lang w:val="en-US"/>
        </w:rPr>
        <w:t>C. difficile</w:t>
      </w:r>
      <w:r>
        <w:rPr>
          <w:rStyle w:val="Hyperlink.2"/>
          <w:rtl w:val="0"/>
          <w:lang w:val="en-US"/>
        </w:rPr>
        <w:t xml:space="preserve"> sporulation pathway with the greatest variation in expression between the conditions tested. </w:t>
      </w:r>
      <w:r>
        <w:rPr>
          <w:rStyle w:val="None A"/>
          <w:rFonts w:ascii="Arial" w:hAnsi="Arial"/>
          <w:b w:val="1"/>
          <w:bCs w:val="1"/>
          <w:sz w:val="22"/>
          <w:szCs w:val="22"/>
          <w:rtl w:val="0"/>
          <w:lang w:val="en-US"/>
        </w:rPr>
        <w:t>(b)</w:t>
      </w:r>
      <w:r>
        <w:rPr>
          <w:rStyle w:val="Hyperlink.2"/>
          <w:rtl w:val="0"/>
          <w:lang w:val="en-US"/>
        </w:rPr>
        <w:t xml:space="preserve"> Genes for effector proteins included in the </w:t>
      </w:r>
      <w:r>
        <w:rPr>
          <w:rStyle w:val="None A"/>
          <w:rFonts w:ascii="Arial" w:hAnsi="Arial"/>
          <w:i w:val="1"/>
          <w:iCs w:val="1"/>
          <w:sz w:val="22"/>
          <w:szCs w:val="22"/>
          <w:rtl w:val="0"/>
          <w:lang w:val="en-US"/>
        </w:rPr>
        <w:t>C. difficile</w:t>
      </w:r>
      <w:r>
        <w:rPr>
          <w:rStyle w:val="Hyperlink.2"/>
          <w:rtl w:val="0"/>
          <w:lang w:val="en-US"/>
        </w:rPr>
        <w:t xml:space="preserve"> pathogenicity locus. </w:t>
      </w:r>
      <w:r>
        <w:rPr>
          <w:rStyle w:val="None A"/>
          <w:rFonts w:ascii="Arial" w:hAnsi="Arial"/>
          <w:b w:val="1"/>
          <w:bCs w:val="1"/>
          <w:sz w:val="22"/>
          <w:szCs w:val="22"/>
          <w:rtl w:val="0"/>
          <w:lang w:val="en-US"/>
        </w:rPr>
        <w:t>(c)</w:t>
      </w:r>
      <w:r>
        <w:rPr>
          <w:rStyle w:val="Hyperlink.2"/>
          <w:rtl w:val="0"/>
          <w:lang w:val="en-US"/>
        </w:rPr>
        <w:t xml:space="preserve"> Genes that have been associated with quorum sensing in </w:t>
      </w:r>
      <w:r>
        <w:rPr>
          <w:rStyle w:val="None A"/>
          <w:rFonts w:ascii="Arial" w:hAnsi="Arial"/>
          <w:i w:val="1"/>
          <w:iCs w:val="1"/>
          <w:sz w:val="22"/>
          <w:szCs w:val="22"/>
          <w:rtl w:val="0"/>
          <w:lang w:val="en-US"/>
        </w:rPr>
        <w:t>C. difficile</w:t>
      </w:r>
      <w:r>
        <w:rPr>
          <w:rStyle w:val="Hyperlink.2"/>
          <w:rtl w:val="0"/>
          <w:lang w:val="en-US"/>
        </w:rPr>
        <w:t xml:space="preserve">. </w:t>
      </w:r>
      <w:r>
        <w:rPr>
          <w:rStyle w:val="None A"/>
          <w:rFonts w:ascii="Arial" w:hAnsi="Arial"/>
          <w:b w:val="1"/>
          <w:bCs w:val="1"/>
          <w:sz w:val="22"/>
          <w:szCs w:val="22"/>
          <w:rtl w:val="0"/>
          <w:lang w:val="en-US"/>
        </w:rPr>
        <w:t>(d)</w:t>
      </w:r>
      <w:r>
        <w:rPr>
          <w:rStyle w:val="Hyperlink.2"/>
          <w:rtl w:val="0"/>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A"/>
          <w:rFonts w:ascii="Arial" w:hAnsi="Arial"/>
          <w:b w:val="1"/>
          <w:bCs w:val="1"/>
          <w:sz w:val="22"/>
          <w:szCs w:val="22"/>
          <w:rtl w:val="0"/>
          <w:lang w:val="en-US"/>
        </w:rPr>
        <w:t xml:space="preserve">a </w:t>
      </w:r>
      <w:r>
        <w:rPr>
          <w:rStyle w:val="Hyperlink.2"/>
          <w:rtl w:val="0"/>
          <w:lang w:val="en-US"/>
        </w:rPr>
        <w:t xml:space="preserve">- </w:t>
      </w:r>
      <w:r>
        <w:rPr>
          <w:rStyle w:val="None A"/>
          <w:rFonts w:ascii="Arial" w:hAnsi="Arial"/>
          <w:b w:val="1"/>
          <w:bCs w:val="1"/>
          <w:sz w:val="22"/>
          <w:szCs w:val="22"/>
          <w:rtl w:val="0"/>
          <w:lang w:val="en-US"/>
        </w:rPr>
        <w:t>d</w:t>
      </w:r>
      <w:r>
        <w:rPr>
          <w:rStyle w:val="Hyperlink.2"/>
          <w:rtl w:val="0"/>
          <w:lang w:val="en-US"/>
        </w:rPr>
        <w:t>. UD indicates genes from which transcript was undetectable.</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Hyperlink.2"/>
          <w:rtl w:val="0"/>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A"/>
          <w:rFonts w:ascii="Arial" w:hAnsi="Arial"/>
          <w:i w:val="1"/>
          <w:iCs w:val="1"/>
          <w:sz w:val="22"/>
          <w:szCs w:val="22"/>
          <w:rtl w:val="0"/>
          <w:lang w:val="en-US"/>
        </w:rPr>
        <w:t>C. difficile</w:t>
      </w:r>
      <w:r>
        <w:rPr>
          <w:rStyle w:val="Hyperlink.2"/>
          <w:rtl w:val="0"/>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A"/>
          <w:rFonts w:ascii="Arial" w:hAnsi="Arial"/>
          <w:b w:val="1"/>
          <w:bCs w:val="1"/>
          <w:sz w:val="22"/>
          <w:szCs w:val="22"/>
          <w:rtl w:val="0"/>
          <w:lang w:val="en-US"/>
        </w:rPr>
        <w:t xml:space="preserve">(a) </w:t>
      </w:r>
      <w:r>
        <w:rPr>
          <w:rStyle w:val="Hyperlink.2"/>
          <w:rtl w:val="0"/>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A"/>
          <w:rFonts w:ascii="Arial" w:hAnsi="Arial"/>
          <w:b w:val="1"/>
          <w:bCs w:val="1"/>
          <w:sz w:val="22"/>
          <w:szCs w:val="22"/>
          <w:rtl w:val="0"/>
          <w:lang w:val="en-US"/>
        </w:rPr>
        <w:t xml:space="preserve">(b </w:t>
      </w:r>
      <w:r>
        <w:rPr>
          <w:rStyle w:val="Hyperlink.2"/>
          <w:rtl w:val="0"/>
          <w:lang w:val="en-US"/>
        </w:rPr>
        <w:t>–</w:t>
      </w:r>
      <w:r>
        <w:rPr>
          <w:rStyle w:val="None A"/>
          <w:rFonts w:ascii="Arial" w:hAnsi="Arial"/>
          <w:b w:val="1"/>
          <w:bCs w:val="1"/>
          <w:sz w:val="22"/>
          <w:szCs w:val="22"/>
          <w:rtl w:val="0"/>
          <w:lang w:val="en-US"/>
        </w:rPr>
        <w:t xml:space="preserve"> i) </w:t>
      </w:r>
      <w:r>
        <w:rPr>
          <w:rStyle w:val="Hyperlink.2"/>
          <w:rtl w:val="0"/>
          <w:lang w:val="en-US"/>
        </w:rPr>
        <w:t xml:space="preserve">Groups from </w:t>
      </w:r>
      <w:r>
        <w:rPr>
          <w:rStyle w:val="None A"/>
          <w:rFonts w:ascii="Arial" w:hAnsi="Arial"/>
          <w:b w:val="1"/>
          <w:bCs w:val="1"/>
          <w:sz w:val="22"/>
          <w:szCs w:val="22"/>
          <w:rtl w:val="0"/>
          <w:lang w:val="en-US"/>
        </w:rPr>
        <w:t>a</w:t>
      </w:r>
      <w:r>
        <w:rPr>
          <w:rStyle w:val="Hyperlink.2"/>
          <w:rtl w:val="0"/>
          <w:lang w:val="en-US"/>
        </w:rPr>
        <w:t xml:space="preserve"> are also plotted separately in without size differences for calrity. Genes included in each group and transcript abundances can be found in Table S2. Like-colored asterisks refer to groups that display significantly different distributions by 2-way MANOVA (</w:t>
      </w:r>
      <w:r>
        <w:rPr>
          <w:rStyle w:val="None A"/>
          <w:rFonts w:ascii="Arial" w:hAnsi="Arial"/>
          <w:i w:val="1"/>
          <w:iCs w:val="1"/>
          <w:sz w:val="22"/>
          <w:szCs w:val="22"/>
          <w:rtl w:val="0"/>
          <w:lang w:val="en-US"/>
        </w:rPr>
        <w:t>P</w:t>
      </w:r>
      <w:r>
        <w:rPr>
          <w:rStyle w:val="Hyperlink.2"/>
          <w:rtl w:val="0"/>
          <w:lang w:val="en-US"/>
        </w:rPr>
        <w:t xml:space="preserve"> &lt; 0.05).</w:t>
      </w:r>
    </w:p>
    <w:p>
      <w:pPr>
        <w:pStyle w:val="Default"/>
        <w:spacing w:line="480" w:lineRule="auto"/>
        <w:jc w:val="both"/>
        <w:rPr>
          <w:sz w:val="22"/>
          <w:szCs w:val="22"/>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it-IT"/>
        </w:rPr>
        <w:t>C. difficile</w:t>
      </w:r>
      <w:r>
        <w:rPr>
          <w:rStyle w:val="None A"/>
          <w:rFonts w:ascii="Arial" w:hAnsi="Arial"/>
          <w:b w:val="1"/>
          <w:bCs w:val="1"/>
          <w:sz w:val="22"/>
          <w:szCs w:val="22"/>
          <w:rtl w:val="0"/>
          <w:lang w:val="en-US"/>
        </w:rPr>
        <w:t xml:space="preserve"> str. 630 in each colonized environment. (a)</w:t>
      </w:r>
      <w:r>
        <w:rPr>
          <w:rStyle w:val="None A"/>
          <w:rFonts w:ascii="Arial" w:hAnsi="Arial"/>
          <w:sz w:val="22"/>
          <w:szCs w:val="22"/>
          <w:rtl w:val="0"/>
          <w:lang w:val="en-US"/>
        </w:rPr>
        <w:t xml:space="preserve"> The expanded window displays an example of a single metaoblite importance calculation based on local enzyme gene transcription. White values in the red nodes display the number of normalized transcript reads mapping to the gene sequence for each enzyme node. Average expression of input and output reactions surrounding metabolite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are calculated at then the difference of these values found to get the relative importance of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Log2 tranformation is then performed to make comparisons between metabolites more possible. Importance scores greater than 0 indicates that metabolite is more likely to be acquired from the environment that produced within the cell. The complete importance algorithm can be found in Materials &amp; Methods. The window is a single excerpt from the full from the bipartite genome-scale metabolic model of </w:t>
      </w:r>
      <w:r>
        <w:rPr>
          <w:rStyle w:val="None A"/>
          <w:rFonts w:ascii="Arial" w:hAnsi="Arial"/>
          <w:i w:val="1"/>
          <w:iCs w:val="1"/>
          <w:sz w:val="22"/>
          <w:szCs w:val="22"/>
          <w:rtl w:val="0"/>
          <w:lang w:val="it-IT"/>
        </w:rPr>
        <w:t>C. difficile</w:t>
      </w:r>
      <w:r>
        <w:rPr>
          <w:rStyle w:val="None A"/>
          <w:rFonts w:ascii="Arial" w:hAnsi="Arial"/>
          <w:sz w:val="22"/>
          <w:szCs w:val="22"/>
          <w:rtl w:val="0"/>
          <w:lang w:val="en-US"/>
        </w:rPr>
        <w:t xml:space="preserve"> str. 630. Shown in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is the largest contiguous section from the network, and the size of enzyme nodes is relative to the number of normalized reads mapping to genes from </w:t>
      </w:r>
      <w:r>
        <w:rPr>
          <w:rStyle w:val="None A"/>
          <w:rFonts w:ascii="Arial" w:hAnsi="Arial"/>
          <w:i w:val="1"/>
          <w:iCs w:val="1"/>
          <w:sz w:val="22"/>
          <w:szCs w:val="22"/>
          <w:rtl w:val="0"/>
          <w:lang w:val="it-IT"/>
        </w:rPr>
        <w:t>C. difficile</w:t>
      </w:r>
      <w:r>
        <w:rPr>
          <w:rStyle w:val="None A"/>
          <w:rFonts w:ascii="Arial" w:hAnsi="Arial"/>
          <w:sz w:val="22"/>
          <w:szCs w:val="22"/>
          <w:rtl w:val="0"/>
          <w:lang w:val="en-US"/>
        </w:rPr>
        <w:t xml:space="preserve"> str. 630 during infection of cefoperazone-treated mice. </w:t>
      </w:r>
      <w:bookmarkEnd w:id="5"/>
      <w:bookmarkStart w:name="MathJaxElement43Frame55" w:id="6"/>
      <w:r>
        <w:rPr>
          <w:rStyle w:val="None A"/>
          <w:rFonts w:ascii="Arial" w:hAnsi="Arial"/>
          <w:b w:val="1"/>
          <w:bCs w:val="1"/>
          <w:sz w:val="22"/>
          <w:szCs w:val="22"/>
          <w:rtl w:val="0"/>
          <w:lang w:val="en-US"/>
        </w:rPr>
        <w:t>(b)</w:t>
      </w:r>
      <w:r>
        <w:rPr>
          <w:rStyle w:val="None A"/>
          <w:rFonts w:ascii="Arial" w:hAnsi="Arial"/>
          <w:sz w:val="22"/>
          <w:szCs w:val="22"/>
          <w:rtl w:val="0"/>
          <w:lang w:val="en-US"/>
        </w:rPr>
        <w:t xml:space="preserve"> Median</w:t>
      </w:r>
      <w:bookmarkEnd w:id="6"/>
      <w:bookmarkStart w:name="MathJaxElement43Frame54" w:id="7"/>
      <w:r>
        <w:rPr>
          <w:rStyle w:val="None A"/>
          <w:rFonts w:ascii="Arial" w:hAnsi="Arial"/>
          <w:sz w:val="22"/>
          <w:szCs w:val="22"/>
          <w:rtl w:val="0"/>
          <w:lang w:val="en-US"/>
        </w:rPr>
        <w:t xml:space="preserve"> </w:t>
      </w:r>
      <w:bookmarkEnd w:id="7"/>
      <w:r>
        <w:rPr>
          <w:rStyle w:val="None A"/>
          <w:rFonts w:ascii="Arial" w:hAnsi="Arial"/>
          <w:sz w:val="22"/>
          <w:szCs w:val="22"/>
          <w:rtl w:val="0"/>
          <w:lang w:val="en-US"/>
        </w:rPr>
        <w:t>s</w:t>
      </w:r>
      <w:bookmarkStart w:name="MathJaxElement43Frame56" w:id="8"/>
      <w:r>
        <w:rPr>
          <w:rStyle w:val="None A"/>
          <w:rFonts w:ascii="Arial" w:hAnsi="Arial"/>
          <w:sz w:val="22"/>
          <w:szCs w:val="22"/>
          <w:rtl w:val="0"/>
          <w:lang w:val="en-US"/>
        </w:rPr>
        <w:t xml:space="preserve">hared </w:t>
      </w:r>
      <w:bookmarkEnd w:id="8"/>
      <w:r>
        <w:rPr>
          <w:rStyle w:val="None A"/>
          <w:rFonts w:ascii="Arial" w:hAnsi="Arial"/>
          <w:sz w:val="22"/>
          <w:szCs w:val="22"/>
          <w:rtl w:val="0"/>
          <w:lang w:val="en-US"/>
        </w:rPr>
        <w:t>significant m</w:t>
      </w:r>
      <w:bookmarkStart w:name="MathJaxElement43Frame57" w:id="9"/>
      <w:r>
        <w:rPr>
          <w:rStyle w:val="None A"/>
          <w:rFonts w:ascii="Arial" w:hAnsi="Arial"/>
          <w:sz w:val="22"/>
          <w:szCs w:val="22"/>
          <w:rtl w:val="0"/>
          <w:lang w:val="fr-FR"/>
        </w:rPr>
        <w:t>etabolites</w:t>
      </w:r>
      <w:r>
        <w:rPr>
          <w:rStyle w:val="None A"/>
          <w:rFonts w:ascii="Arial" w:hAnsi="Arial"/>
          <w:sz w:val="22"/>
          <w:szCs w:val="22"/>
          <w:rtl w:val="0"/>
          <w:lang w:val="en-US"/>
        </w:rPr>
        <w:t xml:space="preserve"> among the 50 highest scoring metabolites from each</w:t>
      </w:r>
      <w:r>
        <w:rPr>
          <w:rStyle w:val="None A"/>
          <w:rFonts w:ascii="Arial" w:hAnsi="Arial"/>
          <w:sz w:val="22"/>
          <w:szCs w:val="22"/>
          <w:rtl w:val="0"/>
          <w:lang w:val="fr-FR"/>
        </w:rPr>
        <w:t xml:space="preserve"> condition (</w:t>
      </w:r>
      <w:r>
        <w:rPr>
          <w:rStyle w:val="None A"/>
          <w:rFonts w:ascii="Arial" w:hAnsi="Arial"/>
          <w:i w:val="1"/>
          <w:iCs w:val="1"/>
          <w:sz w:val="22"/>
          <w:szCs w:val="22"/>
          <w:rtl w:val="0"/>
          <w:lang w:val="fr-FR"/>
        </w:rPr>
        <w:t>P</w:t>
      </w:r>
      <w:r>
        <w:rPr>
          <w:rStyle w:val="None A"/>
          <w:rFonts w:ascii="Arial" w:hAnsi="Arial"/>
          <w:sz w:val="22"/>
          <w:szCs w:val="22"/>
          <w:rtl w:val="0"/>
          <w:lang w:val="fr-FR"/>
        </w:rPr>
        <w:t xml:space="preserve"> &lt; 0.05).</w:t>
      </w:r>
      <w:bookmarkEnd w:id="9"/>
      <w:r>
        <w:rPr>
          <w:rStyle w:val="None A"/>
          <w:rFonts w:ascii="Arial" w:hAnsi="Arial"/>
          <w:sz w:val="22"/>
          <w:szCs w:val="22"/>
          <w:rtl w:val="0"/>
          <w:lang w:val="en-US"/>
        </w:rPr>
        <w:t xml:space="preserve"> Median importance scores and pooled random distribution were recalculated per metabolite using the values from each condition tested. </w:t>
      </w:r>
      <w:bookmarkStart w:name="MathJaxElement43Frame58" w:id="10"/>
      <w:r>
        <w:rPr>
          <w:rStyle w:val="None A"/>
          <w:rFonts w:ascii="Arial" w:hAnsi="Arial"/>
          <w:b w:val="1"/>
          <w:bCs w:val="1"/>
          <w:sz w:val="22"/>
          <w:szCs w:val="22"/>
          <w:rtl w:val="0"/>
          <w:lang w:val="en-US"/>
        </w:rPr>
        <w:t>(c)</w:t>
      </w:r>
      <w:r>
        <w:rPr>
          <w:rStyle w:val="None A"/>
          <w:rFonts w:ascii="Arial" w:hAnsi="Arial"/>
          <w:sz w:val="22"/>
          <w:szCs w:val="22"/>
          <w:rtl w:val="0"/>
          <w:lang w:val="en-US"/>
        </w:rPr>
        <w:t xml:space="preserve"> Distinctly important significant metabolites from each treatment group</w:t>
      </w:r>
      <w:r>
        <w:rPr>
          <w:rStyle w:val="None A"/>
          <w:rFonts w:ascii="Arial" w:hAnsi="Arial"/>
          <w:sz w:val="22"/>
          <w:szCs w:val="22"/>
          <w:rtl w:val="0"/>
          <w:lang w:val="fr-FR"/>
        </w:rPr>
        <w:t xml:space="preserve"> (</w:t>
      </w:r>
      <w:r>
        <w:rPr>
          <w:rStyle w:val="None A"/>
          <w:rFonts w:ascii="Arial" w:hAnsi="Arial"/>
          <w:i w:val="1"/>
          <w:iCs w:val="1"/>
          <w:sz w:val="22"/>
          <w:szCs w:val="22"/>
          <w:rtl w:val="0"/>
          <w:lang w:val="fr-FR"/>
        </w:rPr>
        <w:t>P</w:t>
      </w:r>
      <w:r>
        <w:rPr>
          <w:rStyle w:val="None A"/>
          <w:rFonts w:ascii="Arial" w:hAnsi="Arial"/>
          <w:sz w:val="22"/>
          <w:szCs w:val="22"/>
          <w:rtl w:val="0"/>
          <w:lang w:val="fr-FR"/>
        </w:rPr>
        <w:t xml:space="preserve"> &lt; 0.05)</w:t>
      </w:r>
      <w:r>
        <w:rPr>
          <w:rStyle w:val="None A"/>
          <w:rFonts w:ascii="Arial" w:hAnsi="Arial"/>
          <w:sz w:val="22"/>
          <w:szCs w:val="22"/>
          <w:rtl w:val="0"/>
          <w:lang w:val="en-US"/>
        </w:rPr>
        <w:t>. The top 25 scoring metabolites from each group was cross-referenced against each other group resulting in</w:t>
      </w:r>
      <w:r>
        <w:rPr>
          <w:rStyle w:val="None A"/>
          <w:rFonts w:ascii="Arial" w:hAnsi="Arial"/>
          <w:sz w:val="22"/>
          <w:szCs w:val="22"/>
          <w:rtl w:val="0"/>
          <w:lang w:val="pt-PT"/>
        </w:rPr>
        <w:t xml:space="preserve"> metabolites </w:t>
      </w:r>
      <w:r>
        <w:rPr>
          <w:rStyle w:val="None A"/>
          <w:rFonts w:ascii="Arial" w:hAnsi="Arial"/>
          <w:sz w:val="22"/>
          <w:szCs w:val="22"/>
          <w:rtl w:val="0"/>
          <w:lang w:val="en-US"/>
        </w:rPr>
        <w:t>that are differentially important between environments.</w:t>
      </w:r>
      <w:bookmarkEnd w:id="10"/>
      <w:r>
        <w:rPr>
          <w:rStyle w:val="None A"/>
          <w:rFonts w:ascii="Arial" w:hAnsi="Arial"/>
          <w:sz w:val="22"/>
          <w:szCs w:val="22"/>
          <w:rtl w:val="0"/>
          <w:lang w:val="en-US"/>
        </w:rPr>
        <w:t xml:space="preserve"> Mannitol was not significantly different from it</w:t>
      </w:r>
      <w:r>
        <w:rPr>
          <w:rStyle w:val="None A"/>
          <w:rFonts w:ascii="Arial" w:hAnsi="Arial" w:hint="default"/>
          <w:sz w:val="22"/>
          <w:szCs w:val="22"/>
          <w:rtl w:val="0"/>
          <w:lang w:val="en-US"/>
        </w:rPr>
        <w:t>’</w:t>
      </w:r>
      <w:r>
        <w:rPr>
          <w:rStyle w:val="None A"/>
          <w:rFonts w:ascii="Arial" w:hAnsi="Arial"/>
          <w:sz w:val="22"/>
          <w:szCs w:val="22"/>
          <w:rtl w:val="0"/>
          <w:lang w:val="en-US"/>
        </w:rPr>
        <w:t xml:space="preserve">s associated random probability distribution, however it </w:t>
      </w:r>
      <w:bookmarkStart w:name="MathJaxElement43Frame59" w:id="11"/>
      <w:r>
        <w:rPr>
          <w:rStyle w:val="None A"/>
          <w:rFonts w:ascii="Arial" w:hAnsi="Arial"/>
          <w:sz w:val="22"/>
          <w:szCs w:val="22"/>
          <w:rtl w:val="0"/>
          <w:lang w:val="en-US"/>
        </w:rPr>
        <w:t xml:space="preserve">was the only distinct important metabolite in cefoperazone-treated mice so it was included the analysis. </w:t>
      </w:r>
      <w:r>
        <w:rPr>
          <w:rStyle w:val="None A"/>
          <w:rFonts w:ascii="Arial" w:hAnsi="Arial"/>
          <w:b w:val="1"/>
          <w:bCs w:val="1"/>
          <w:sz w:val="22"/>
          <w:szCs w:val="22"/>
          <w:rtl w:val="0"/>
          <w:lang w:val="it-IT"/>
        </w:rPr>
        <w:t xml:space="preserve">(d) </w:t>
      </w:r>
      <w:r>
        <w:rPr>
          <w:rStyle w:val="None A"/>
          <w:rFonts w:ascii="Arial" w:hAnsi="Arial"/>
          <w:i w:val="1"/>
          <w:iCs w:val="1"/>
          <w:sz w:val="22"/>
          <w:szCs w:val="22"/>
          <w:rtl w:val="0"/>
          <w:lang w:val="it-IT"/>
        </w:rPr>
        <w:t>In vitro</w:t>
      </w:r>
      <w:r>
        <w:rPr>
          <w:rStyle w:val="None A"/>
          <w:rFonts w:ascii="Arial" w:hAnsi="Arial"/>
          <w:sz w:val="22"/>
          <w:szCs w:val="22"/>
          <w:rtl w:val="0"/>
          <w:lang w:val="en-US"/>
        </w:rPr>
        <w:t xml:space="preserve"> growth curves validating identified growth nutrients from network analysis. In black are CDMM controls variations with the indicated constituents. One metabolite that is consistently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and at least one metabolite indicated as distinctly important from each group supported growth significantly more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than No Carbohydrate control.</w:t>
      </w:r>
      <w:bookmarkEnd w:id="11"/>
      <w:r>
        <w:rPr>
          <w:rStyle w:val="None A"/>
          <w:rFonts w:ascii="Arial" w:hAnsi="Arial"/>
          <w:sz w:val="22"/>
          <w:szCs w:val="22"/>
          <w:rtl w:val="0"/>
          <w:lang w:val="en-US"/>
        </w:rPr>
        <w:t xml:space="preserve"> Only those carbon sources that significantly improved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over controls are displayed (remainder are located in Table S6). </w:t>
      </w:r>
      <w:bookmarkStart w:name="MathJaxElement43Frame510" w:id="12"/>
      <w:r>
        <w:rPr>
          <w:rStyle w:val="None A"/>
          <w:rFonts w:ascii="Arial" w:hAnsi="Arial"/>
          <w:sz w:val="22"/>
          <w:szCs w:val="22"/>
          <w:rtl w:val="0"/>
          <w:lang w:val="en-US"/>
        </w:rPr>
        <w:t>Significant differences were calculated using 2-Way ANOVA with Holm-Bonferroni correction.</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Hyperlink.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Hyperlink.2"/>
          <w:rtl w:val="0"/>
          <w:lang w:val="en-US"/>
        </w:rPr>
        <w:t xml:space="preserve"> str. 630 for each of the antibiotic pretreatments.</w:t>
      </w:r>
    </w:p>
    <w:p>
      <w:pPr>
        <w:pStyle w:val="Default"/>
        <w:spacing w:line="480" w:lineRule="auto"/>
        <w:jc w:val="both"/>
        <w:rPr>
          <w:rStyle w:val="Hyperlink.2"/>
        </w:rPr>
      </w:pPr>
    </w:p>
    <w:p>
      <w:pPr>
        <w:pStyle w:val="Default"/>
        <w:spacing w:line="480" w:lineRule="auto"/>
        <w:jc w:val="both"/>
      </w:pPr>
      <w:r>
        <w:rPr>
          <w:rStyle w:val="None A"/>
          <w:rFonts w:ascii="Arial" w:hAnsi="Arial"/>
          <w:b w:val="1"/>
          <w:bCs w:val="1"/>
          <w:sz w:val="22"/>
          <w:szCs w:val="22"/>
          <w:rtl w:val="0"/>
          <w:lang w:val="en-US"/>
        </w:rPr>
        <w:t xml:space="preserve">Supplementary Figure 3 |  Expression of specific KEGG gene families. </w:t>
      </w:r>
      <w:r>
        <w:rPr>
          <w:rStyle w:val="Hyperlink.2"/>
          <w:rtl w:val="0"/>
          <w:lang w:val="en-US"/>
        </w:rPr>
        <w:t>Description. (a). (b). (c).</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Hyperlink.2"/>
          <w:rtl w:val="0"/>
          <w:lang w:val="en-US"/>
        </w:rPr>
        <w:t>Description. A). B). C). Demonstrates value for hypothesis generation.</w:t>
      </w:r>
    </w:p>
    <w:p>
      <w:pPr>
        <w:pStyle w:val="Text body"/>
        <w:spacing w:line="480" w:lineRule="auto"/>
        <w:ind w:left="480" w:hanging="480"/>
        <w:jc w:val="both"/>
        <w:rPr>
          <w:rFonts w:ascii="Arial" w:cs="Arial" w:hAnsi="Arial" w:eastAsia="Arial"/>
          <w:b w:val="1"/>
          <w:bCs w:val="1"/>
          <w:sz w:val="22"/>
          <w:szCs w:val="22"/>
        </w:rPr>
      </w:pPr>
    </w:p>
    <w:p>
      <w:pPr>
        <w:pStyle w:val="Default"/>
        <w:spacing w:line="480" w:lineRule="auto"/>
        <w:ind w:left="480" w:hanging="480"/>
        <w:jc w:val="both"/>
      </w:pPr>
      <w:r>
        <w:rPr>
          <w:rStyle w:val="None A"/>
          <w:rFonts w:ascii="Arial" w:hAnsi="Arial"/>
          <w:b w:val="1"/>
          <w:bCs w:val="1"/>
          <w:sz w:val="22"/>
          <w:szCs w:val="22"/>
          <w:rtl w:val="0"/>
          <w:lang w:val="en-US"/>
        </w:rPr>
        <w:t xml:space="preserve">Supplementary Figure 5 |  Acetate data supporting network output. </w:t>
      </w:r>
      <w:r>
        <w:rPr>
          <w:rStyle w:val="Hyperlink.2"/>
          <w:rtl w:val="0"/>
          <w:lang w:val="en-US"/>
        </w:rPr>
        <w:t>Description.</w:t>
      </w:r>
    </w:p>
    <w:p>
      <w:pPr>
        <w:pStyle w:val="Default"/>
        <w:spacing w:line="480" w:lineRule="auto"/>
        <w:ind w:left="480" w:hanging="480"/>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Acknowledgments</w:t>
      </w:r>
    </w:p>
    <w:p>
      <w:pPr>
        <w:pStyle w:val="Default"/>
        <w:spacing w:line="480" w:lineRule="auto"/>
        <w:jc w:val="both"/>
      </w:pPr>
      <w:r>
        <w:rPr>
          <w:rStyle w:val="Hyperlink.2"/>
          <w:rtl w:val="0"/>
          <w:lang w:val="en-US"/>
        </w:rPr>
        <w:t>The authors would like to acknowledge members of the University of Michigan Germ free Mouse Center and Sequencing Core for their assistance in experimental design, execution, data collection, and analysis.</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Conflict of Interest</w:t>
      </w:r>
    </w:p>
    <w:p>
      <w:pPr>
        <w:pStyle w:val="Default"/>
        <w:spacing w:line="480" w:lineRule="auto"/>
        <w:jc w:val="both"/>
      </w:pPr>
      <w:r>
        <w:rPr>
          <w:rStyle w:val="Hyperlink.2"/>
          <w:rtl w:val="0"/>
          <w:lang w:val="en-US"/>
        </w:rPr>
        <w:t>The authors declare no conflict of interest.</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References</w:t>
      </w:r>
    </w:p>
    <w:p>
      <w:pPr>
        <w:pStyle w:val="Text body"/>
        <w:ind w:left="480" w:hanging="480"/>
      </w:pPr>
      <w:r>
        <w:rPr>
          <w:rStyle w:val="None A"/>
          <w:rFonts w:ascii="Arial" w:hAnsi="Arial"/>
          <w:sz w:val="18"/>
          <w:szCs w:val="18"/>
          <w:rtl w:val="0"/>
          <w:lang w:val="en-US"/>
        </w:rPr>
        <w:t xml:space="preserve">1. 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ind w:left="480" w:hanging="480"/>
      </w:pPr>
      <w:r>
        <w:rPr>
          <w:rStyle w:val="None A"/>
          <w:rFonts w:ascii="Arial" w:hAnsi="Arial"/>
          <w:sz w:val="18"/>
          <w:szCs w:val="18"/>
          <w:rtl w:val="0"/>
          <w:lang w:val="en-US"/>
        </w:rPr>
        <w:t xml:space="preserve">2. 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ind w:left="480" w:hanging="480"/>
      </w:pPr>
      <w:r>
        <w:rPr>
          <w:rStyle w:val="None A"/>
          <w:rFonts w:ascii="Arial" w:hAnsi="Arial"/>
          <w:sz w:val="18"/>
          <w:szCs w:val="18"/>
          <w:rtl w:val="0"/>
          <w:lang w:val="en-US"/>
        </w:rPr>
        <w:t xml:space="preserve">3. 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ind w:left="480" w:hanging="480"/>
      </w:pPr>
      <w:r>
        <w:rPr>
          <w:rStyle w:val="None A"/>
          <w:rFonts w:ascii="Arial" w:hAnsi="Arial"/>
          <w:sz w:val="18"/>
          <w:szCs w:val="18"/>
          <w:rtl w:val="0"/>
          <w:lang w:val="en-US"/>
        </w:rPr>
        <w:t xml:space="preserve">4. 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ind w:left="480" w:hanging="480"/>
      </w:pPr>
      <w:r>
        <w:rPr>
          <w:rStyle w:val="None A"/>
          <w:rFonts w:ascii="Arial" w:hAnsi="Arial"/>
          <w:sz w:val="18"/>
          <w:szCs w:val="18"/>
          <w:rtl w:val="0"/>
          <w:lang w:val="en-US"/>
        </w:rPr>
        <w:t xml:space="preserve">5. 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ind w:left="480" w:hanging="480"/>
      </w:pPr>
      <w:r>
        <w:rPr>
          <w:rStyle w:val="None A"/>
          <w:rFonts w:ascii="Arial" w:hAnsi="Arial"/>
          <w:sz w:val="18"/>
          <w:szCs w:val="18"/>
          <w:rtl w:val="0"/>
          <w:lang w:val="en-US"/>
        </w:rPr>
        <w:t>6. 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ind w:left="480" w:hanging="480"/>
      </w:pPr>
      <w:r>
        <w:rPr>
          <w:rStyle w:val="None A"/>
          <w:rFonts w:ascii="Arial" w:hAnsi="Arial"/>
          <w:sz w:val="18"/>
          <w:szCs w:val="18"/>
          <w:rtl w:val="0"/>
          <w:lang w:val="en-US"/>
        </w:rPr>
        <w:t xml:space="preserve">7. 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pPr>
      <w:r>
        <w:rPr>
          <w:rStyle w:val="None A"/>
          <w:rFonts w:ascii="Arial" w:hAnsi="Arial"/>
          <w:sz w:val="18"/>
          <w:szCs w:val="18"/>
          <w:rtl w:val="0"/>
          <w:lang w:val="en-US"/>
        </w:rPr>
        <w:t xml:space="preserve">8. 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pPr>
      <w:r>
        <w:rPr>
          <w:rStyle w:val="None A"/>
          <w:rFonts w:ascii="Arial" w:hAnsi="Arial"/>
          <w:sz w:val="18"/>
          <w:szCs w:val="18"/>
          <w:rtl w:val="0"/>
          <w:lang w:val="en-US"/>
        </w:rPr>
        <w:t xml:space="preserve">9. 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pPr>
      <w:r>
        <w:rPr>
          <w:rStyle w:val="None A"/>
          <w:rFonts w:ascii="Arial" w:hAnsi="Arial"/>
          <w:sz w:val="18"/>
          <w:szCs w:val="18"/>
          <w:rtl w:val="0"/>
          <w:lang w:val="en-US"/>
        </w:rPr>
        <w:t xml:space="preserve">10. 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ind w:left="480" w:hanging="480"/>
      </w:pPr>
      <w:r>
        <w:rPr>
          <w:rStyle w:val="None A"/>
          <w:rFonts w:ascii="Arial" w:hAnsi="Arial"/>
          <w:sz w:val="18"/>
          <w:szCs w:val="18"/>
          <w:rtl w:val="0"/>
          <w:lang w:val="en-US"/>
        </w:rPr>
        <w:t xml:space="preserve">11. 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ind w:left="480" w:hanging="480"/>
      </w:pPr>
      <w:r>
        <w:rPr>
          <w:rStyle w:val="None A"/>
          <w:rFonts w:ascii="Arial" w:hAnsi="Arial"/>
          <w:sz w:val="18"/>
          <w:szCs w:val="18"/>
          <w:rtl w:val="0"/>
          <w:lang w:val="en-US"/>
        </w:rPr>
        <w:t>12. 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ind w:left="480" w:hanging="480"/>
      </w:pPr>
      <w:r>
        <w:rPr>
          <w:rStyle w:val="None A"/>
          <w:rFonts w:ascii="Arial" w:hAnsi="Arial"/>
          <w:sz w:val="18"/>
          <w:szCs w:val="18"/>
          <w:rtl w:val="0"/>
          <w:lang w:val="en-US"/>
        </w:rPr>
        <w:t xml:space="preserve">13. 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ind w:left="480" w:hanging="480"/>
      </w:pPr>
      <w:r>
        <w:rPr>
          <w:rStyle w:val="None A"/>
          <w:rFonts w:ascii="Arial" w:hAnsi="Arial"/>
          <w:sz w:val="18"/>
          <w:szCs w:val="18"/>
          <w:rtl w:val="0"/>
          <w:lang w:val="en-US"/>
        </w:rPr>
        <w:t xml:space="preserve">14. 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ind w:left="480" w:hanging="480"/>
      </w:pPr>
      <w:r>
        <w:rPr>
          <w:rStyle w:val="None A"/>
          <w:rFonts w:ascii="Arial" w:hAnsi="Arial"/>
          <w:sz w:val="18"/>
          <w:szCs w:val="18"/>
          <w:rtl w:val="0"/>
          <w:lang w:val="en-US"/>
        </w:rPr>
        <w:t xml:space="preserve">15. 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ind w:left="480" w:hanging="480"/>
      </w:pPr>
      <w:r>
        <w:rPr>
          <w:rStyle w:val="None A"/>
          <w:rFonts w:ascii="Arial" w:hAnsi="Arial"/>
          <w:sz w:val="18"/>
          <w:szCs w:val="18"/>
          <w:rtl w:val="0"/>
          <w:lang w:val="en-US"/>
        </w:rPr>
        <w:t xml:space="preserve">16. 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ind w:left="480" w:hanging="480"/>
      </w:pPr>
      <w:r>
        <w:rPr>
          <w:rStyle w:val="None A"/>
          <w:rFonts w:ascii="Arial" w:hAnsi="Arial"/>
          <w:sz w:val="18"/>
          <w:szCs w:val="18"/>
          <w:rtl w:val="0"/>
          <w:lang w:val="en-US"/>
        </w:rPr>
        <w:t xml:space="preserve">17. 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ind w:left="480" w:hanging="480"/>
      </w:pPr>
      <w:r>
        <w:rPr>
          <w:rStyle w:val="None A"/>
          <w:rFonts w:ascii="Arial" w:hAnsi="Arial"/>
          <w:sz w:val="18"/>
          <w:szCs w:val="18"/>
          <w:rtl w:val="0"/>
          <w:lang w:val="en-US"/>
        </w:rPr>
        <w:t xml:space="preserve">18. 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ind w:left="480" w:hanging="480"/>
      </w:pPr>
      <w:r>
        <w:rPr>
          <w:rStyle w:val="None A"/>
          <w:rFonts w:ascii="Arial" w:hAnsi="Arial"/>
          <w:sz w:val="18"/>
          <w:szCs w:val="18"/>
          <w:rtl w:val="0"/>
          <w:lang w:val="en-US"/>
        </w:rPr>
        <w:t xml:space="preserve">19. 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ind w:left="480" w:hanging="480"/>
      </w:pPr>
      <w:r>
        <w:rPr>
          <w:rStyle w:val="None A"/>
          <w:rFonts w:ascii="Arial" w:hAnsi="Arial"/>
          <w:sz w:val="18"/>
          <w:szCs w:val="18"/>
          <w:rtl w:val="0"/>
          <w:lang w:val="en-US"/>
        </w:rPr>
        <w:t xml:space="preserve">20. 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ind w:left="480" w:hanging="480"/>
      </w:pPr>
      <w:r>
        <w:rPr>
          <w:rStyle w:val="None A"/>
          <w:rFonts w:ascii="Arial" w:hAnsi="Arial"/>
          <w:sz w:val="18"/>
          <w:szCs w:val="18"/>
          <w:rtl w:val="0"/>
          <w:lang w:val="en-US"/>
        </w:rPr>
        <w:t xml:space="preserve">21. 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ind w:left="480" w:hanging="480"/>
      </w:pPr>
      <w:r>
        <w:rPr>
          <w:rStyle w:val="None A"/>
          <w:rFonts w:ascii="Arial" w:hAnsi="Arial"/>
          <w:sz w:val="18"/>
          <w:szCs w:val="18"/>
          <w:rtl w:val="0"/>
          <w:lang w:val="en-US"/>
        </w:rPr>
        <w:t xml:space="preserve">22. 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23. 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24. 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25. Hundsberger, T., Braun, V., Weidmann, M., Leukel, P., Sauerborn, M., &amp; von Eichel-Streiber, C. (1997). Transcription </w:t>
        <w:tab/>
        <w:t xml:space="preserve">analysis </w:t>
      </w:r>
      <w:r>
        <w:rPr>
          <w:rStyle w:val="None A"/>
          <w:rFonts w:ascii="Arial" w:hAnsi="Arial"/>
          <w:sz w:val="18"/>
          <w:szCs w:val="18"/>
          <w:rtl w:val="0"/>
          <w:lang w:val="en-US"/>
        </w:rPr>
        <w:t xml:space="preserve">of the genes tcdA-E of the pathogenicity locus of Clostridium difficile. </w:t>
      </w:r>
      <w:r>
        <w:rPr>
          <w:rStyle w:val="None A"/>
          <w:rFonts w:ascii="Arial" w:hAnsi="Arial"/>
          <w:i w:val="1"/>
          <w:iCs w:val="1"/>
          <w:sz w:val="18"/>
          <w:szCs w:val="18"/>
          <w:rtl w:val="0"/>
          <w:lang w:val="en-US"/>
        </w:rPr>
        <w:t xml:space="preserve">European Journal of Biochemistry / </w:t>
        <w:tab/>
        <w:t>FEBS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fr-FR"/>
        </w:rPr>
        <w:t>26. Janoir, C., Den</w:t>
      </w:r>
      <w:r>
        <w:rPr>
          <w:rStyle w:val="None A"/>
          <w:rFonts w:ascii="Arial" w:hAnsi="Arial" w:hint="default"/>
          <w:sz w:val="18"/>
          <w:szCs w:val="18"/>
          <w:rtl w:val="0"/>
          <w:lang w:val="fr-FR"/>
        </w:rPr>
        <w:t>è</w:t>
      </w:r>
      <w:r>
        <w:rPr>
          <w:rStyle w:val="None A"/>
          <w:rFonts w:ascii="Arial" w:hAnsi="Arial"/>
          <w:sz w:val="18"/>
          <w:szCs w:val="18"/>
          <w:rtl w:val="0"/>
          <w:lang w:val="en-US"/>
        </w:rPr>
        <w:t xml:space="preserve">ve, C., Bouttier, S., Barbut, F., Hoys, S., Caleechum, L., &amp; Dupuy, B. (2013). Adaptive strategies and </w:t>
        <w:tab/>
        <w:t xml:space="preserve">pathogenesis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27. 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ind w:left="480" w:hanging="480"/>
      </w:pPr>
      <w:r>
        <w:rPr>
          <w:rStyle w:val="None A"/>
          <w:rFonts w:ascii="Arial" w:hAnsi="Arial"/>
          <w:sz w:val="18"/>
          <w:szCs w:val="18"/>
          <w:rtl w:val="0"/>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ind w:left="480" w:hanging="480"/>
      </w:pPr>
      <w:r>
        <w:rPr>
          <w:rStyle w:val="None A"/>
          <w:rFonts w:ascii="Arial" w:hAnsi="Arial"/>
          <w:sz w:val="18"/>
          <w:szCs w:val="18"/>
          <w:rtl w:val="0"/>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 A"/>
          <w:rFonts w:ascii="Arial" w:hAnsi="Arial"/>
          <w:i w:val="1"/>
          <w:iCs w:val="1"/>
          <w:sz w:val="18"/>
          <w:szCs w:val="18"/>
          <w:rtl w:val="0"/>
          <w:lang w:val="de-DE"/>
        </w:rPr>
        <w:t>PLoS ONE</w:t>
      </w:r>
      <w:r>
        <w:rPr>
          <w:rStyle w:val="None A"/>
          <w:rFonts w:ascii="Arial" w:hAnsi="Arial"/>
          <w:sz w:val="18"/>
          <w:szCs w:val="18"/>
          <w:rtl w:val="0"/>
          <w:lang w:val="en-US"/>
        </w:rPr>
        <w:t xml:space="preserve">, 11(6). </w:t>
        <w:tab/>
        <w:t>http://dx.doi.org/10.1371/journal.pone.0158204</w:t>
      </w:r>
    </w:p>
    <w:p>
      <w:pPr>
        <w:pStyle w:val="Text body"/>
        <w:ind w:left="480" w:hanging="480"/>
        <w:rPr>
          <w:rFonts w:ascii="Arial" w:cs="Arial" w:hAnsi="Arial" w:eastAsia="Arial"/>
          <w:sz w:val="18"/>
          <w:szCs w:val="18"/>
        </w:rPr>
      </w:pPr>
    </w:p>
    <w:p>
      <w:pPr>
        <w:pStyle w:val="Text body"/>
        <w:ind w:left="480" w:hanging="480"/>
      </w:pPr>
      <w:r>
        <w:rPr>
          <w:rStyle w:val="None A"/>
          <w:rFonts w:ascii="Arial" w:hAnsi="Arial"/>
          <w:sz w:val="18"/>
          <w:szCs w:val="18"/>
          <w:rtl w:val="0"/>
          <w:lang w:val="en-US"/>
        </w:rPr>
        <w:t xml:space="preserve">31. 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ind w:left="480" w:hanging="480"/>
      </w:pPr>
      <w:r>
        <w:rPr>
          <w:rStyle w:val="None A"/>
          <w:rFonts w:ascii="Arial" w:hAnsi="Arial"/>
          <w:sz w:val="18"/>
          <w:szCs w:val="18"/>
          <w:rtl w:val="0"/>
          <w:lang w:val="en-US"/>
        </w:rPr>
        <w:t xml:space="preserve">32. 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ind w:left="480" w:hanging="480"/>
      </w:pPr>
      <w:r>
        <w:rPr>
          <w:rStyle w:val="None A"/>
          <w:rFonts w:ascii="Arial" w:hAnsi="Arial"/>
          <w:sz w:val="18"/>
          <w:szCs w:val="18"/>
          <w:rtl w:val="0"/>
          <w:lang w:val="en-US"/>
        </w:rPr>
        <w:t xml:space="preserve">33. Karlsson, S., Burman, L. G., &amp; </w:t>
      </w:r>
      <w:r>
        <w:rPr>
          <w:rStyle w:val="None A"/>
          <w:rFonts w:ascii="Arial" w:hAnsi="Arial" w:hint="default"/>
          <w:sz w:val="18"/>
          <w:szCs w:val="18"/>
          <w:rtl w:val="0"/>
          <w:lang w:val="en-US"/>
        </w:rPr>
        <w:t>Å</w:t>
      </w:r>
      <w:r>
        <w:rPr>
          <w:rStyle w:val="None A"/>
          <w:rFonts w:ascii="Arial" w:hAnsi="Arial"/>
          <w:sz w:val="18"/>
          <w:szCs w:val="18"/>
          <w:rtl w:val="0"/>
          <w:lang w:val="en-US"/>
        </w:rPr>
        <w:t>kerlund, T. (2008). Induction of toxins in Clostridium difficile is associated with dramatic changes of its metabolism. Microbiology, 154(11), 3430</w:t>
      </w:r>
      <w:r>
        <w:rPr>
          <w:rStyle w:val="None A"/>
          <w:rFonts w:ascii="Arial" w:hAnsi="Arial" w:hint="default"/>
          <w:sz w:val="18"/>
          <w:szCs w:val="18"/>
          <w:rtl w:val="0"/>
          <w:lang w:val="en-US"/>
        </w:rPr>
        <w:t>–</w:t>
      </w:r>
      <w:r>
        <w:rPr>
          <w:rStyle w:val="None A"/>
          <w:rFonts w:ascii="Arial" w:hAnsi="Arial"/>
          <w:sz w:val="18"/>
          <w:szCs w:val="18"/>
          <w:rtl w:val="0"/>
          <w:lang w:val="en-US"/>
        </w:rPr>
        <w:t>3436. http://doi.org/10.1099/mic.0.2008/019778-0</w:t>
      </w:r>
    </w:p>
    <w:p>
      <w:pPr>
        <w:pStyle w:val="Text body"/>
        <w:ind w:left="480" w:hanging="480"/>
      </w:pPr>
      <w:r>
        <w:rPr>
          <w:rStyle w:val="None A"/>
          <w:rFonts w:ascii="Arial" w:hAnsi="Arial"/>
          <w:sz w:val="18"/>
          <w:szCs w:val="18"/>
          <w:rtl w:val="0"/>
          <w:lang w:val="en-US"/>
        </w:rPr>
        <w:t xml:space="preserve">34. 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ind w:left="480" w:hanging="480"/>
      </w:pPr>
      <w:r>
        <w:rPr>
          <w:rStyle w:val="None A"/>
          <w:rFonts w:ascii="Arial" w:hAnsi="Arial"/>
          <w:sz w:val="18"/>
          <w:szCs w:val="18"/>
          <w:rtl w:val="0"/>
          <w:lang w:val="en-US"/>
        </w:rPr>
        <w:t xml:space="preserve">35. 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ind w:left="480" w:hanging="480"/>
      </w:pPr>
      <w:r>
        <w:rPr>
          <w:rStyle w:val="None A"/>
          <w:rFonts w:ascii="Arial" w:hAnsi="Arial"/>
          <w:sz w:val="18"/>
          <w:szCs w:val="18"/>
          <w:rtl w:val="0"/>
          <w:lang w:val="en-US"/>
        </w:rPr>
        <w:t xml:space="preserve">36. 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ind w:left="480" w:hanging="480"/>
      </w:pPr>
      <w:r>
        <w:rPr>
          <w:rStyle w:val="None A"/>
          <w:rFonts w:ascii="Arial" w:hAnsi="Arial"/>
          <w:sz w:val="18"/>
          <w:szCs w:val="18"/>
          <w:rtl w:val="0"/>
          <w:lang w:val="en-US"/>
        </w:rPr>
        <w:t xml:space="preserve">37. 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ind w:left="480" w:hanging="480"/>
      </w:pPr>
      <w:r>
        <w:rPr>
          <w:rStyle w:val="None A"/>
          <w:rFonts w:ascii="Arial" w:hAnsi="Arial"/>
          <w:sz w:val="18"/>
          <w:szCs w:val="18"/>
          <w:rtl w:val="0"/>
          <w:lang w:val="en-US"/>
        </w:rPr>
        <w:t>38. Lee, A. S. Y., &amp; Song, K. P. (2005). LuxS/autoinducer-2 quorum sensing molecule regulates transcriptional virulence gene expression in Clostridium difficile. Biochemical and Biophysical Research Communications, 335(3), 659</w:t>
      </w:r>
      <w:r>
        <w:rPr>
          <w:rStyle w:val="None A"/>
          <w:rFonts w:ascii="Arial" w:hAnsi="Arial" w:hint="default"/>
          <w:sz w:val="18"/>
          <w:szCs w:val="18"/>
          <w:rtl w:val="0"/>
          <w:lang w:val="en-US"/>
        </w:rPr>
        <w:t>–</w:t>
      </w:r>
      <w:r>
        <w:rPr>
          <w:rStyle w:val="None A"/>
          <w:rFonts w:ascii="Arial" w:hAnsi="Arial"/>
          <w:sz w:val="18"/>
          <w:szCs w:val="18"/>
          <w:rtl w:val="0"/>
          <w:lang w:val="en-US"/>
        </w:rPr>
        <w:t xml:space="preserve">666. http://doi.org/10.1016/j.bbrc.2005.07.131Leffler,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ind w:left="480" w:hanging="480"/>
      </w:pPr>
      <w:r>
        <w:rPr>
          <w:rStyle w:val="None A"/>
          <w:rFonts w:ascii="Arial" w:hAnsi="Arial"/>
          <w:sz w:val="18"/>
          <w:szCs w:val="18"/>
          <w:rtl w:val="0"/>
          <w:lang w:val="en-US"/>
        </w:rPr>
        <w:t xml:space="preserve">39. 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ind w:left="480" w:hanging="480"/>
      </w:pPr>
      <w:r>
        <w:rPr>
          <w:rStyle w:val="None A"/>
          <w:rFonts w:ascii="Arial" w:hAnsi="Arial"/>
          <w:sz w:val="18"/>
          <w:szCs w:val="18"/>
          <w:rtl w:val="0"/>
          <w:lang w:val="en-US"/>
        </w:rPr>
        <w:t xml:space="preserve">40. 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ind w:left="480" w:hanging="480"/>
      </w:pPr>
      <w:r>
        <w:rPr>
          <w:rStyle w:val="None A"/>
          <w:rFonts w:ascii="Arial" w:hAnsi="Arial"/>
          <w:sz w:val="18"/>
          <w:szCs w:val="18"/>
          <w:rtl w:val="0"/>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ind w:left="480" w:hanging="480"/>
      </w:pPr>
      <w:r>
        <w:rPr>
          <w:rStyle w:val="None A"/>
          <w:rFonts w:ascii="Arial" w:hAnsi="Arial"/>
          <w:sz w:val="18"/>
          <w:szCs w:val="18"/>
          <w:rtl w:val="0"/>
          <w:lang w:val="en-US"/>
        </w:rPr>
        <w:t xml:space="preserve">42. 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ind w:left="480" w:hanging="480"/>
      </w:pPr>
      <w:r>
        <w:rPr>
          <w:rStyle w:val="None A"/>
          <w:rFonts w:ascii="Arial" w:hAnsi="Arial"/>
          <w:sz w:val="18"/>
          <w:szCs w:val="18"/>
          <w:rtl w:val="0"/>
          <w:lang w:val="en-US"/>
        </w:rPr>
        <w:t>43. 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ind w:left="480" w:hanging="480"/>
      </w:pPr>
      <w:r>
        <w:rPr>
          <w:rStyle w:val="None A"/>
          <w:rFonts w:ascii="Arial" w:hAnsi="Arial"/>
          <w:sz w:val="18"/>
          <w:szCs w:val="18"/>
          <w:rtl w:val="0"/>
          <w:lang w:val="en-US"/>
        </w:rPr>
        <w:t>44. 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ind w:left="480" w:hanging="480"/>
      </w:pPr>
      <w:r>
        <w:rPr>
          <w:rStyle w:val="None A"/>
          <w:rFonts w:ascii="Arial" w:hAnsi="Arial"/>
          <w:sz w:val="18"/>
          <w:szCs w:val="18"/>
          <w:rtl w:val="0"/>
          <w:lang w:val="en-US"/>
        </w:rPr>
        <w:t xml:space="preserve">45. 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ind w:left="480" w:hanging="480"/>
      </w:pPr>
      <w:r>
        <w:rPr>
          <w:rStyle w:val="None A"/>
          <w:rFonts w:ascii="Arial" w:hAnsi="Arial"/>
          <w:sz w:val="18"/>
          <w:szCs w:val="18"/>
          <w:rtl w:val="0"/>
          <w:lang w:val="en-US"/>
        </w:rPr>
        <w:t>46. Ma, H. W., &amp; Zeng, A. P. (2003). The connectivity structure, giant strong component and centrality of metabolic networks. Bioinformatics, 19(11), 1423</w:t>
      </w:r>
      <w:r>
        <w:rPr>
          <w:rStyle w:val="None A"/>
          <w:rFonts w:ascii="Arial" w:hAnsi="Arial" w:hint="default"/>
          <w:sz w:val="18"/>
          <w:szCs w:val="18"/>
          <w:rtl w:val="0"/>
          <w:lang w:val="en-US"/>
        </w:rPr>
        <w:t>–</w:t>
      </w:r>
      <w:r>
        <w:rPr>
          <w:rStyle w:val="None A"/>
          <w:rFonts w:ascii="Arial" w:hAnsi="Arial"/>
          <w:sz w:val="18"/>
          <w:szCs w:val="18"/>
          <w:rtl w:val="0"/>
          <w:lang w:val="en-US"/>
        </w:rPr>
        <w:t xml:space="preserve">1430. http://doi.org/10.1093/bioinformatics/btg177Martin,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ind w:left="480" w:hanging="480"/>
      </w:pPr>
      <w:r>
        <w:rPr>
          <w:rStyle w:val="None A"/>
          <w:rFonts w:ascii="Arial" w:hAnsi="Arial"/>
          <w:sz w:val="18"/>
          <w:szCs w:val="18"/>
          <w:rtl w:val="0"/>
          <w:lang w:val="en-US"/>
        </w:rPr>
        <w:t>47. 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ind w:left="480" w:hanging="480"/>
      </w:pPr>
      <w:r>
        <w:rPr>
          <w:rStyle w:val="None A"/>
          <w:rFonts w:ascii="Arial" w:hAnsi="Arial"/>
          <w:sz w:val="18"/>
          <w:szCs w:val="18"/>
          <w:rtl w:val="0"/>
          <w:lang w:val="en-US"/>
        </w:rPr>
        <w:t>48. 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ind w:left="480" w:hanging="480"/>
      </w:pPr>
      <w:r>
        <w:rPr>
          <w:rStyle w:val="None A"/>
          <w:rFonts w:ascii="Arial" w:hAnsi="Arial"/>
          <w:sz w:val="18"/>
          <w:szCs w:val="18"/>
          <w:rtl w:val="0"/>
          <w:lang w:val="en-US"/>
        </w:rPr>
        <w:t>49. Martin, M. J., Clare, S., Goulding, D., Faulds-Pain, A., Barquist, L., Browne, H. P., &amp; Wren, B. W. (2013). The agr locus regulates virulence and colonization genes in clostridium difficile 027. Journal of Bacteriology, 195(16), 3672</w:t>
      </w:r>
      <w:r>
        <w:rPr>
          <w:rStyle w:val="None A"/>
          <w:rFonts w:ascii="Arial" w:hAnsi="Arial" w:hint="default"/>
          <w:sz w:val="18"/>
          <w:szCs w:val="18"/>
          <w:rtl w:val="0"/>
          <w:lang w:val="en-US"/>
        </w:rPr>
        <w:t>–</w:t>
      </w:r>
      <w:r>
        <w:rPr>
          <w:rStyle w:val="None A"/>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ind w:left="480" w:hanging="480"/>
      </w:pPr>
      <w:r>
        <w:rPr>
          <w:rStyle w:val="None A"/>
          <w:rFonts w:ascii="Arial" w:hAnsi="Arial"/>
          <w:sz w:val="18"/>
          <w:szCs w:val="18"/>
          <w:rtl w:val="0"/>
          <w:lang w:val="en-US"/>
        </w:rPr>
        <w:t>50. Matsumoto, M., Kibe, R., Ooga, T., Aiba, Y., Kurihara, S., Sawaki, E., &amp; Benno, Y. (2012). Impact of intestinal microbiota on intestinal luminal metabolome. Scientific Reports, 2, 233. http://doi.org/10.1038/srep00233</w:t>
      </w:r>
    </w:p>
    <w:p>
      <w:pPr>
        <w:pStyle w:val="Text body"/>
        <w:ind w:left="480" w:hanging="480"/>
      </w:pPr>
      <w:r>
        <w:rPr>
          <w:rStyle w:val="None A"/>
          <w:rFonts w:ascii="Arial" w:hAnsi="Arial"/>
          <w:sz w:val="18"/>
          <w:szCs w:val="18"/>
          <w:rtl w:val="0"/>
          <w:lang w:val="en-US"/>
        </w:rPr>
        <w:t>51. Matsuno, K., &amp; Sonenshein, A. L. (1999). Role of SpoVG in asymmetric septation in Bacillus subtilis. Journal of Bacteriology, 181(11), 3392</w:t>
      </w:r>
      <w:r>
        <w:rPr>
          <w:rStyle w:val="None A"/>
          <w:rFonts w:ascii="Arial" w:hAnsi="Arial" w:hint="default"/>
          <w:sz w:val="18"/>
          <w:szCs w:val="18"/>
          <w:rtl w:val="0"/>
          <w:lang w:val="en-US"/>
        </w:rPr>
        <w:t>–</w:t>
      </w:r>
      <w:r>
        <w:rPr>
          <w:rStyle w:val="None A"/>
          <w:rFonts w:ascii="Arial" w:hAnsi="Arial"/>
          <w:sz w:val="18"/>
          <w:szCs w:val="18"/>
          <w:rtl w:val="0"/>
          <w:lang w:val="en-US"/>
        </w:rPr>
        <w:t>3401.</w:t>
      </w:r>
    </w:p>
    <w:p>
      <w:pPr>
        <w:pStyle w:val="Text body"/>
        <w:ind w:left="480" w:hanging="480"/>
      </w:pPr>
      <w:r>
        <w:rPr>
          <w:rStyle w:val="None A"/>
          <w:rFonts w:ascii="Arial" w:hAnsi="Arial"/>
          <w:sz w:val="18"/>
          <w:szCs w:val="18"/>
          <w:rtl w:val="0"/>
          <w:lang w:val="en-US"/>
        </w:rPr>
        <w:t xml:space="preserve">52. 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ind w:left="480" w:hanging="480"/>
      </w:pPr>
      <w:r>
        <w:rPr>
          <w:rStyle w:val="None A"/>
          <w:rFonts w:ascii="Arial" w:hAnsi="Arial"/>
          <w:sz w:val="18"/>
          <w:szCs w:val="18"/>
          <w:rtl w:val="0"/>
          <w:lang w:val="en-US"/>
        </w:rPr>
        <w:t xml:space="preserve">53. 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ind w:left="480" w:hanging="480"/>
      </w:pPr>
      <w:r>
        <w:rPr>
          <w:rStyle w:val="None A"/>
          <w:rFonts w:ascii="Arial" w:hAnsi="Arial"/>
          <w:sz w:val="18"/>
          <w:szCs w:val="18"/>
          <w:rtl w:val="0"/>
          <w:lang w:val="en-US"/>
        </w:rPr>
        <w:t>54. 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ind w:left="480" w:hanging="480"/>
      </w:pPr>
      <w:r>
        <w:rPr>
          <w:rStyle w:val="None A"/>
          <w:rFonts w:ascii="Arial" w:hAnsi="Arial"/>
          <w:sz w:val="18"/>
          <w:szCs w:val="18"/>
          <w:rtl w:val="0"/>
          <w:lang w:val="en-US"/>
        </w:rPr>
        <w:t xml:space="preserve">55. 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ind w:left="480" w:hanging="480"/>
      </w:pPr>
      <w:r>
        <w:rPr>
          <w:rStyle w:val="None A"/>
          <w:rFonts w:ascii="Arial" w:hAnsi="Arial"/>
          <w:sz w:val="18"/>
          <w:szCs w:val="18"/>
          <w:rtl w:val="0"/>
          <w:lang w:val="en-US"/>
        </w:rPr>
        <w:t xml:space="preserve">56. 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ind w:left="480" w:hanging="480"/>
      </w:pPr>
      <w:r>
        <w:rPr>
          <w:rStyle w:val="None A"/>
          <w:rFonts w:ascii="Arial" w:hAnsi="Arial"/>
          <w:sz w:val="18"/>
          <w:szCs w:val="18"/>
          <w:rtl w:val="0"/>
          <w:lang w:val="en-US"/>
        </w:rPr>
        <w:t xml:space="preserve">57. 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ind w:left="480" w:hanging="480"/>
      </w:pPr>
      <w:r>
        <w:rPr>
          <w:rStyle w:val="None A"/>
          <w:rFonts w:ascii="Arial" w:hAnsi="Arial"/>
          <w:sz w:val="18"/>
          <w:szCs w:val="18"/>
          <w:rtl w:val="0"/>
          <w:lang w:val="en-US"/>
        </w:rPr>
        <w:t xml:space="preserve">58. 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ind w:left="480" w:hanging="480"/>
      </w:pPr>
      <w:r>
        <w:rPr>
          <w:rStyle w:val="None A"/>
          <w:rFonts w:ascii="Arial" w:hAnsi="Arial"/>
          <w:sz w:val="18"/>
          <w:szCs w:val="18"/>
          <w:rtl w:val="0"/>
          <w:lang w:val="en-US"/>
        </w:rPr>
        <w:t>59. 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ind w:left="480" w:hanging="480"/>
      </w:pPr>
      <w:r>
        <w:rPr>
          <w:rStyle w:val="None A"/>
          <w:rFonts w:ascii="Arial" w:hAnsi="Arial"/>
          <w:sz w:val="18"/>
          <w:szCs w:val="18"/>
          <w:rtl w:val="0"/>
          <w:lang w:val="en-US"/>
        </w:rPr>
        <w:t>60. Potapov, A. P., Voss, N., Sasse, N., &amp; Wingender, E. (2005). Topology of mammalian transcription networks. Genome Informatics. International Conference on Genome Informatics, 16(2), 270</w:t>
      </w:r>
      <w:r>
        <w:rPr>
          <w:rStyle w:val="None A"/>
          <w:rFonts w:ascii="Arial" w:hAnsi="Arial" w:hint="default"/>
          <w:sz w:val="18"/>
          <w:szCs w:val="18"/>
          <w:rtl w:val="0"/>
          <w:lang w:val="en-US"/>
        </w:rPr>
        <w:t>–</w:t>
      </w:r>
      <w:r>
        <w:rPr>
          <w:rStyle w:val="None A"/>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ind w:left="480" w:hanging="480"/>
      </w:pPr>
      <w:r>
        <w:rPr>
          <w:rStyle w:val="None A"/>
          <w:rFonts w:ascii="Arial" w:hAnsi="Arial"/>
          <w:sz w:val="18"/>
          <w:szCs w:val="18"/>
          <w:rtl w:val="0"/>
          <w:lang w:val="en-US"/>
        </w:rPr>
        <w:t xml:space="preserve">61. 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ind w:left="480" w:hanging="480"/>
      </w:pPr>
      <w:r>
        <w:rPr>
          <w:rStyle w:val="None A"/>
          <w:rFonts w:ascii="Arial" w:hAnsi="Arial"/>
          <w:sz w:val="18"/>
          <w:szCs w:val="18"/>
          <w:rtl w:val="0"/>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ind w:left="480" w:hanging="480"/>
      </w:pPr>
      <w:r>
        <w:rPr>
          <w:rStyle w:val="None A"/>
          <w:rFonts w:ascii="Arial" w:hAnsi="Arial"/>
          <w:sz w:val="18"/>
          <w:szCs w:val="18"/>
          <w:rtl w:val="0"/>
          <w:lang w:val="en-US"/>
        </w:rPr>
        <w:t xml:space="preserve">63. 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ind w:left="480" w:hanging="480"/>
      </w:pPr>
      <w:r>
        <w:rPr>
          <w:rStyle w:val="None A"/>
          <w:rFonts w:ascii="Arial" w:hAnsi="Arial"/>
          <w:sz w:val="18"/>
          <w:szCs w:val="18"/>
          <w:rtl w:val="0"/>
          <w:lang w:val="en-US"/>
        </w:rPr>
        <w:t xml:space="preserve">64. 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ind w:left="480" w:hanging="480"/>
      </w:pPr>
      <w:r>
        <w:rPr>
          <w:rStyle w:val="None A"/>
          <w:rFonts w:ascii="Arial" w:hAnsi="Arial"/>
          <w:sz w:val="18"/>
          <w:szCs w:val="18"/>
          <w:rtl w:val="0"/>
          <w:lang w:val="en-US"/>
        </w:rPr>
        <w:t>65. Suthers, P. F., Dasika, M. S., Kumar, V. S., Denisov, G., Glass, J. I., &amp; Maranas, C. D. (2009). Genome-scale metabolic reconstruction Of mycoplasma genitalium, iPS189. PLoS Computational Biology, 5(2). http://doi.org/10.1371/journal.pcbi.1000285</w:t>
      </w:r>
    </w:p>
    <w:p>
      <w:pPr>
        <w:pStyle w:val="Text body"/>
        <w:ind w:left="480" w:hanging="480"/>
      </w:pPr>
      <w:r>
        <w:rPr>
          <w:rStyle w:val="None A"/>
          <w:rFonts w:ascii="Arial" w:hAnsi="Arial"/>
          <w:sz w:val="18"/>
          <w:szCs w:val="18"/>
          <w:rtl w:val="0"/>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ind w:left="480" w:hanging="480"/>
      </w:pPr>
      <w:r>
        <w:rPr>
          <w:rStyle w:val="None A"/>
          <w:rFonts w:ascii="Arial" w:hAnsi="Arial"/>
          <w:sz w:val="18"/>
          <w:szCs w:val="18"/>
          <w:rtl w:val="0"/>
          <w:lang w:val="en-US"/>
        </w:rPr>
        <w:t xml:space="preserve">67. 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ind w:left="480" w:hanging="480"/>
      </w:pPr>
      <w:r>
        <w:rPr>
          <w:rStyle w:val="None A"/>
          <w:rFonts w:ascii="Arial" w:hAnsi="Arial"/>
          <w:sz w:val="18"/>
          <w:szCs w:val="18"/>
          <w:rtl w:val="0"/>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ind w:left="480" w:hanging="480"/>
      </w:pPr>
      <w:r>
        <w:rPr>
          <w:rStyle w:val="None A"/>
          <w:rFonts w:ascii="Arial" w:hAnsi="Arial"/>
          <w:sz w:val="18"/>
          <w:szCs w:val="18"/>
          <w:rtl w:val="0"/>
          <w:lang w:val="en-US"/>
        </w:rPr>
        <w:t xml:space="preserve">69. 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ind w:left="480" w:hanging="480"/>
      </w:pPr>
      <w:r>
        <w:rPr>
          <w:rStyle w:val="None A"/>
          <w:rFonts w:ascii="Arial" w:hAnsi="Arial"/>
          <w:sz w:val="18"/>
          <w:szCs w:val="18"/>
          <w:rtl w:val="0"/>
          <w:lang w:val="en-US"/>
        </w:rPr>
        <w:t xml:space="preserve">70. 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ind w:left="480" w:hanging="480"/>
      </w:pPr>
      <w:r>
        <w:rPr>
          <w:rStyle w:val="None A"/>
          <w:rFonts w:ascii="Arial" w:hAnsi="Arial"/>
          <w:sz w:val="18"/>
          <w:szCs w:val="18"/>
          <w:rtl w:val="0"/>
          <w:lang w:val="en-US"/>
        </w:rPr>
        <w:t xml:space="preserve">71. 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pacing w:line="100" w:lineRule="atLeast"/>
        <w:ind w:left="480" w:hanging="480"/>
        <w:jc w:val="both"/>
      </w:pPr>
      <w:r>
        <w:rPr>
          <w:rStyle w:val="None A"/>
          <w:rFonts w:ascii="Arial" w:hAnsi="Arial"/>
          <w:sz w:val="18"/>
          <w:szCs w:val="18"/>
          <w:rtl w:val="0"/>
          <w:lang w:val="en-US"/>
        </w:rPr>
        <w:t>72. 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pacing w:line="100" w:lineRule="atLeast"/>
        <w:ind w:left="480" w:hanging="480"/>
        <w:jc w:val="both"/>
      </w:pPr>
      <w:r>
        <w:rPr>
          <w:rStyle w:val="None A"/>
          <w:rFonts w:ascii="Arial" w:hAnsi="Arial"/>
          <w:sz w:val="18"/>
          <w:szCs w:val="18"/>
          <w:rtl w:val="0"/>
          <w:lang w:val="en-US"/>
        </w:rPr>
        <w:t xml:space="preserve">73. 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bookmarkEnd w:id="12"/>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M Roman Unslanted 10">
    <w:charset w:val="00"/>
    <w:family w:val="roman"/>
    <w:pitch w:val="default"/>
  </w:font>
  <w:font w:name="PT Serif Captio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78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0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2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4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6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38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0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2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49"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ffffff"/>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numbering" w:styleId="Imported Style 1">
    <w:name w:val="Imported Style 1"/>
    <w:pPr>
      <w:numPr>
        <w:numId w:val="1"/>
      </w:numPr>
    </w:pPr>
  </w:style>
  <w:style w:type="character" w:styleId="Hyperlink.0">
    <w:name w:val="Hyperlink.0"/>
    <w:basedOn w:val="None A"/>
    <w:next w:val="Hyperlink.0"/>
    <w:rPr>
      <w:rFonts w:ascii="Arial" w:cs="Arial" w:hAnsi="Arial" w:eastAsia="Arial"/>
      <w:caps w:val="0"/>
      <w:smallCaps w:val="0"/>
      <w:color w:val="000000"/>
      <w:spacing w:val="0"/>
      <w:sz w:val="22"/>
      <w:szCs w:val="22"/>
      <w:u w:val="single" w:color="000000"/>
    </w:rPr>
  </w:style>
  <w:style w:type="character" w:styleId="Hyperlink.1">
    <w:name w:val="Hyperlink.1"/>
    <w:basedOn w:val="None A"/>
    <w:next w:val="Hyperlink.1"/>
    <w:rPr>
      <w:rFonts w:ascii="Arial" w:cs="Arial" w:hAnsi="Arial" w:eastAsia="Arial"/>
      <w:color w:val="000080"/>
      <w:sz w:val="22"/>
      <w:szCs w:val="22"/>
      <w:u w:val="single" w:color="000080"/>
    </w:rPr>
  </w:style>
  <w:style w:type="character" w:styleId="Hyperlink.2">
    <w:name w:val="Hyperlink.2"/>
    <w:basedOn w:val="None A"/>
    <w:next w:val="Hyperlink.2"/>
    <w:rPr>
      <w:rFonts w:ascii="Arial" w:cs="Arial" w:hAnsi="Arial" w:eastAsia="Arial"/>
      <w:sz w:val="22"/>
      <w:szCs w:val="22"/>
    </w:rPr>
  </w:style>
  <w:style w:type="paragraph" w:styleId="Text body">
    <w:name w:val="Text body"/>
    <w:next w:val="Text body"/>
    <w:pPr>
      <w:keepNext w:val="1"/>
      <w:keepLines w:val="0"/>
      <w:pageBreakBefore w:val="0"/>
      <w:widowControl w:val="0"/>
      <w:shd w:val="clear" w:color="auto" w:fill="ffffff"/>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