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color="2c2d30"/>
          <w:rtl w:val="0"/>
          <w:lang w:val="en-US"/>
        </w:rPr>
        <w:t>Clostridium difficile</w:t>
      </w:r>
      <w:r>
        <w:rPr>
          <w:rStyle w:val="None A"/>
          <w:rFonts w:ascii="Arial" w:hAnsi="Arial"/>
          <w:color w:val="2c2d30"/>
          <w:sz w:val="22"/>
          <w:szCs w:val="22"/>
          <w:u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w:t>
      </w:r>
      <w:r>
        <w:rPr>
          <w:rStyle w:val="None A"/>
          <w:rFonts w:ascii="Arial" w:hAnsi="Arial"/>
          <w:sz w:val="22"/>
          <w:szCs w:val="22"/>
          <w:rtl w:val="0"/>
          <w:lang w:val="en-US"/>
        </w:rPr>
        <w:t xml:space="preserve">systems </w:t>
      </w:r>
      <w:r>
        <w:rPr>
          <w:rStyle w:val="None A"/>
          <w:rFonts w:ascii="Arial" w:hAnsi="Arial"/>
          <w:sz w:val="22"/>
          <w:szCs w:val="22"/>
          <w:rtl w:val="0"/>
          <w:lang w:val="en-US"/>
        </w:rPr>
        <w:t xml:space="preserve">(PTS)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w:t>
      </w:r>
      <w:r>
        <w:rPr>
          <w:rStyle w:val="None A"/>
          <w:rFonts w:ascii="Arial" w:hAnsi="Arial"/>
          <w:sz w:val="22"/>
          <w:szCs w:val="22"/>
          <w:rtl w:val="0"/>
          <w:lang w:val="en-US"/>
        </w:rPr>
        <w:t xml:space="preserve"> (Theriot, 2013; Jump, 2014)</w:t>
      </w:r>
      <w:r>
        <w:rPr>
          <w:rStyle w:val="None A"/>
          <w:rFonts w:ascii="Arial" w:hAnsi="Arial"/>
          <w:sz w:val="22"/>
          <w:szCs w:val="22"/>
          <w:rtl w:val="0"/>
          <w:lang w:val="en-US"/>
        </w:rPr>
        <w:t xml:space="preserve">;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s metabolism and which substrates are preferred by the organism (Patil, 2005</w:t>
      </w:r>
      <w:r>
        <w:rPr>
          <w:rStyle w:val="None A"/>
          <w:rFonts w:ascii="Arial" w:hAnsi="Arial"/>
          <w:sz w:val="22"/>
          <w:szCs w:val="22"/>
          <w:rtl w:val="0"/>
          <w:lang w:val="en-US"/>
        </w:rPr>
        <w:t>; Borenstein, 2008; Suthers, 2009)</w:t>
      </w:r>
      <w:r>
        <w:rPr>
          <w:rStyle w:val="None A"/>
          <w:rFonts w:ascii="Arial" w:hAnsi="Arial"/>
          <w:sz w:val="22"/>
          <w:szCs w:val="22"/>
          <w:rtl w:val="0"/>
          <w:lang w:val="en-US"/>
        </w:rPr>
        <w:t xml:space="preserve">.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Fig. </w:t>
      </w:r>
      <w:r>
        <w:rPr>
          <w:rStyle w:val="None A"/>
          <w:rFonts w:ascii="Arial" w:hAnsi="Arial"/>
          <w:sz w:val="22"/>
          <w:szCs w:val="22"/>
          <w:rtl w:val="0"/>
          <w:lang w:val="en-US"/>
        </w:rPr>
        <w:t>2A</w:t>
      </w:r>
      <w:r>
        <w:rPr>
          <w:rStyle w:val="None A"/>
          <w:rFonts w:ascii="Arial" w:hAnsi="Arial"/>
          <w:sz w:val="22"/>
          <w:szCs w:val="22"/>
          <w:rtl w:val="0"/>
          <w:lang w:val="en-US"/>
        </w:rPr>
        <w:t>).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were detected in gnotobiotic mice than in the antibiotic treated mice (Fig. </w:t>
      </w:r>
      <w:r>
        <w:rPr>
          <w:rStyle w:val="None A"/>
          <w:rFonts w:ascii="Arial" w:hAnsi="Arial"/>
          <w:sz w:val="22"/>
          <w:szCs w:val="22"/>
          <w:rtl w:val="0"/>
          <w:lang w:val="en-US"/>
        </w:rPr>
        <w:t>2B</w:t>
      </w:r>
      <w:r>
        <w:rPr>
          <w:rStyle w:val="None A"/>
          <w:rFonts w:ascii="Arial" w:hAnsi="Arial"/>
          <w:sz w:val="22"/>
          <w:szCs w:val="22"/>
          <w:rtl w:val="0"/>
          <w:lang w:val="en-US"/>
        </w:rPr>
        <w:t xml:space="preserve">). The spore densities in both streptomycin and clindamycin-treated mice were significantly higher than that in cefoperazone-treated mice. There was significantly more toxin titer in gnotobiotic animals than any other colonized group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but toxin titer also varied between antibiotic treatment groups (Fig. </w:t>
      </w:r>
      <w:r>
        <w:rPr>
          <w:rStyle w:val="None A"/>
          <w:rFonts w:ascii="Arial" w:hAnsi="Arial"/>
          <w:sz w:val="22"/>
          <w:szCs w:val="22"/>
          <w:rtl w:val="0"/>
          <w:lang w:val="en-US"/>
        </w:rPr>
        <w:t>2C</w:t>
      </w:r>
      <w:r>
        <w:rPr>
          <w:rStyle w:val="None A"/>
          <w:rFonts w:ascii="Arial" w:hAnsi="Arial"/>
          <w:sz w:val="22"/>
          <w:szCs w:val="22"/>
          <w:rtl w:val="0"/>
          <w:lang w:val="en-US"/>
        </w:rPr>
        <w:t xml:space="preserve">).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 Because of this, we chose to focus our analysis on the antibiotic-treated conventionally-raised mice.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shd w:val="clear" w:color="auto" w:fill="00ffff"/>
          <w:rtl w:val="0"/>
          <w:lang w:val="en-US"/>
        </w:rPr>
        <w:t>C. difficile</w:t>
      </w:r>
      <w:r>
        <w:rPr>
          <w:rStyle w:val="None A"/>
          <w:rFonts w:ascii="Arial" w:hAnsi="Arial"/>
          <w:b w:val="1"/>
          <w:bCs w:val="1"/>
          <w:sz w:val="22"/>
          <w:szCs w:val="22"/>
          <w:shd w:val="clear" w:color="auto" w:fill="00ffff"/>
          <w:rtl w:val="0"/>
          <w:lang w:val="en-US"/>
        </w:rPr>
        <w:t xml:space="preserve"> displays flexible expression genes for sigma factors related to metabolism and pathogenesis across antibiotic pretreatments.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pretreatment models. To narrow our analysis of the transcriptomic data, we chose to focus on genes that code for sigma factors, sporulation, pathogenesis, and quorum sensing.</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sigma factors are the master regulators of transcription and a subset have been shown to respond to environmental nutrient concentrations </w:t>
      </w:r>
      <w:r>
        <w:rPr>
          <w:rStyle w:val="None A"/>
          <w:rFonts w:ascii="Arial" w:hAnsi="Arial"/>
          <w:sz w:val="22"/>
          <w:szCs w:val="22"/>
          <w:rtl w:val="0"/>
          <w:lang w:val="en-US"/>
        </w:rPr>
        <w:t xml:space="preserve">(Antunes, 2012; </w:t>
      </w:r>
      <w:r>
        <w:rPr>
          <w:rStyle w:val="None A"/>
          <w:rFonts w:ascii="Arial" w:hAnsi="Arial"/>
          <w:sz w:val="22"/>
          <w:szCs w:val="22"/>
          <w:rtl w:val="0"/>
          <w:lang w:val="en-US"/>
        </w:rPr>
        <w:t>Fimlaid, 2013; Bouillaut, 2015</w:t>
      </w:r>
      <w:r>
        <w:rPr>
          <w:rStyle w:val="None A"/>
          <w:rFonts w:ascii="Arial" w:hAnsi="Arial"/>
          <w:sz w:val="22"/>
          <w:szCs w:val="22"/>
          <w:rtl w:val="0"/>
          <w:lang w:val="en-US"/>
        </w:rPr>
        <w:t>;</w:t>
      </w:r>
      <w:r>
        <w:rPr>
          <w:rStyle w:val="None A"/>
          <w:rFonts w:ascii="Arial" w:hAnsi="Arial"/>
          <w:sz w:val="22"/>
          <w:szCs w:val="22"/>
          <w:rtl w:val="0"/>
          <w:lang w:val="en-US"/>
        </w:rPr>
        <w:t xml:space="preserve"> Donnelly, 2016</w:t>
      </w:r>
      <w:r>
        <w:rPr>
          <w:rStyle w:val="None A"/>
          <w:rFonts w:ascii="Arial" w:hAnsi="Arial"/>
          <w:sz w:val="22"/>
          <w:szCs w:val="22"/>
          <w:rtl w:val="0"/>
          <w:lang w:val="en-US"/>
        </w:rPr>
        <w:t>)</w:t>
      </w:r>
      <w:r>
        <w:rPr>
          <w:rStyle w:val="None A"/>
          <w:rFonts w:ascii="Arial" w:hAnsi="Arial"/>
          <w:sz w:val="22"/>
          <w:szCs w:val="22"/>
          <w:rtl w:val="0"/>
          <w:lang w:val="en-US"/>
        </w:rPr>
        <w:t xml:space="preserve">. The global nutritional regulator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transcript was highly expressed in each condition, despite apparent differences in toxin and spore production (Fig. </w:t>
      </w:r>
      <w:r>
        <w:rPr>
          <w:rStyle w:val="None A"/>
          <w:rFonts w:ascii="Arial" w:hAnsi="Arial"/>
          <w:sz w:val="22"/>
          <w:szCs w:val="22"/>
          <w:rtl w:val="0"/>
          <w:lang w:val="en-US"/>
        </w:rPr>
        <w:t>3</w:t>
      </w:r>
      <w:r>
        <w:rPr>
          <w:rStyle w:val="None A"/>
          <w:rFonts w:ascii="Arial" w:hAnsi="Arial"/>
          <w:sz w:val="22"/>
          <w:szCs w:val="22"/>
          <w:rtl w:val="0"/>
          <w:lang w:val="en-US"/>
        </w:rPr>
        <w:t xml:space="preserve">A). Canonically,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a strong negative regulator of toxin production and sporulation and could demonstrate a more complex regulatory network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integrates multiple environment nutrient signals. Save for a few instances, it appeared that expression the sigma factors of interest were generally higher in cefoperazone-treated animals. The largest contrasts were seen in expression of </w:t>
      </w:r>
      <w:r>
        <w:rPr>
          <w:rStyle w:val="None A"/>
          <w:rFonts w:ascii="Arial" w:hAnsi="Arial"/>
          <w:i w:val="1"/>
          <w:iCs w:val="1"/>
          <w:sz w:val="22"/>
          <w:szCs w:val="22"/>
          <w:rtl w:val="0"/>
          <w:lang w:val="en-US"/>
        </w:rPr>
        <w:t>sigE</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sigK, which are involved in sporulation and </w:t>
      </w:r>
      <w:r>
        <w:rPr>
          <w:rStyle w:val="None A"/>
          <w:rFonts w:ascii="Arial" w:hAnsi="Arial"/>
          <w:sz w:val="22"/>
          <w:szCs w:val="22"/>
          <w:rtl w:val="0"/>
          <w:lang w:val="en-US"/>
        </w:rPr>
        <w:t xml:space="preserve">were approximately 10-fold less expressed in cefoperazone than the others. This agrees with the measured differences in CFU due to spores (Fig. </w:t>
      </w:r>
      <w:r>
        <w:rPr>
          <w:rStyle w:val="None A"/>
          <w:rFonts w:ascii="Arial" w:hAnsi="Arial"/>
          <w:sz w:val="22"/>
          <w:szCs w:val="22"/>
          <w:rtl w:val="0"/>
          <w:lang w:val="en-US"/>
        </w:rPr>
        <w:t>2B</w:t>
      </w:r>
      <w:r>
        <w:rPr>
          <w:rStyle w:val="None A"/>
          <w:rFonts w:ascii="Arial" w:hAnsi="Arial"/>
          <w:sz w:val="22"/>
          <w:szCs w:val="22"/>
          <w:rtl w:val="0"/>
          <w:lang w:val="en-US"/>
        </w:rPr>
        <w:t>) where cefoperazone pretreatment resulted in delayed sporulation.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the discrepancies in sporulation, we chose to quantify specific changes in expression within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(Fig. </w:t>
      </w:r>
      <w:r>
        <w:rPr>
          <w:rStyle w:val="None A"/>
          <w:rFonts w:ascii="Arial" w:hAnsi="Arial"/>
          <w:sz w:val="22"/>
          <w:szCs w:val="22"/>
          <w:rtl w:val="0"/>
          <w:lang w:val="en-US"/>
        </w:rPr>
        <w:t>3</w:t>
      </w:r>
      <w:r>
        <w:rPr>
          <w:rStyle w:val="None A"/>
          <w:rFonts w:ascii="Arial" w:hAnsi="Arial"/>
          <w:sz w:val="22"/>
          <w:szCs w:val="22"/>
          <w:rtl w:val="0"/>
          <w:lang w:val="en-US"/>
        </w:rPr>
        <w:t xml:space="preserve">B). The gene list was derived from Saujet et. al., 2014 where the authors reviewed the complex cascade of regulation that occurs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a number of putative anti-sigma factors including </w:t>
      </w:r>
      <w:r>
        <w:rPr>
          <w:rStyle w:val="None A"/>
          <w:rFonts w:ascii="Arial" w:hAnsi="Arial"/>
          <w:i w:val="1"/>
          <w:iCs w:val="1"/>
          <w:sz w:val="22"/>
          <w:szCs w:val="22"/>
          <w:rtl w:val="0"/>
          <w:lang w:val="en-US"/>
        </w:rPr>
        <w:t>spoIIAA,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spoIIAB,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cotJB2</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dpaA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sodA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sspB</w:t>
      </w:r>
      <w:r>
        <w:rPr>
          <w:rStyle w:val="None A"/>
          <w:rFonts w:ascii="Arial" w:hAnsi="Arial"/>
          <w:sz w:val="22"/>
          <w:szCs w:val="22"/>
          <w:rtl w:val="0"/>
          <w:lang w:val="en-US"/>
        </w:rPr>
        <w:t>), all associated with later sporulation stages (Permpoonpattan, 2013). These results further reinforce the connections previously made to the differences seen in spore-specific CFU quantification.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Along with sporulation, expression of PaLoc genes has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(Fig. </w:t>
      </w:r>
      <w:r>
        <w:rPr>
          <w:rStyle w:val="None A"/>
          <w:rFonts w:ascii="Arial" w:hAnsi="Arial"/>
          <w:sz w:val="22"/>
          <w:szCs w:val="22"/>
          <w:rtl w:val="0"/>
          <w:lang w:val="en-US"/>
        </w:rPr>
        <w:t>3</w:t>
      </w:r>
      <w:r>
        <w:rPr>
          <w:rStyle w:val="None A"/>
          <w:rFonts w:ascii="Arial" w:hAnsi="Arial"/>
          <w:sz w:val="22"/>
          <w:szCs w:val="22"/>
          <w:rtl w:val="0"/>
          <w:lang w:val="en-US"/>
        </w:rPr>
        <w:t xml:space="preserve">C). We found approximately 3-fold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xml:space="preserve">,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pretreatments. 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(negatively regulating anti-sigma factor) and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(positive regulating sigma factor) (Carter, 2012). Between both genes, only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transcript was detectable at 10-fold greater abundance than that of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across all groups. This was interesting as toxin activity was detectable in each condition, but only the negative regulator of toxin expression was seen implying a more complex regulation of toxin production than this mechanism alone. Finally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the gene for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cefoperazone pretreatment. Mutants for this gene have been associated with impaired toxin secretion and low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expression of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may partially explain the </w:t>
      </w:r>
      <w:r>
        <w:rPr>
          <w:rStyle w:val="None A"/>
          <w:rFonts w:ascii="Arial" w:hAnsi="Arial"/>
          <w:sz w:val="22"/>
          <w:szCs w:val="22"/>
          <w:rtl w:val="0"/>
          <w:lang w:val="en-US"/>
        </w:rPr>
        <w:t>canon</w:t>
      </w:r>
      <w:r>
        <w:rPr>
          <w:rStyle w:val="None A"/>
          <w:rFonts w:ascii="Arial" w:hAnsi="Arial"/>
          <w:sz w:val="22"/>
          <w:szCs w:val="22"/>
          <w:rtl w:val="0"/>
          <w:lang w:val="en-US"/>
        </w:rPr>
        <w:t xml:space="preserve">ically lowered virulence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(Theriot, 2011).</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the context of similar colonization, spore, and toxin levels, differential expression of genes for sigma factors and sporulation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adapting to environmental nutrient concentrations. To test this further, we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quantified the differential expression of genes in each gene set (Fig. </w:t>
      </w:r>
      <w:r>
        <w:rPr>
          <w:rStyle w:val="None A"/>
          <w:rFonts w:ascii="Arial" w:hAnsi="Arial"/>
          <w:sz w:val="22"/>
          <w:szCs w:val="22"/>
          <w:rtl w:val="0"/>
          <w:lang w:val="en-US"/>
        </w:rPr>
        <w:t>2</w:t>
      </w:r>
      <w:r>
        <w:rPr>
          <w:rStyle w:val="None A"/>
          <w:rFonts w:ascii="Arial" w:hAnsi="Arial"/>
          <w:sz w:val="22"/>
          <w:szCs w:val="22"/>
          <w:rtl w:val="0"/>
          <w:lang w:val="en-US"/>
        </w:rPr>
        <w:t xml:space="preserve">). Although we observed overlap in the levels of expression of metabolic gene-sets, the largest differences were observed in carbohydrate metabolism. Among the genes classified as sugar transporters, those that are PTS transporters (Fig. </w:t>
      </w:r>
      <w:r>
        <w:rPr>
          <w:rStyle w:val="None A"/>
          <w:rFonts w:ascii="Arial" w:hAnsi="Arial"/>
          <w:sz w:val="22"/>
          <w:szCs w:val="22"/>
          <w:rtl w:val="0"/>
          <w:lang w:val="en-US"/>
        </w:rPr>
        <w:t>4</w:t>
      </w:r>
      <w:r>
        <w:rPr>
          <w:rStyle w:val="None A"/>
          <w:rFonts w:ascii="Arial" w:hAnsi="Arial"/>
          <w:sz w:val="22"/>
          <w:szCs w:val="22"/>
          <w:rtl w:val="0"/>
          <w:lang w:val="en-US"/>
        </w:rPr>
        <w:t xml:space="preserve">H) were overrepresented in the clinda and strep-treated mice and ABC sugar transporters (Fig. </w:t>
      </w:r>
      <w:r>
        <w:rPr>
          <w:rStyle w:val="None A"/>
          <w:rFonts w:ascii="Arial" w:hAnsi="Arial"/>
          <w:sz w:val="22"/>
          <w:szCs w:val="22"/>
          <w:rtl w:val="0"/>
          <w:lang w:val="en-US"/>
        </w:rPr>
        <w:t>4</w:t>
      </w:r>
      <w:r>
        <w:rPr>
          <w:rStyle w:val="None A"/>
          <w:rFonts w:ascii="Arial" w:hAnsi="Arial"/>
          <w:sz w:val="22"/>
          <w:szCs w:val="22"/>
          <w:rtl w:val="0"/>
          <w:lang w:val="en-US"/>
        </w:rPr>
        <w:t xml:space="preserve">I) were overrepresented in the cef-treated mice. Further differences in carbohydrate metabolism were visible when comparing the polysaccharide catabolism expression set (Fig. </w:t>
      </w:r>
      <w:r>
        <w:rPr>
          <w:rStyle w:val="None A"/>
          <w:rFonts w:ascii="Arial" w:hAnsi="Arial"/>
          <w:sz w:val="22"/>
          <w:szCs w:val="22"/>
          <w:rtl w:val="0"/>
          <w:lang w:val="en-US"/>
        </w:rPr>
        <w:t>4</w:t>
      </w:r>
      <w:r>
        <w:rPr>
          <w:rStyle w:val="None A"/>
          <w:rFonts w:ascii="Arial" w:hAnsi="Arial"/>
          <w:sz w:val="22"/>
          <w:szCs w:val="22"/>
          <w:rtl w:val="0"/>
          <w:lang w:val="en-US"/>
        </w:rPr>
        <w:t>D) with genes associated with beta-glucoside utilization locus (</w:t>
      </w:r>
      <w:r>
        <w:rPr>
          <w:rStyle w:val="None A"/>
          <w:rFonts w:ascii="Arial" w:hAnsi="Arial"/>
          <w:i w:val="1"/>
          <w:iCs w:val="1"/>
          <w:sz w:val="22"/>
          <w:szCs w:val="22"/>
          <w:rtl w:val="0"/>
          <w:lang w:val="en-US"/>
        </w:rPr>
        <w:t>bgl</w:t>
      </w:r>
      <w:r>
        <w:rPr>
          <w:rStyle w:val="None A"/>
          <w:rFonts w:ascii="Arial" w:hAnsi="Arial"/>
          <w:sz w:val="22"/>
          <w:szCs w:val="22"/>
          <w:rtl w:val="0"/>
          <w:lang w:val="en-US"/>
        </w:rPr>
        <w:t xml:space="preserve"> operon), canonically linked with salicin or arbutin metabolism being overrepresented in the clinda-treated mice. Sugar alcohol catabolism genes were absent from clinda-treated mice and expression of genes for mannitol utilization (mtl operon) were overrepresented in cefaparezone-treated mice and expression of genes for sorbitol utilization (srl operon) were overrepresented in streptomycin-treated mice. Conversely, the expression of genes associated with amino acid catabolism were consistently expressed at relatively equal levels across the conditions (Fig. </w:t>
      </w:r>
      <w:r>
        <w:rPr>
          <w:rStyle w:val="None A"/>
          <w:rFonts w:ascii="Arial" w:hAnsi="Arial"/>
          <w:sz w:val="22"/>
          <w:szCs w:val="22"/>
          <w:rtl w:val="0"/>
          <w:lang w:val="en-US"/>
        </w:rPr>
        <w:t>4</w:t>
      </w:r>
      <w:r>
        <w:rPr>
          <w:rStyle w:val="None A"/>
          <w:rFonts w:ascii="Arial" w:hAnsi="Arial"/>
          <w:sz w:val="22"/>
          <w:szCs w:val="22"/>
          <w:rtl w:val="0"/>
          <w:lang w:val="en-US"/>
        </w:rPr>
        <w:t xml:space="preserve">F). Short chain fatty acids (SCFAs) are the product of amino acid and carbohydrate fermentation in C. difficile. Gene for XXXX were overrepresented in clinda-treated mice, while a gene for XXXX was not expressed in clinda-treated mice. Overall, these results support the hypothesis that C. difficile is able to adapt its metabolism to </w:t>
      </w:r>
      <w:r>
        <w:rPr>
          <w:rStyle w:val="None A"/>
          <w:rFonts w:ascii="Arial" w:hAnsi="Arial"/>
          <w:sz w:val="22"/>
          <w:szCs w:val="22"/>
          <w:rtl w:val="0"/>
          <w:lang w:val="en-US"/>
        </w:rPr>
        <w:t xml:space="preserve">fit the nutrient environment </w:t>
      </w:r>
    </w:p>
    <w:p>
      <w:pPr>
        <w:pStyle w:val="Default"/>
        <w:shd w:val="clear" w:color="auto" w:fill="ffffff"/>
        <w:spacing w:line="480" w:lineRule="auto"/>
        <w:rPr>
          <w:rStyle w:val="None A"/>
          <w:rFonts w:ascii="Arial" w:cs="Arial" w:hAnsi="Arial" w:eastAsia="Arial"/>
          <w:sz w:val="22"/>
          <w:szCs w:val="22"/>
        </w:rPr>
      </w:pPr>
      <w:r>
        <w:rPr>
          <w:rStyle w:val="None A"/>
          <w:rFonts w:ascii="Arial" w:hAnsi="Arial"/>
          <w:sz w:val="22"/>
          <w:szCs w:val="22"/>
          <w:rtl w:val="0"/>
          <w:lang w:val="en-US"/>
        </w:rPr>
        <w:t>cdf:CD630_03340</w:t>
        <w:tab/>
        <w:t>adhE;</w:t>
      </w:r>
      <w:r>
        <w:rPr>
          <w:rStyle w:val="None A"/>
          <w:rFonts w:ascii="Arial" w:hAnsi="Arial"/>
          <w:sz w:val="22"/>
          <w:szCs w:val="22"/>
          <w:rtl w:val="0"/>
          <w:lang w:val="en-US"/>
        </w:rPr>
        <w:t xml:space="preserve"> </w:t>
      </w:r>
      <w:r>
        <w:rPr>
          <w:rStyle w:val="None A"/>
          <w:rFonts w:ascii="Arial" w:hAnsi="Arial"/>
          <w:sz w:val="22"/>
          <w:szCs w:val="22"/>
          <w:rtl w:val="0"/>
          <w:lang w:val="en-US"/>
        </w:rPr>
        <w:t>bifunctional</w:t>
      </w:r>
      <w:r>
        <w:rPr>
          <w:rStyle w:val="None A"/>
          <w:rFonts w:ascii="Arial" w:hAnsi="Arial"/>
          <w:sz w:val="22"/>
          <w:szCs w:val="22"/>
          <w:rtl w:val="0"/>
          <w:lang w:val="en-US"/>
        </w:rPr>
        <w:t xml:space="preserve"> </w:t>
      </w:r>
      <w:r>
        <w:rPr>
          <w:rStyle w:val="None A"/>
          <w:rFonts w:ascii="Arial" w:hAnsi="Arial"/>
          <w:sz w:val="22"/>
          <w:szCs w:val="22"/>
          <w:rtl w:val="0"/>
          <w:lang w:val="en-US"/>
        </w:rPr>
        <w:t>acetaldehyde-CoA/alcohol</w:t>
      </w:r>
      <w:r>
        <w:rPr>
          <w:rStyle w:val="None A"/>
          <w:rFonts w:ascii="Arial" w:hAnsi="Arial"/>
          <w:sz w:val="22"/>
          <w:szCs w:val="22"/>
          <w:rtl w:val="0"/>
          <w:lang w:val="en-US"/>
        </w:rPr>
        <w:t xml:space="preserve"> </w:t>
      </w:r>
      <w:r>
        <w:rPr>
          <w:rStyle w:val="None A"/>
          <w:rFonts w:ascii="Arial" w:hAnsi="Arial"/>
          <w:sz w:val="22"/>
          <w:szCs w:val="22"/>
          <w:rtl w:val="0"/>
          <w:lang w:val="en-US"/>
        </w:rPr>
        <w:t>dehydrogenase</w:t>
      </w:r>
    </w:p>
    <w:p>
      <w:pPr>
        <w:pStyle w:val="Default"/>
        <w:shd w:val="clear" w:color="auto" w:fill="ffffff"/>
        <w:spacing w:line="480" w:lineRule="auto"/>
        <w:rPr>
          <w:rStyle w:val="None A"/>
          <w:rFonts w:ascii="Arial" w:cs="Arial" w:hAnsi="Arial" w:eastAsia="Arial"/>
          <w:sz w:val="22"/>
          <w:szCs w:val="22"/>
        </w:rPr>
      </w:pPr>
      <w:r>
        <w:rPr>
          <w:rStyle w:val="None A"/>
          <w:rFonts w:ascii="Arial" w:hAnsi="Arial"/>
          <w:sz w:val="22"/>
          <w:szCs w:val="22"/>
          <w:rtl w:val="0"/>
          <w:lang w:val="en-US"/>
        </w:rPr>
        <w:t>cdf:CD630_24250</w:t>
        <w:tab/>
        <w:t>ptb;</w:t>
      </w:r>
      <w:r>
        <w:rPr>
          <w:rStyle w:val="None A"/>
          <w:rFonts w:ascii="Arial" w:hAnsi="Arial"/>
          <w:sz w:val="22"/>
          <w:szCs w:val="22"/>
          <w:rtl w:val="0"/>
          <w:lang w:val="en-US"/>
        </w:rPr>
        <w:t xml:space="preserve"> </w:t>
      </w:r>
      <w:r>
        <w:rPr>
          <w:rStyle w:val="None A"/>
          <w:rFonts w:ascii="Arial" w:hAnsi="Arial"/>
          <w:sz w:val="22"/>
          <w:szCs w:val="22"/>
          <w:rtl w:val="0"/>
          <w:lang w:val="en-US"/>
        </w:rPr>
        <w:t>phosphate</w:t>
      </w:r>
      <w:r>
        <w:rPr>
          <w:rStyle w:val="None A"/>
          <w:rFonts w:ascii="Arial" w:hAnsi="Arial"/>
          <w:sz w:val="22"/>
          <w:szCs w:val="22"/>
          <w:rtl w:val="0"/>
          <w:lang w:val="en-US"/>
        </w:rPr>
        <w:t xml:space="preserve"> </w:t>
      </w:r>
      <w:r>
        <w:rPr>
          <w:rStyle w:val="None A"/>
          <w:rFonts w:ascii="Arial" w:hAnsi="Arial"/>
          <w:sz w:val="22"/>
          <w:szCs w:val="22"/>
          <w:rtl w:val="0"/>
          <w:lang w:val="en-US"/>
        </w:rPr>
        <w:t>butyryltransferase</w:t>
      </w:r>
    </w:p>
    <w:p>
      <w:pPr>
        <w:pStyle w:val="Default"/>
        <w:shd w:val="clear" w:color="auto" w:fill="ffffff"/>
        <w:spacing w:line="480" w:lineRule="auto"/>
        <w:rPr>
          <w:rStyle w:val="None A"/>
          <w:rFonts w:ascii="Arial" w:cs="Arial" w:hAnsi="Arial" w:eastAsia="Arial"/>
          <w:sz w:val="22"/>
          <w:szCs w:val="22"/>
        </w:rPr>
      </w:pPr>
      <w:r>
        <w:rPr>
          <w:rStyle w:val="None A"/>
          <w:rFonts w:ascii="Arial" w:hAnsi="Arial"/>
          <w:sz w:val="22"/>
          <w:szCs w:val="22"/>
          <w:rtl w:val="0"/>
          <w:lang w:val="en-US"/>
        </w:rPr>
        <w:t>cdf:CD630_24260</w:t>
        <w:tab/>
        <w:t>buk1;</w:t>
      </w:r>
      <w:r>
        <w:rPr>
          <w:rStyle w:val="None A"/>
          <w:rFonts w:ascii="Arial" w:hAnsi="Arial"/>
          <w:sz w:val="22"/>
          <w:szCs w:val="22"/>
          <w:rtl w:val="0"/>
          <w:lang w:val="en-US"/>
        </w:rPr>
        <w:t xml:space="preserve"> </w:t>
      </w:r>
      <w:r>
        <w:rPr>
          <w:rStyle w:val="None A"/>
          <w:rFonts w:ascii="Arial" w:hAnsi="Arial"/>
          <w:sz w:val="22"/>
          <w:szCs w:val="22"/>
          <w:rtl w:val="0"/>
          <w:lang w:val="en-US"/>
        </w:rPr>
        <w:t>butyrate</w:t>
      </w:r>
      <w:r>
        <w:rPr>
          <w:rStyle w:val="None A"/>
          <w:rFonts w:ascii="Arial" w:hAnsi="Arial"/>
          <w:sz w:val="22"/>
          <w:szCs w:val="22"/>
          <w:rtl w:val="0"/>
          <w:lang w:val="en-US"/>
        </w:rPr>
        <w:t xml:space="preserve"> </w:t>
      </w:r>
      <w:r>
        <w:rPr>
          <w:rStyle w:val="None A"/>
          <w:rFonts w:ascii="Arial" w:hAnsi="Arial"/>
          <w:sz w:val="22"/>
          <w:szCs w:val="22"/>
          <w:rtl w:val="0"/>
          <w:lang w:val="en-US"/>
        </w:rPr>
        <w:t>kinase</w:t>
      </w:r>
    </w:p>
    <w:p>
      <w:pPr>
        <w:pStyle w:val="Default"/>
        <w:shd w:val="clear" w:color="auto" w:fill="ffffff"/>
        <w:spacing w:line="480" w:lineRule="auto"/>
        <w:rPr>
          <w:rStyle w:val="None A"/>
          <w:rFonts w:ascii="Arial" w:cs="Arial" w:hAnsi="Arial" w:eastAsia="Arial"/>
          <w:sz w:val="22"/>
          <w:szCs w:val="22"/>
        </w:rPr>
      </w:pPr>
      <w:r>
        <w:rPr>
          <w:rStyle w:val="None A"/>
          <w:rFonts w:ascii="Arial" w:hAnsi="Arial"/>
          <w:sz w:val="22"/>
          <w:szCs w:val="22"/>
          <w:rtl w:val="0"/>
          <w:lang w:val="en-US"/>
        </w:rPr>
        <w:t>cdf:CD630_01550</w:t>
        <w:tab/>
        <w:t>4</w:t>
      </w:r>
      <w:r>
        <w:rPr>
          <w:rStyle w:val="None A"/>
          <w:rFonts w:ascii="Arial" w:hAnsi="Arial"/>
          <w:sz w:val="22"/>
          <w:szCs w:val="22"/>
          <w:rtl w:val="0"/>
          <w:lang w:val="en-US"/>
        </w:rPr>
        <w:t>-</w:t>
      </w:r>
      <w:r>
        <w:rPr>
          <w:rStyle w:val="None A"/>
          <w:rFonts w:ascii="Arial" w:hAnsi="Arial"/>
          <w:sz w:val="22"/>
          <w:szCs w:val="22"/>
          <w:rtl w:val="0"/>
          <w:lang w:val="en-US"/>
        </w:rPr>
        <w:t>hydroxyphenylacetate</w:t>
      </w:r>
      <w:r>
        <w:rPr>
          <w:rStyle w:val="None A"/>
          <w:rFonts w:ascii="Arial" w:hAnsi="Arial"/>
          <w:sz w:val="22"/>
          <w:szCs w:val="22"/>
          <w:rtl w:val="0"/>
          <w:lang w:val="en-US"/>
        </w:rPr>
        <w:t xml:space="preserve"> </w:t>
      </w:r>
      <w:r>
        <w:rPr>
          <w:rStyle w:val="None A"/>
          <w:rFonts w:ascii="Arial" w:hAnsi="Arial"/>
          <w:sz w:val="22"/>
          <w:szCs w:val="22"/>
          <w:rtl w:val="0"/>
          <w:lang w:val="en-US"/>
        </w:rPr>
        <w:t>decarboxylase,</w:t>
      </w:r>
      <w:r>
        <w:rPr>
          <w:rStyle w:val="None A"/>
          <w:rFonts w:ascii="Arial" w:hAnsi="Arial"/>
          <w:sz w:val="22"/>
          <w:szCs w:val="22"/>
          <w:rtl w:val="0"/>
          <w:lang w:val="en-US"/>
        </w:rPr>
        <w:t xml:space="preserve"> </w:t>
      </w:r>
      <w:r>
        <w:rPr>
          <w:rStyle w:val="None A"/>
          <w:rFonts w:ascii="Arial" w:hAnsi="Arial"/>
          <w:sz w:val="22"/>
          <w:szCs w:val="22"/>
          <w:rtl w:val="0"/>
          <w:lang w:val="en-US"/>
        </w:rPr>
        <w:t>activating</w:t>
      </w:r>
      <w:r>
        <w:rPr>
          <w:rStyle w:val="None A"/>
          <w:rFonts w:ascii="Arial" w:hAnsi="Arial"/>
          <w:sz w:val="22"/>
          <w:szCs w:val="22"/>
          <w:rtl w:val="0"/>
          <w:lang w:val="en-US"/>
        </w:rPr>
        <w:t xml:space="preserve"> </w:t>
      </w:r>
      <w:r>
        <w:rPr>
          <w:rStyle w:val="None A"/>
          <w:rFonts w:ascii="Arial" w:hAnsi="Arial"/>
          <w:sz w:val="22"/>
          <w:szCs w:val="22"/>
          <w:rtl w:val="0"/>
          <w:lang w:val="en-US"/>
        </w:rPr>
        <w:t>subunit</w:t>
      </w:r>
      <w:r>
        <w:rPr>
          <w:rStyle w:val="None A"/>
          <w:rFonts w:ascii="Arial" w:hAnsi="Arial"/>
          <w:sz w:val="22"/>
          <w:szCs w:val="22"/>
          <w:rtl w:val="0"/>
          <w:lang w:val="en-US"/>
        </w:rPr>
        <w:t xml:space="preserve"> </w:t>
      </w:r>
      <w:r>
        <w:rPr>
          <w:rStyle w:val="None A"/>
          <w:rFonts w:ascii="Arial" w:hAnsi="Arial"/>
          <w:sz w:val="22"/>
          <w:szCs w:val="22"/>
          <w:rtl w:val="0"/>
          <w:lang w:val="en-US"/>
        </w:rPr>
        <w:t>HpdA</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trike w:val="1"/>
          <w:dstrike w:val="0"/>
          <w:sz w:val="22"/>
          <w:szCs w:val="22"/>
        </w:rPr>
      </w:pPr>
      <w:r>
        <w:rPr>
          <w:rStyle w:val="None A"/>
          <w:rFonts w:ascii="Arial" w:hAnsi="Arial"/>
          <w:strike w:val="1"/>
          <w:dstrike w:val="0"/>
          <w:sz w:val="22"/>
          <w:szCs w:val="22"/>
          <w:rtl w:val="0"/>
          <w:lang w:val="en-US"/>
        </w:rPr>
        <w:t>These points all trend toward the center of the plotting area and show no apparent differences between any treatment group. This gene category includes those enzymes involved in Stickland fermentation (</w:t>
      </w:r>
      <w:r>
        <w:rPr>
          <w:rStyle w:val="None A"/>
          <w:rFonts w:ascii="Arial" w:hAnsi="Arial"/>
          <w:i w:val="1"/>
          <w:iCs w:val="1"/>
          <w:strike w:val="1"/>
          <w:dstrike w:val="0"/>
          <w:sz w:val="22"/>
          <w:szCs w:val="22"/>
          <w:rtl w:val="0"/>
          <w:lang w:val="en-US"/>
        </w:rPr>
        <w:t>arg</w:t>
      </w:r>
      <w:r>
        <w:rPr>
          <w:rStyle w:val="None A"/>
          <w:rFonts w:ascii="Arial" w:hAnsi="Arial"/>
          <w:strike w:val="1"/>
          <w:dstrike w:val="0"/>
          <w:sz w:val="22"/>
          <w:szCs w:val="22"/>
          <w:rtl w:val="0"/>
          <w:lang w:val="en-US"/>
        </w:rPr>
        <w:t xml:space="preserve">, </w:t>
      </w:r>
      <w:r>
        <w:rPr>
          <w:rStyle w:val="None A"/>
          <w:rFonts w:ascii="Arial" w:hAnsi="Arial"/>
          <w:i w:val="1"/>
          <w:iCs w:val="1"/>
          <w:strike w:val="1"/>
          <w:dstrike w:val="0"/>
          <w:sz w:val="22"/>
          <w:szCs w:val="22"/>
          <w:rtl w:val="0"/>
          <w:lang w:val="en-US"/>
        </w:rPr>
        <w:t>fdh</w:t>
      </w:r>
      <w:r>
        <w:rPr>
          <w:rStyle w:val="None A"/>
          <w:rFonts w:ascii="Arial" w:hAnsi="Arial"/>
          <w:strike w:val="1"/>
          <w:dstrike w:val="0"/>
          <w:sz w:val="22"/>
          <w:szCs w:val="22"/>
          <w:rtl w:val="0"/>
          <w:lang w:val="en-US"/>
        </w:rPr>
        <w:t xml:space="preserve">, </w:t>
      </w:r>
      <w:r>
        <w:rPr>
          <w:rStyle w:val="None A"/>
          <w:rFonts w:ascii="Arial" w:hAnsi="Arial"/>
          <w:i w:val="1"/>
          <w:iCs w:val="1"/>
          <w:strike w:val="1"/>
          <w:dstrike w:val="0"/>
          <w:sz w:val="22"/>
          <w:szCs w:val="22"/>
          <w:rtl w:val="0"/>
          <w:lang w:val="en-US"/>
        </w:rPr>
        <w:t>grd</w:t>
      </w:r>
      <w:r>
        <w:rPr>
          <w:rStyle w:val="None A"/>
          <w:rFonts w:ascii="Arial" w:hAnsi="Arial"/>
          <w:strike w:val="1"/>
          <w:dstrike w:val="0"/>
          <w:sz w:val="22"/>
          <w:szCs w:val="22"/>
          <w:rtl w:val="0"/>
          <w:lang w:val="en-US"/>
        </w:rPr>
        <w:t xml:space="preserve">, </w:t>
      </w:r>
      <w:r>
        <w:rPr>
          <w:rStyle w:val="None A"/>
          <w:rFonts w:ascii="Arial" w:hAnsi="Arial"/>
          <w:i w:val="1"/>
          <w:iCs w:val="1"/>
          <w:strike w:val="1"/>
          <w:dstrike w:val="0"/>
          <w:sz w:val="22"/>
          <w:szCs w:val="22"/>
          <w:rtl w:val="0"/>
          <w:lang w:val="en-US"/>
        </w:rPr>
        <w:t>had</w:t>
      </w:r>
      <w:r>
        <w:rPr>
          <w:rStyle w:val="None A"/>
          <w:rFonts w:ascii="Arial" w:hAnsi="Arial"/>
          <w:strike w:val="1"/>
          <w:dstrike w:val="0"/>
          <w:sz w:val="22"/>
          <w:szCs w:val="22"/>
          <w:rtl w:val="0"/>
          <w:lang w:val="en-US"/>
        </w:rPr>
        <w:t>,</w:t>
      </w:r>
      <w:r>
        <w:rPr>
          <w:rStyle w:val="None A"/>
          <w:rFonts w:ascii="Arial" w:hAnsi="Arial"/>
          <w:i w:val="1"/>
          <w:iCs w:val="1"/>
          <w:strike w:val="1"/>
          <w:dstrike w:val="0"/>
          <w:sz w:val="22"/>
          <w:szCs w:val="22"/>
          <w:rtl w:val="0"/>
          <w:lang w:val="en-US"/>
        </w:rPr>
        <w:t xml:space="preserve"> </w:t>
      </w:r>
      <w:r>
        <w:rPr>
          <w:rStyle w:val="None A"/>
          <w:rFonts w:ascii="Arial" w:hAnsi="Arial"/>
          <w:strike w:val="1"/>
          <w:dstrike w:val="0"/>
          <w:sz w:val="22"/>
          <w:szCs w:val="22"/>
          <w:rtl w:val="0"/>
          <w:lang w:val="en-US"/>
        </w:rPr>
        <w:t xml:space="preserve">and </w:t>
      </w:r>
      <w:r>
        <w:rPr>
          <w:rStyle w:val="None A"/>
          <w:rFonts w:ascii="Arial" w:hAnsi="Arial"/>
          <w:i w:val="1"/>
          <w:iCs w:val="1"/>
          <w:strike w:val="1"/>
          <w:dstrike w:val="0"/>
          <w:sz w:val="22"/>
          <w:szCs w:val="22"/>
          <w:rtl w:val="0"/>
          <w:lang w:val="en-US"/>
        </w:rPr>
        <w:t xml:space="preserve">prd </w:t>
      </w:r>
      <w:r>
        <w:rPr>
          <w:rStyle w:val="None A"/>
          <w:rFonts w:ascii="Arial" w:hAnsi="Arial"/>
          <w:strike w:val="1"/>
          <w:dstrike w:val="0"/>
          <w:sz w:val="22"/>
          <w:szCs w:val="22"/>
          <w:rtl w:val="0"/>
          <w:lang w:val="en-US"/>
        </w:rPr>
        <w:t>operons) as well as several general peptidases (</w:t>
      </w:r>
      <w:r>
        <w:rPr>
          <w:rStyle w:val="None A"/>
          <w:rFonts w:ascii="Arial" w:hAnsi="Arial"/>
          <w:i w:val="1"/>
          <w:iCs w:val="1"/>
          <w:strike w:val="1"/>
          <w:dstrike w:val="0"/>
          <w:sz w:val="22"/>
          <w:szCs w:val="22"/>
          <w:rtl w:val="0"/>
          <w:lang w:val="en-US"/>
        </w:rPr>
        <w:t>pep</w:t>
      </w:r>
      <w:r>
        <w:rPr>
          <w:rStyle w:val="None A"/>
          <w:rFonts w:ascii="Arial" w:hAnsi="Arial"/>
          <w:strike w:val="1"/>
          <w:dstrike w:val="0"/>
          <w:sz w:val="22"/>
          <w:szCs w:val="22"/>
          <w:rtl w:val="0"/>
          <w:lang w:val="en-US"/>
        </w:rPr>
        <w:t xml:space="preserve"> family). The known Stickland fermentation pathway in </w:t>
      </w:r>
      <w:r>
        <w:rPr>
          <w:rStyle w:val="None A"/>
          <w:rFonts w:ascii="Arial" w:hAnsi="Arial"/>
          <w:i w:val="1"/>
          <w:iCs w:val="1"/>
          <w:strike w:val="1"/>
          <w:dstrike w:val="0"/>
          <w:sz w:val="22"/>
          <w:szCs w:val="22"/>
          <w:rtl w:val="0"/>
          <w:lang w:val="en-US"/>
        </w:rPr>
        <w:t>C. difficile</w:t>
      </w:r>
      <w:r>
        <w:rPr>
          <w:rStyle w:val="None A"/>
          <w:rFonts w:ascii="Arial" w:hAnsi="Arial"/>
          <w:strike w:val="1"/>
          <w:dstrike w:val="0"/>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trike w:val="1"/>
          <w:dstrike w:val="0"/>
          <w:sz w:val="22"/>
          <w:szCs w:val="22"/>
          <w:rtl w:val="0"/>
          <w:lang w:val="en-US"/>
        </w:rPr>
        <w:t>grd</w:t>
      </w:r>
      <w:r>
        <w:rPr>
          <w:rStyle w:val="None A"/>
          <w:rFonts w:ascii="Arial" w:hAnsi="Arial"/>
          <w:strike w:val="1"/>
          <w:dstrike w:val="0"/>
          <w:sz w:val="22"/>
          <w:szCs w:val="22"/>
          <w:rtl w:val="0"/>
          <w:lang w:val="en-US"/>
        </w:rPr>
        <w:t xml:space="preserve"> and </w:t>
      </w:r>
      <w:r>
        <w:rPr>
          <w:rStyle w:val="None A"/>
          <w:rFonts w:ascii="Arial" w:hAnsi="Arial"/>
          <w:i w:val="1"/>
          <w:iCs w:val="1"/>
          <w:strike w:val="1"/>
          <w:dstrike w:val="0"/>
          <w:sz w:val="22"/>
          <w:szCs w:val="22"/>
          <w:rtl w:val="0"/>
          <w:lang w:val="en-US"/>
        </w:rPr>
        <w:t>prd</w:t>
      </w:r>
      <w:r>
        <w:rPr>
          <w:rStyle w:val="None A"/>
          <w:rFonts w:ascii="Arial" w:hAnsi="Arial"/>
          <w:strike w:val="1"/>
          <w:dstrike w:val="0"/>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Style w:val="None A"/>
          <w:rFonts w:ascii="Arial" w:hAnsi="Arial"/>
          <w:i w:val="1"/>
          <w:iCs w:val="1"/>
          <w:strike w:val="1"/>
          <w:dstrike w:val="0"/>
          <w:sz w:val="22"/>
          <w:szCs w:val="22"/>
          <w:rtl w:val="0"/>
          <w:lang w:val="en-US"/>
        </w:rPr>
        <w:t>C. difficile</w:t>
      </w:r>
      <w:r>
        <w:rPr>
          <w:rStyle w:val="None A"/>
          <w:rFonts w:ascii="Arial" w:hAnsi="Arial"/>
          <w:strike w:val="1"/>
          <w:dstrike w:val="0"/>
          <w:sz w:val="22"/>
          <w:szCs w:val="22"/>
          <w:rtl w:val="0"/>
          <w:lang w:val="en-US"/>
        </w:rPr>
        <w:t xml:space="preserve"> str. 630 during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trike w:val="1"/>
          <w:dstrike w:val="0"/>
          <w:sz w:val="22"/>
          <w:szCs w:val="22"/>
        </w:rPr>
      </w:pPr>
      <w:r>
        <w:rPr>
          <w:rStyle w:val="None A"/>
          <w:rFonts w:ascii="Arial" w:hAnsi="Arial"/>
          <w:strike w:val="1"/>
          <w:dstrike w:val="0"/>
          <w:sz w:val="22"/>
          <w:szCs w:val="22"/>
          <w:rtl w:val="0"/>
          <w:lang w:val="en-US"/>
        </w:rPr>
        <w:t xml:space="preserve">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Pr>
        <w:tab/>
      </w:r>
      <w:r>
        <w:rPr>
          <w:rStyle w:val="None A"/>
          <w:rFonts w:ascii="Arial" w:hAnsi="Arial"/>
          <w:sz w:val="22"/>
          <w:szCs w:val="22"/>
          <w:rtl w:val="0"/>
          <w:lang w:val="en-US"/>
        </w:rPr>
        <w:t>Many</w:t>
      </w:r>
      <w:r>
        <w:rPr>
          <w:rStyle w:val="None A"/>
          <w:rFonts w:ascii="Arial" w:hAnsi="Arial"/>
          <w:sz w:val="22"/>
          <w:szCs w:val="22"/>
          <w:rtl w:val="0"/>
          <w:lang w:val="en-US"/>
        </w:rPr>
        <w:t xml:space="preserve"> enzymes encoded in an organism's genome,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bipartite graph, where enzyme nodes only connect to substrate nodes and vice versa (Fig. </w:t>
      </w:r>
      <w:r>
        <w:rPr>
          <w:rStyle w:val="None A"/>
          <w:rFonts w:ascii="Arial" w:hAnsi="Arial"/>
          <w:sz w:val="22"/>
          <w:szCs w:val="22"/>
          <w:rtl w:val="0"/>
          <w:lang w:val="en-US"/>
        </w:rPr>
        <w:t>5</w:t>
      </w:r>
      <w:r>
        <w:rPr>
          <w:rStyle w:val="None A"/>
          <w:rFonts w:ascii="Arial" w:hAnsi="Arial"/>
          <w:sz w:val="22"/>
          <w:szCs w:val="22"/>
          <w:rtl w:val="0"/>
          <w:lang w:val="en-US"/>
        </w:rPr>
        <w:t xml:space="preserve">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Betweenness-centrality for all enzyme and substrate nodes in the bipartite metabolic graph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pyruvate kinase, 1-deoxy-D-xylulose-5-phosphate synthase, and transketolase while substrates with the highest scores included pyruvate, acetyl-CoA, and D-glyceraldehyde 3-phosphate. For both enzymes and substrates, these nodes are known to be involved in numerous central pathways including glycolysis, the citric acid cycle, and amino acid biosynthesis which are all critical to life for most free-living bacteria. </w:t>
      </w:r>
    </w:p>
    <w:p>
      <w:pPr>
        <w:pStyle w:val="Default"/>
        <w:shd w:val="clear" w:color="auto" w:fill="ffffff"/>
        <w:spacing w:line="480" w:lineRule="auto"/>
        <w:jc w:val="both"/>
      </w:pPr>
      <w:r>
        <w:rPr>
          <w:rStyle w:val="None A"/>
          <w:rFonts w:ascii="Arial" w:cs="Arial" w:hAnsi="Arial" w:eastAsia="Arial"/>
          <w:sz w:val="22"/>
          <w:szCs w:val="22"/>
          <w:rtl w:val="0"/>
        </w:rPr>
        <w:tab/>
        <w:t xml:space="preserve">While traditional transcriptomic approaches are informative for identifying active pathways to highlight potential catabolism for families of substrates, it does not directly highlight specific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w:t>
      </w:r>
      <w:r>
        <w:rPr>
          <w:rStyle w:val="None A"/>
          <w:rFonts w:ascii="Arial" w:hAnsi="Arial"/>
          <w:sz w:val="22"/>
          <w:szCs w:val="22"/>
          <w:rtl w:val="0"/>
          <w:lang w:val="en-US"/>
        </w:rPr>
        <w:t xml:space="preserve"> </w:t>
      </w:r>
      <w:r>
        <w:rPr>
          <w:rStyle w:val="None A"/>
          <w:rFonts w:ascii="Arial" w:hAnsi="Arial"/>
          <w:sz w:val="22"/>
          <w:szCs w:val="22"/>
          <w:rtl w:val="0"/>
          <w:lang w:val="en-US"/>
        </w:rPr>
        <w:t xml:space="preserve">(Fig. </w:t>
      </w:r>
      <w:r>
        <w:rPr>
          <w:rStyle w:val="None A"/>
          <w:rFonts w:ascii="Arial" w:hAnsi="Arial"/>
          <w:sz w:val="22"/>
          <w:szCs w:val="22"/>
          <w:rtl w:val="0"/>
          <w:lang w:val="en-US"/>
        </w:rPr>
        <w:t>5</w:t>
      </w:r>
      <w:r>
        <w:rPr>
          <w:rStyle w:val="None A"/>
          <w:rFonts w:ascii="Arial" w:hAnsi="Arial"/>
          <w:sz w:val="22"/>
          <w:szCs w:val="22"/>
          <w:rtl w:val="0"/>
          <w:lang w:val="en-US"/>
        </w:rPr>
        <w:t xml:space="preserve">A). This is done in order to understand the relative importance of substrate nodes based on local enzyme transcription. Furthermore, we applied a Monte-Carlo simulation style transcript assignment randomization in create a comparator for each substrate's computed importance score. Applying this method, we extracted the relative importance values of the 758 unique compounds in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after 18 hours of infection in each treatment group. We included the transcriptome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gnotobiotic mice in the network-based analysis because although the dynamics of the infection may be altered, there is still active metabolism occurring and therefore provided a useful comparator through this approach.</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cefoperazone and streptomycin pretreatments, several Stickland fermentation intermediates, including propanoate and phosphonoacetate, were scored as highly important,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and demonstrated that our importance-defining algorithm was robust could detect biologically relevant patterns of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most likely to behave when it colonizes a susceptible host. With this in mind, we then sought to identify core metabolites that are essential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could show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similarly utilizes acetate for energy. 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nutritional strategy. Other substrates substrates such Fe2+ was consistently important, as well several forms of certain amino acids (proline, threonine, cysteine, leucine, isoleucine, and valine), many of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known or suspected auxotrophe (Ho, 2015; Neumann-Schaal, 2015). This analysis further supported that our substrate importance algorithm was well-suited to find which substrates an organism is using at a given time.</w:t>
      </w:r>
    </w:p>
    <w:p>
      <w:pPr>
        <w:pStyle w:val="Default"/>
        <w:shd w:val="clear" w:color="auto" w:fill="ffffff"/>
        <w:spacing w:line="480" w:lineRule="auto"/>
        <w:jc w:val="both"/>
      </w:pPr>
      <w:r>
        <w:rPr>
          <w:rStyle w:val="None A"/>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between environments. Results from this comparison left only a few substrates in each group (Fig. </w:t>
      </w:r>
      <w:r>
        <w:rPr>
          <w:rStyle w:val="None A"/>
          <w:rFonts w:ascii="Arial" w:hAnsi="Arial"/>
          <w:sz w:val="22"/>
          <w:szCs w:val="22"/>
          <w:rtl w:val="0"/>
          <w:lang w:val="en-US"/>
        </w:rPr>
        <w:t>5</w:t>
      </w:r>
      <w:r>
        <w:rPr>
          <w:rStyle w:val="None A"/>
          <w:rFonts w:ascii="Arial" w:hAnsi="Arial"/>
          <w:sz w:val="22"/>
          <w:szCs w:val="22"/>
          <w:rtl w:val="0"/>
          <w:lang w:val="en-US"/>
        </w:rPr>
        <w:t xml:space="preserve">B). All substrates identified this way scored the comparator mean generated through Monte Carlo simulation (black vertical lines). Each group of substrates contained at least one known carbohydrate growth substrate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including D-fructose, mannitol, N-acetylneuraminic acid, salicin, and D-sorbitol (Ng, 2013; Theriot, 2014). These 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in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metabolic networks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order to validate the biological relevance of substrates identified in the previous network-based analysis, we went on to observe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w:t>
      </w:r>
      <w:r>
        <w:rPr>
          <w:rStyle w:val="None A"/>
          <w:rFonts w:ascii="Arial" w:hAnsi="Arial"/>
          <w:sz w:val="22"/>
          <w:szCs w:val="22"/>
          <w:rtl w:val="0"/>
          <w:lang w:val="en-US"/>
        </w:rPr>
        <w:t>3</w:t>
      </w:r>
      <w:r>
        <w:rPr>
          <w:rStyle w:val="None A"/>
          <w:rFonts w:ascii="Arial" w:hAnsi="Arial"/>
          <w:sz w:val="22"/>
          <w:szCs w:val="22"/>
          <w:rtl w:val="0"/>
          <w:lang w:val="en-US"/>
        </w:rPr>
        <w:t xml:space="preserve">) implicated by high importance scores.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(AA) for growth through Stickland fermentation, but is auxotrophic for several, the best comparator are -glucose +AA control wells. This informed whether the presence of the selected carbohydrate effects has positive or negative effects on the growth 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however this analysis does not preclude the possibility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simply grows equally as well as it does using strictly AA for carbon.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At least one carbohydrate highlighted as important in each of the antibiotic treatments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(Fig. </w:t>
      </w:r>
      <w:r>
        <w:rPr>
          <w:rStyle w:val="None A"/>
          <w:rFonts w:ascii="Arial" w:hAnsi="Arial"/>
          <w:sz w:val="22"/>
          <w:szCs w:val="22"/>
          <w:rtl w:val="0"/>
          <w:lang w:val="en-US"/>
        </w:rPr>
        <w:t>5</w:t>
      </w:r>
      <w:r>
        <w:rPr>
          <w:rStyle w:val="None A"/>
          <w:rFonts w:ascii="Arial" w:hAnsi="Arial"/>
          <w:sz w:val="22"/>
          <w:szCs w:val="22"/>
          <w:rtl w:val="0"/>
          <w:lang w:val="en-US"/>
        </w:rPr>
        <w:t>C). This included D-fructose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and salicin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0.888). Each resulted in significantly more growth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than AA-only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than AA-only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These results indicate potential efficiency or preferences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the each carbohydrate source tested.</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0.089). Mannitol was second at 7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0.044), and salicin was third at 13.5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0.076). Interestingly, the salicin growth curve was still near its maximum growth rate at the 12 hour time point, while the D-fructose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0.006) and mannitol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0.888) than BHI rich media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some curves is most likely due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ceasing division and switching to primarily sporulation, which has been associated with other bacterial species (Van Beilen, 2013).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0.095 at 6.5 hours) is the highest reached by any media tested, yet the maximum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than D-sorbitol alone. This could suggest a combinatorial effect of D-fructose and D-sorbitol together on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w:t>
      </w:r>
      <w:r>
        <w:rPr>
          <w:rStyle w:val="None A"/>
          <w:rFonts w:ascii="Arial" w:hAnsi="Arial"/>
          <w:sz w:val="22"/>
          <w:szCs w:val="22"/>
          <w:rtl w:val="0"/>
          <w:lang w:val="en-US"/>
        </w:rPr>
        <w:t xml:space="preserve">studies of intestinal </w:t>
      </w:r>
      <w:r>
        <w:rPr>
          <w:rStyle w:val="None A"/>
          <w:rFonts w:ascii="Arial" w:hAnsi="Arial"/>
          <w:sz w:val="22"/>
          <w:szCs w:val="22"/>
          <w:rtl w:val="0"/>
          <w:lang w:val="en-US"/>
        </w:rPr>
        <w:t xml:space="preserve">content obtained from mice </w:t>
      </w:r>
      <w:r>
        <w:rPr>
          <w:rStyle w:val="None A"/>
          <w:rFonts w:ascii="Arial" w:hAnsi="Arial"/>
          <w:sz w:val="22"/>
          <w:szCs w:val="22"/>
          <w:rtl w:val="0"/>
          <w:lang w:val="en-US"/>
        </w:rPr>
        <w:t>have</w:t>
      </w:r>
      <w:r>
        <w:rPr>
          <w:rStyle w:val="None A"/>
          <w:rFonts w:ascii="Arial" w:hAnsi="Arial"/>
          <w:sz w:val="22"/>
          <w:szCs w:val="22"/>
          <w:rtl w:val="0"/>
          <w:lang w:val="en-US"/>
        </w:rPr>
        <w:t xml:space="preserve"> been </w:t>
      </w:r>
      <w:r>
        <w:rPr>
          <w:rStyle w:val="None A"/>
          <w:rFonts w:ascii="Arial" w:hAnsi="Arial"/>
          <w:sz w:val="22"/>
          <w:szCs w:val="22"/>
          <w:rtl w:val="0"/>
          <w:lang w:val="en-US"/>
        </w:rPr>
        <w:t xml:space="preserve">done using </w:t>
      </w:r>
      <w:r>
        <w:rPr>
          <w:rStyle w:val="None A"/>
          <w:rFonts w:ascii="Arial" w:hAnsi="Arial"/>
          <w:sz w:val="22"/>
          <w:szCs w:val="22"/>
          <w:rtl w:val="0"/>
          <w:lang w:val="en-US"/>
        </w:rPr>
        <w:t xml:space="preserve">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w:t>
      </w:r>
      <w:r>
        <w:rPr>
          <w:rStyle w:val="None A"/>
          <w:rFonts w:ascii="Arial" w:hAnsi="Arial"/>
          <w:sz w:val="22"/>
          <w:szCs w:val="22"/>
          <w:rtl w:val="0"/>
          <w:lang w:val="en-US"/>
        </w:rPr>
        <w:t>Together</w:t>
      </w:r>
      <w:r>
        <w:rPr>
          <w:rStyle w:val="None A"/>
          <w:rFonts w:ascii="Arial" w:hAnsi="Arial"/>
          <w:sz w:val="22"/>
          <w:szCs w:val="22"/>
          <w:rtl w:val="0"/>
          <w:lang w:val="en-US"/>
        </w:rPr>
        <w:t xml:space="preserve">, these results provide evidence that our network approach accurately predicts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w:t>
      </w:r>
      <w:r>
        <w:rPr>
          <w:rStyle w:val="None A"/>
          <w:rFonts w:ascii="Arial" w:hAnsi="Arial"/>
          <w:sz w:val="22"/>
          <w:szCs w:val="22"/>
          <w:rtl w:val="0"/>
          <w:lang w:val="en-US"/>
        </w:rPr>
        <w:t xml:space="preserve"> metabolize when colonizing different environments</w:t>
      </w:r>
      <w:r>
        <w:rPr>
          <w:rStyle w:val="None A"/>
          <w:rFonts w:ascii="Arial" w:hAnsi="Arial"/>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w:t>
      </w:r>
      <w:r>
        <w:rPr>
          <w:rStyle w:val="None A"/>
          <w:rFonts w:ascii="Arial" w:hAnsi="Arial"/>
          <w:sz w:val="22"/>
          <w:szCs w:val="22"/>
          <w:rtl w:val="0"/>
          <w:lang w:val="en-US"/>
        </w:rPr>
        <w:t>3</w:t>
      </w:r>
      <w:r>
        <w:rPr>
          <w:rStyle w:val="None A"/>
          <w:rFonts w:ascii="Arial" w:hAnsi="Arial"/>
          <w:sz w:val="22"/>
          <w:szCs w:val="22"/>
          <w:rtl w:val="0"/>
          <w:lang w:val="en-US"/>
        </w:rPr>
        <w:t xml:space="preserve">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pooled cecal content within each treatment group were anaerobically centrifuged at 1,000 rpm for 5 minutes.  Sterile filter papers disks were then soaked with </w:t>
      </w:r>
      <w:r>
        <w:rPr>
          <w:rStyle w:val="None A"/>
          <w:rFonts w:ascii="Arial" w:hAnsi="Arial"/>
          <w:sz w:val="22"/>
          <w:szCs w:val="22"/>
          <w:rtl w:val="0"/>
          <w:lang w:val="en-US"/>
        </w:rPr>
        <w:t xml:space="preserve">20 </w:t>
      </w:r>
      <w:r>
        <w:rPr>
          <w:rStyle w:val="None A"/>
          <w:rFonts w:ascii="Arial" w:hAnsi="Arial" w:hint="default"/>
          <w:sz w:val="22"/>
          <w:szCs w:val="22"/>
          <w:rtl w:val="0"/>
          <w:lang w:val="en-US"/>
        </w:rPr>
        <w:t>μ</w:t>
      </w:r>
      <w:r>
        <w:rPr>
          <w:rStyle w:val="None A"/>
          <w:rFonts w:ascii="Arial" w:hAnsi="Arial"/>
          <w:sz w:val="22"/>
          <w:szCs w:val="22"/>
          <w:rtl w:val="0"/>
          <w:lang w:val="en-US"/>
        </w:rPr>
        <w:t>l</w:t>
      </w:r>
      <w:r>
        <w:rPr>
          <w:rStyle w:val="None A"/>
          <w:rFonts w:ascii="Arial" w:hAnsi="Arial"/>
          <w:sz w:val="22"/>
          <w:szCs w:val="22"/>
          <w:rtl w:val="0"/>
          <w:lang w:val="en-US"/>
        </w:rPr>
        <w:t xml:space="preserve"> </w:t>
      </w:r>
      <w:r>
        <w:rPr>
          <w:rStyle w:val="None A"/>
          <w:rFonts w:ascii="Arial" w:hAnsi="Arial"/>
          <w:sz w:val="22"/>
          <w:szCs w:val="22"/>
          <w:rtl w:val="0"/>
          <w:lang w:val="en-US"/>
        </w:rPr>
        <w:t>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w:t>
      </w:r>
      <w:r>
        <w:rPr>
          <w:rStyle w:val="None A"/>
          <w:rFonts w:ascii="Arial" w:hAnsi="Arial"/>
          <w:sz w:val="22"/>
          <w:szCs w:val="22"/>
          <w:rtl w:val="0"/>
          <w:lang w:val="en-US"/>
        </w:rPr>
        <w:t xml:space="preserve">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and library preparation. </w:t>
      </w:r>
      <w:r>
        <w:rPr>
          <w:rStyle w:val="None A"/>
          <w:rFonts w:ascii="Arial" w:hAnsi="Arial"/>
          <w:sz w:val="22"/>
          <w:szCs w:val="22"/>
          <w:rtl w:val="0"/>
          <w:lang w:val="en-US"/>
        </w:rPr>
        <w:t xml:space="preserve">This procedure was adapted from the RNA isolation protocol defined by Lopez-Medina et. al., 2011. </w:t>
      </w:r>
      <w:r>
        <w:rPr>
          <w:rStyle w:val="None A"/>
          <w:rFonts w:ascii="Arial" w:hAnsi="Arial"/>
          <w:sz w:val="22"/>
          <w:szCs w:val="22"/>
          <w:shd w:val="clear" w:color="auto" w:fill="ffff00"/>
          <w:rtl w:val="0"/>
          <w:lang w:val="en-US"/>
        </w:rPr>
        <w:t xml:space="preserve">In order to generate enough mRNA biomass contributed by </w:t>
      </w:r>
      <w:r>
        <w:rPr>
          <w:rStyle w:val="None A"/>
          <w:rFonts w:ascii="Arial" w:hAnsi="Arial"/>
          <w:i w:val="1"/>
          <w:iCs w:val="1"/>
          <w:sz w:val="22"/>
          <w:szCs w:val="22"/>
          <w:shd w:val="clear" w:color="auto" w:fill="ffff00"/>
          <w:rtl w:val="0"/>
          <w:lang w:val="en-US"/>
        </w:rPr>
        <w:t>C. difficile</w:t>
      </w:r>
      <w:r>
        <w:rPr>
          <w:rStyle w:val="None A"/>
          <w:rFonts w:ascii="Arial" w:hAnsi="Arial"/>
          <w:sz w:val="22"/>
          <w:szCs w:val="22"/>
          <w:shd w:val="clear" w:color="auto" w:fill="ffff00"/>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w:t>
      </w:r>
      <w:r>
        <w:rPr>
          <w:rStyle w:val="None A"/>
          <w:rFonts w:ascii="Arial" w:hAnsi="Arial"/>
          <w:sz w:val="22"/>
          <w:szCs w:val="22"/>
          <w:rtl w:val="0"/>
          <w:lang w:val="en-US"/>
        </w:rPr>
        <w:t xml:space="preserv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w:t>
      </w:r>
      <w:r>
        <w:rPr>
          <w:rStyle w:val="None A"/>
          <w:rFonts w:ascii="Arial" w:hAnsi="Arial"/>
          <w:sz w:val="22"/>
          <w:szCs w:val="22"/>
          <w:rtl w:val="0"/>
          <w:lang w:val="en-US"/>
        </w:rPr>
        <w:t xml:space="preserve"> </w:t>
      </w:r>
      <w:r>
        <w:rPr>
          <w:rStyle w:val="None A"/>
          <w:rFonts w:ascii="Arial" w:hAnsi="Arial"/>
          <w:sz w:val="22"/>
          <w:szCs w:val="22"/>
          <w:rtl w:val="0"/>
          <w:lang w:val="en-US"/>
        </w:rPr>
        <w:t>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l of RNase-free water.</w:t>
      </w:r>
    </w:p>
    <w:p>
      <w:pPr>
        <w:pStyle w:val="Default"/>
        <w:shd w:val="clear" w:color="auto" w:fill="ffffff"/>
        <w:spacing w:line="480" w:lineRule="auto"/>
        <w:jc w:val="both"/>
      </w:pPr>
      <w:r>
        <w:rPr>
          <w:rStyle w:val="None A"/>
          <w:rFonts w:ascii="Arial" w:cs="Arial" w:hAnsi="Arial" w:eastAsia="Arial"/>
          <w:sz w:val="22"/>
          <w:szCs w:val="22"/>
          <w:rtl w:val="0"/>
        </w:rPr>
        <w:tab/>
        <w:t xml:space="preserve">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w:t>
      </w:r>
      <w:r>
        <w:rPr>
          <w:rStyle w:val="None A"/>
          <w:rFonts w:ascii="Arial" w:hAnsi="Arial"/>
          <w:sz w:val="22"/>
          <w:szCs w:val="22"/>
          <w:rtl w:val="0"/>
          <w:lang w:val="en-US"/>
        </w:rPr>
        <w:t xml:space="preserve">: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ffff00"/>
          <w:rtl w:val="0"/>
          <w:lang w:val="en-US"/>
        </w:rPr>
        <w:t>Fully curated reads were the mapped to C</w:t>
      </w:r>
      <w:r>
        <w:rPr>
          <w:rStyle w:val="None A"/>
          <w:rFonts w:ascii="Arial" w:hAnsi="Arial"/>
          <w:i w:val="1"/>
          <w:iCs w:val="1"/>
          <w:sz w:val="22"/>
          <w:szCs w:val="22"/>
          <w:shd w:val="clear" w:color="auto" w:fill="ffff00"/>
          <w:rtl w:val="0"/>
          <w:lang w:val="en-US"/>
        </w:rPr>
        <w:t>lostridium difficile</w:t>
      </w:r>
      <w:r>
        <w:rPr>
          <w:rStyle w:val="None A"/>
          <w:rFonts w:ascii="Arial" w:hAnsi="Arial"/>
          <w:sz w:val="22"/>
          <w:szCs w:val="22"/>
          <w:shd w:val="clear" w:color="auto" w:fill="ffff00"/>
          <w:rtl w:val="0"/>
          <w:lang w:val="en-US"/>
        </w:rPr>
        <w:t xml:space="preserve"> str. 630 genes. This resulted in ~150,000 curated reads per group left for downstream analysis. Each collection of reads was then 1000-fold iteratively subsampled to 97,930 reads to generate bootstrapped confidence intervals for each gene (Fig. 2).</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w:t>
      </w:r>
      <w:r>
        <w:rPr>
          <w:rStyle w:val="None A"/>
          <w:rFonts w:ascii="Arial" w:hAnsi="Arial"/>
          <w:sz w:val="22"/>
          <w:szCs w:val="22"/>
          <w:rtl w:val="0"/>
          <w:lang w:val="en-US"/>
        </w:rPr>
        <w:t>Betweenness-centrality was calculated using the igraph package in R.</w:t>
      </w:r>
    </w:p>
    <w:p>
      <w:pPr>
        <w:pStyle w:val="Default"/>
        <w:shd w:val="clear" w:color="auto" w:fill="ffffff"/>
        <w:spacing w:line="480" w:lineRule="auto"/>
        <w:jc w:val="both"/>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1 | Experimental timelines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18 hours after infection.</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Experimental timelines for the antibiotic treatments used to sensitize animals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and infection (n = 9 per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Toxin titer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assessed through differential plating (plated without germinant) and </w:t>
      </w:r>
      <w:r>
        <w:rPr>
          <w:rStyle w:val="None A"/>
          <w:rFonts w:ascii="Arial" w:hAnsi="Arial"/>
          <w:b w:val="1"/>
          <w:bCs w:val="1"/>
          <w:sz w:val="22"/>
          <w:szCs w:val="22"/>
          <w:rtl w:val="0"/>
          <w:lang w:val="en-US"/>
        </w:rPr>
        <w:t xml:space="preserv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measured with an alternative plating strategy (heating to 65</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2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subsampled gene abundances, shown with 95% confidence interval.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sigma factors which their expression has been linked to environment cues.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Majority of known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Many key genes for sporulation display differential expression between treatment groups.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Transcript recruitment to pathogenicity loci, including both the standard PaLoc genes as well as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but not the genes for binary toxin as they are absent in str. 630.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Genes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3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A)</w:t>
      </w:r>
      <w:r>
        <w:rPr>
          <w:rStyle w:val="None A"/>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through </w:t>
      </w:r>
      <w:r>
        <w:rPr>
          <w:rStyle w:val="None A"/>
          <w:rFonts w:ascii="Arial" w:hAnsi="Arial"/>
          <w:b w:val="1"/>
          <w:bCs w:val="1"/>
          <w:sz w:val="22"/>
          <w:szCs w:val="22"/>
          <w:rtl w:val="0"/>
          <w:lang w:val="en-US"/>
        </w:rPr>
        <w:t>I)</w:t>
      </w:r>
      <w:r>
        <w:rPr>
          <w:rStyle w:val="None A"/>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w:t>
      </w:r>
      <w:r>
        <w:rPr>
          <w:rStyle w:val="None A"/>
          <w:rFonts w:ascii="Arial" w:hAnsi="Arial"/>
          <w:b w:val="1"/>
          <w:bCs w:val="1"/>
          <w:sz w:val="22"/>
          <w:szCs w:val="22"/>
          <w:rtl w:val="0"/>
          <w:lang w:val="en-US"/>
        </w:rPr>
        <w:t xml:space="preserve"> B) </w:t>
      </w:r>
      <w:r>
        <w:rPr>
          <w:rStyle w:val="None A"/>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A"/>
          <w:rFonts w:ascii="Arial" w:hAnsi="Arial"/>
          <w:b w:val="1"/>
          <w:bCs w:val="1"/>
          <w:sz w:val="22"/>
          <w:szCs w:val="22"/>
          <w:rtl w:val="0"/>
          <w:lang w:val="en-US"/>
        </w:rPr>
        <w:t xml:space="preserve">C)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5 |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concentrations from targeted LC-MS analysis of predicted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nutrient sources from metabolic models. A)</w:t>
      </w:r>
      <w:r>
        <w:rPr>
          <w:rStyle w:val="None A"/>
          <w:rFonts w:ascii="Arial" w:hAnsi="Arial"/>
          <w:sz w:val="22"/>
          <w:szCs w:val="22"/>
          <w:rtl w:val="0"/>
          <w:lang w:val="en-US"/>
        </w:rPr>
        <w:t xml:space="preserve"> Heatmap, group by treatment group on x-axis and hierarchical clustering on y-axis. Comparing No Antibiotics to each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Bar charts of the actual concentrations for the substrates identified through metabolic modeling, shown in Figure 4.</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exome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6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Purdy, D., Williams, P., &amp; Minton, N. P. (2005). Quorum sensing in Clostridium difficile: Analysis of a luxS-type signalling system. In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(Vol. 54, pp. 119</w:t>
      </w:r>
      <w:r>
        <w:rPr>
          <w:rStyle w:val="None A"/>
          <w:rFonts w:ascii="Arial" w:hAnsi="Arial" w:hint="default"/>
          <w:sz w:val="18"/>
          <w:szCs w:val="18"/>
          <w:rtl w:val="0"/>
          <w:lang w:val="en-US"/>
        </w:rPr>
        <w:t>–</w:t>
      </w:r>
      <w:r>
        <w:rPr>
          <w:rStyle w:val="None A"/>
          <w:rFonts w:ascii="Arial" w:hAnsi="Arial"/>
          <w:sz w:val="18"/>
          <w:szCs w:val="18"/>
          <w:rtl w:val="0"/>
          <w:lang w:val="en-US"/>
        </w:rPr>
        <w:t>127). http://doi.org/10.1099/jmm.0.45817-0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"http://doi.org/10.1128/JB.00098-15"</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"http://doi.org/10.1111/j.1432-1033.1997.t01-1-00735.x"</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3"/>
        </w:rPr>
        <w:fldChar w:fldCharType="begin" w:fldLock="0"/>
      </w:r>
      <w:r>
        <w:rPr>
          <w:rStyle w:val="Hyperlink.3"/>
        </w:rPr>
        <w:instrText xml:space="preserve"> HYPERLINK "http://doi.org/10.1128/IAI.00515-13"</w:instrText>
      </w:r>
      <w:r>
        <w:rPr>
          <w:rStyle w:val="Hyperlink.3"/>
        </w:rPr>
        <w:fldChar w:fldCharType="separate" w:fldLock="0"/>
      </w:r>
      <w:r>
        <w:rPr>
          <w:rStyle w:val="Hyperlink.3"/>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color="323232"/>
        </w:rPr>
      </w:pPr>
      <w:r>
        <w:rPr>
          <w:rStyle w:val="None A"/>
          <w:rFonts w:ascii="Arial" w:hAnsi="Arial"/>
          <w:color w:val="323232"/>
          <w:sz w:val="18"/>
          <w:szCs w:val="18"/>
          <w:u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color="323232"/>
          <w:rtl w:val="0"/>
          <w:lang w:val="de-DE"/>
        </w:rPr>
        <w:t>PLoS ONE</w:t>
      </w:r>
      <w:r>
        <w:rPr>
          <w:rStyle w:val="None A"/>
          <w:rFonts w:ascii="Arial" w:hAnsi="Arial"/>
          <w:color w:val="323232"/>
          <w:sz w:val="18"/>
          <w:szCs w:val="18"/>
          <w:u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4"/>
        </w:rPr>
        <w:fldChar w:fldCharType="begin" w:fldLock="0"/>
      </w:r>
      <w:r>
        <w:rPr>
          <w:rStyle w:val="Hyperlink.4"/>
        </w:rPr>
        <w:instrText xml:space="preserve"> HYPERLINK "http://doi.org/10.1056/NEJMoa1408913"</w:instrText>
      </w:r>
      <w:r>
        <w:rPr>
          <w:rStyle w:val="Hyperlink.4"/>
        </w:rPr>
        <w:fldChar w:fldCharType="separate" w:fldLock="0"/>
      </w:r>
      <w:r>
        <w:rPr>
          <w:rStyle w:val="Hyperlink.4"/>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Songer, J. G., &amp; Anderson, M. A. (2006). Clostridium difficile: An important pathogen of food animals. </w:t>
      </w:r>
      <w:r>
        <w:rPr>
          <w:rStyle w:val="None A"/>
          <w:rFonts w:ascii="Arial" w:hAnsi="Arial"/>
          <w:i w:val="1"/>
          <w:iCs w:val="1"/>
          <w:sz w:val="18"/>
          <w:szCs w:val="18"/>
          <w:rtl w:val="0"/>
          <w:lang w:val="en-US"/>
        </w:rPr>
        <w:t>Anaerobe</w:t>
      </w:r>
      <w:r>
        <w:rPr>
          <w:rStyle w:val="None A"/>
          <w:rFonts w:ascii="Arial" w:hAnsi="Arial"/>
          <w:sz w:val="18"/>
          <w:szCs w:val="18"/>
          <w:rtl w:val="0"/>
          <w:lang w:val="en-US"/>
        </w:rPr>
        <w:t>. http://doi.org/10.1016/j.anaerobe.2005.09.001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5"/>
        </w:rPr>
        <w:fldChar w:fldCharType="begin" w:fldLock="0"/>
      </w:r>
      <w:r>
        <w:rPr>
          <w:rStyle w:val="Hyperlink.5"/>
        </w:rPr>
        <w:instrText xml:space="preserve"> HYPERLINK "http://doi.org/10.1007/s10096-015-2479-6"</w:instrText>
      </w:r>
      <w:r>
        <w:rPr>
          <w:rStyle w:val="Hyperlink.5"/>
        </w:rPr>
        <w:fldChar w:fldCharType="separate" w:fldLock="0"/>
      </w:r>
      <w:r>
        <w:rPr>
          <w:rStyle w:val="Hyperlink.5"/>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A"/>
    <w:next w:val="Hyperlink.1"/>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None A"/>
    <w:next w:val="Hyperlink.2"/>
    <w:rPr>
      <w:rFonts w:ascii="Arial" w:cs="Arial" w:hAnsi="Arial" w:eastAsia="Arial"/>
      <w:color w:val="0000ff"/>
      <w:sz w:val="18"/>
      <w:szCs w:val="18"/>
      <w:u w:val="single" w:color="0000ff"/>
      <w:lang w:val="en-US"/>
    </w:rPr>
  </w:style>
  <w:style w:type="character" w:styleId="Hyperlink.3">
    <w:name w:val="Hyperlink.3"/>
    <w:basedOn w:val="None A"/>
    <w:next w:val="Hyperlink.3"/>
    <w:rPr>
      <w:rFonts w:ascii="Arial" w:cs="Arial" w:hAnsi="Arial" w:eastAsia="Arial"/>
      <w:color w:val="0000ff"/>
      <w:sz w:val="18"/>
      <w:szCs w:val="18"/>
      <w:u w:val="single" w:color="0000ff"/>
    </w:rPr>
  </w:style>
  <w:style w:type="character" w:styleId="Hyperlink.4">
    <w:name w:val="Hyperlink.4"/>
    <w:basedOn w:val="None A"/>
    <w:next w:val="Hyperlink.4"/>
    <w:rPr>
      <w:rFonts w:ascii="Arial" w:cs="Arial" w:hAnsi="Arial" w:eastAsia="Arial"/>
      <w:color w:val="000080"/>
      <w:sz w:val="18"/>
      <w:szCs w:val="18"/>
      <w:u w:val="single" w:color="000080"/>
    </w:rPr>
  </w:style>
  <w:style w:type="character" w:styleId="Hyperlink.5">
    <w:name w:val="Hyperlink.5"/>
    <w:basedOn w:val="None A"/>
    <w:next w:val="Hyperlink.5"/>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