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40" w:type="dxa"/>
        <w:jc w:val="left"/>
        <w:tblInd w:w="6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190"/>
        <w:gridCol w:w="1608"/>
        <w:gridCol w:w="1604"/>
        <w:gridCol w:w="1607"/>
        <w:gridCol w:w="1762"/>
        <w:gridCol w:w="1668"/>
      </w:tblGrid>
      <w:tr>
        <w:trPr>
          <w:trHeight w:val="272" w:hRule="atLeast"/>
        </w:trPr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Antibiotic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Activity</w:t>
            </w:r>
          </w:p>
        </w:tc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Administration</w:t>
            </w:r>
          </w:p>
        </w:tc>
        <w:tc>
          <w:tcPr>
            <w:tcW w:w="1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Dosage</w:t>
            </w:r>
          </w:p>
        </w:tc>
      </w:tr>
      <w:tr>
        <w:trPr>
          <w:trHeight w:val="1247" w:hRule="atLeast"/>
        </w:trPr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Cefoperazone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Cephalosporin (3rd generation)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Primarily Gram-positive bacteria, with increased activity against Gram-negative bacteria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Irreversibly crosslink bacterial transpeptidases to peptidoglycan and prevents cell wall synthesis</w:t>
            </w:r>
          </w:p>
        </w:tc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/>
            </w:pPr>
            <w:r>
              <w:rPr>
                <w:sz w:val="16"/>
                <w:szCs w:val="16"/>
              </w:rPr>
              <w:t>Drinking water Ad libitum</w:t>
            </w:r>
            <w:bookmarkStart w:id="0" w:name="__DdeLink__170_365352237"/>
            <w:r>
              <w:rPr>
                <w:sz w:val="16"/>
                <w:szCs w:val="16"/>
              </w:rPr>
              <w:t xml:space="preserve"> for 5 days,</w:t>
            </w:r>
          </w:p>
          <w:p>
            <w:pPr>
              <w:pStyle w:val="BodyA"/>
              <w:rPr/>
            </w:pPr>
            <w:r>
              <w:rPr>
                <w:sz w:val="16"/>
                <w:szCs w:val="16"/>
              </w:rPr>
              <w:t xml:space="preserve">2 </w:t>
            </w:r>
            <w:bookmarkEnd w:id="0"/>
            <w:r>
              <w:rPr>
                <w:sz w:val="16"/>
                <w:szCs w:val="16"/>
              </w:rPr>
              <w:t>days untreated drinking water prior to infection</w:t>
            </w:r>
          </w:p>
        </w:tc>
        <w:tc>
          <w:tcPr>
            <w:tcW w:w="1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/>
            </w:pPr>
            <w:r>
              <w:rPr>
                <w:sz w:val="16"/>
                <w:szCs w:val="16"/>
              </w:rPr>
              <w:t xml:space="preserve">0.5 mg/ml </w:t>
            </w:r>
            <w:bookmarkStart w:id="1" w:name="__DdeLink__89_1188768114"/>
            <w:bookmarkEnd w:id="1"/>
            <w:r>
              <w:rPr>
                <w:sz w:val="16"/>
                <w:szCs w:val="16"/>
              </w:rPr>
              <w:t>drinking water</w:t>
            </w:r>
          </w:p>
        </w:tc>
      </w:tr>
      <w:tr>
        <w:trPr>
          <w:trHeight w:val="1094" w:hRule="atLeast"/>
        </w:trPr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Streptomycin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Aminoglycoside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against most Gram-negative aerobic and facultative anaerobic bacilli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Protein synthesis inhibitor through binding the 30S portion of the 70S ribosomal subunit</w:t>
            </w:r>
          </w:p>
        </w:tc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/>
            </w:pPr>
            <w:r>
              <w:rPr>
                <w:sz w:val="16"/>
                <w:szCs w:val="16"/>
              </w:rPr>
              <w:t xml:space="preserve">Drinking water Ad libitum for 5 days, </w:t>
              <w:br/>
              <w:t>2 days untreated drinking water prior to infection</w:t>
            </w:r>
          </w:p>
        </w:tc>
        <w:tc>
          <w:tcPr>
            <w:tcW w:w="1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/>
            </w:pPr>
            <w:r>
              <w:rPr>
                <w:sz w:val="16"/>
                <w:szCs w:val="16"/>
              </w:rPr>
              <w:t xml:space="preserve">5.0 mg/ml </w:t>
            </w:r>
            <w:r>
              <w:rPr>
                <w:sz w:val="16"/>
                <w:szCs w:val="16"/>
              </w:rPr>
              <w:t>drinking water</w:t>
            </w:r>
          </w:p>
        </w:tc>
      </w:tr>
      <w:tr>
        <w:trPr>
          <w:trHeight w:val="1355" w:hRule="atLeast"/>
        </w:trPr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Clindamycin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Lincosamide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Primarily active against Gram-positive bacteria, most anaerobic bacteria, and some mycoplasma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Protein synthesis inhibition through binding to the 23s portion of the 50S ribosomal subunit</w:t>
            </w:r>
          </w:p>
        </w:tc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/>
            </w:pPr>
            <w:r>
              <w:rPr>
                <w:sz w:val="16"/>
                <w:szCs w:val="16"/>
              </w:rPr>
              <w:t>Intraperitoneal injection 24 hours prior to infection</w:t>
            </w:r>
          </w:p>
        </w:tc>
        <w:tc>
          <w:tcPr>
            <w:tcW w:w="1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mg/kg body weight</w:t>
            </w:r>
          </w:p>
        </w:tc>
      </w:tr>
    </w:tbl>
    <w:p>
      <w:pPr>
        <w:pStyle w:val="BodyA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A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A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A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A"/>
        <w:rPr/>
      </w:pPr>
      <w:r>
        <w:rPr>
          <w:sz w:val="16"/>
          <w:szCs w:val="16"/>
        </w:rPr>
        <w:t>Table 1 | Antibiotics used dur</w:t>
      </w:r>
      <w:bookmarkStart w:id="2" w:name="_GoBack"/>
      <w:bookmarkEnd w:id="2"/>
      <w:r>
        <w:rPr>
          <w:sz w:val="16"/>
          <w:szCs w:val="16"/>
        </w:rPr>
        <w:t xml:space="preserve">ing </w:t>
      </w:r>
      <w:r>
        <w:rPr>
          <w:i/>
          <w:iCs/>
          <w:sz w:val="16"/>
          <w:szCs w:val="16"/>
          <w:lang w:val="it-IT"/>
        </w:rPr>
        <w:t>C. difficile</w:t>
      </w:r>
      <w:r>
        <w:rPr>
          <w:sz w:val="16"/>
          <w:szCs w:val="16"/>
        </w:rPr>
        <w:t xml:space="preserve"> infection models.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en-US" w:bidi="ar-SA"/>
    </w:rPr>
  </w:style>
  <w:style w:type="paragraph" w:styleId="BodyA" w:customStyle="1">
    <w:name w:val="Body A"/>
    <w:qFormat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u w:val="none" w:color="000000"/>
      <w:lang w:val="en-US" w:eastAsia="en-US" w:bidi="ar-SA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u w:val="none" w:color="000000"/>
      <w:lang w:val="fr-FR" w:eastAsia="en-US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LibreOffice/5.1.4.2$Linux_X86_64 LibreOffice_project/10m0$Build-2</Application>
  <Pages>1</Pages>
  <Words>140</Words>
  <Characters>919</Characters>
  <CharactersWithSpaces>1034</CharactersWithSpaces>
  <Paragraphs>26</Paragraphs>
  <Company>The University of Michigan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2016-12-07T18:43:00Z</dcterms:created>
  <dc:creator/>
  <dc:description/>
  <dc:language>en-US</dc:language>
  <cp:lastModifiedBy/>
  <dcterms:modified xsi:type="dcterms:W3CDTF">2017-02-17T09:37:33Z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The University of Michigan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