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17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960"/>
        <w:gridCol w:w="1960"/>
        <w:gridCol w:w="1960"/>
        <w:gridCol w:w="1960"/>
        <w:gridCol w:w="1960"/>
        <w:gridCol w:w="1960"/>
      </w:tblGrid>
      <w:tr>
        <w:tblPrEx>
          <w:shd w:val="clear" w:color="auto" w:fill="499bc9"/>
        </w:tblPrEx>
        <w:trPr>
          <w:trHeight w:val="400" w:hRule="atLeast"/>
          <w:tblHeader/>
        </w:trPr>
        <w:tc>
          <w:tcPr>
            <w:tcW w:type="dxa" w:w="11760"/>
            <w:gridSpan w:val="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sz w:val="24"/>
                <w:szCs w:val="24"/>
                <w:rtl w:val="0"/>
                <w:lang w:val="fr-FR"/>
              </w:rPr>
              <w:t>Table 1</w:t>
            </w:r>
          </w:p>
        </w:tc>
      </w:tr>
      <w:tr>
        <w:tblPrEx>
          <w:shd w:val="clear" w:color="auto" w:fill="ceddeb"/>
        </w:tblPrEx>
        <w:trPr>
          <w:trHeight w:val="272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Antibiotic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Class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Target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Activity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Administration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Dosage</w:t>
            </w:r>
          </w:p>
        </w:tc>
      </w:tr>
      <w:tr>
        <w:tblPrEx>
          <w:shd w:val="clear" w:color="auto" w:fill="ceddeb"/>
        </w:tblPrEx>
        <w:trPr>
          <w:trHeight w:val="1572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Cefoperazone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Cephalosporin (3rd generation)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Primarily Gram-positive bacteria, with increased activity against Gram-negative bacteria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Irreversibly crosslink bacterial transpeptidases to peptidoglycan and prevents cell wall synthesis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Drinking water Ad libitum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0.5 mg/ml</w:t>
            </w:r>
          </w:p>
        </w:tc>
      </w:tr>
      <w:tr>
        <w:tblPrEx>
          <w:shd w:val="clear" w:color="auto" w:fill="ceddeb"/>
        </w:tblPrEx>
        <w:trPr>
          <w:trHeight w:val="1312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Streptomycin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Aminoglycoside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Active against most Gram-negative aerobic and facultative anaerobic bacilli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Protein synthesis inhibitor through binding the 30S portion of the 70S ribosomal subunit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Drinking water Ad libitum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5.0 mg/ml</w:t>
            </w:r>
          </w:p>
        </w:tc>
      </w:tr>
      <w:tr>
        <w:tblPrEx>
          <w:shd w:val="clear" w:color="auto" w:fill="ceddeb"/>
        </w:tblPrEx>
        <w:trPr>
          <w:trHeight w:val="1832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Clindamycin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Lincosamide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Primarily active against Gram-positive bacteria, most anaerobic bacteria, and some mycoplasma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Protein synthesis inhibition through binding to the 23s portion of the 50S ribosomal subunit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Intraperitoneal injection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10 mg/kg body weight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Table 1 | Antibiotics used dur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727788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77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spacing w:after="120"/>
                              <w:jc w:val="center"/>
                            </w:pPr>
                            <w:r/>
                          </w:p>
                          <w:p>
                            <w:pPr>
                              <w:pStyle w:val="Body A"/>
                            </w:pPr>
                            <w: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2.0pt;margin-top:72.0pt;width:468.0pt;height:57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spacing w:after="120"/>
                        <w:jc w:val="center"/>
                      </w:pPr>
                    </w:p>
                    <w:p>
                      <w:pPr>
                        <w:pStyle w:val="Body A"/>
                      </w:pPr>
                      <w: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Body A"/>
                      </w:pPr>
                      <w: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Body A"/>
                      </w:pPr>
                      <w: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Body A"/>
                      </w:pPr>
                      <w:r>
                        <w:tab/>
                        <w:tab/>
                        <w:tab/>
                        <w:tab/>
                        <w:tab/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tl w:val="0"/>
          <w:lang w:val="en-US"/>
        </w:rPr>
        <w:t xml:space="preserve">ing </w:t>
      </w:r>
      <w:r>
        <w:rPr>
          <w:i w:val="1"/>
          <w:iCs w:val="1"/>
          <w:rtl w:val="0"/>
          <w:lang w:val="it-IT"/>
        </w:rPr>
        <w:t>C. difficile</w:t>
      </w:r>
      <w:r>
        <w:rPr>
          <w:rtl w:val="0"/>
          <w:lang w:val="en-US"/>
        </w:rPr>
        <w:t xml:space="preserve"> infection models.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