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C42C" w14:textId="77777777" w:rsidR="006F0EEE" w:rsidRDefault="00000000" w:rsidP="0011697A">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597590FE" w14:textId="77777777" w:rsidR="006F0EEE" w:rsidRDefault="00000000" w:rsidP="0011697A">
      <w:pPr>
        <w:pStyle w:val="FirstParagraph"/>
        <w:spacing w:line="480" w:lineRule="auto"/>
      </w:pPr>
      <w:r>
        <w:rPr>
          <w:b/>
        </w:rPr>
        <w:t>Running title:</w:t>
      </w:r>
      <w:r>
        <w:t xml:space="preserve"> Microbiota potentiates </w:t>
      </w:r>
      <w:r>
        <w:rPr>
          <w:i/>
        </w:rPr>
        <w:t>Clostridioides difficile</w:t>
      </w:r>
      <w:r>
        <w:t xml:space="preserve"> infection severity</w:t>
      </w:r>
    </w:p>
    <w:p w14:paraId="0E484548" w14:textId="69A911F7" w:rsidR="006F0EEE" w:rsidRDefault="00000000" w:rsidP="0011697A">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w:del w:id="1" w:author="Lesniak, Nicholas" w:date="2022-06-17T11:19:00Z">
        <w:r w:rsidR="005F4546">
          <w:delText>Kaitlyn</w:delText>
        </w:r>
      </w:del>
      <w:ins w:id="2" w:author="Lesniak, Nicholas" w:date="2022-06-17T11:19:00Z">
        <w:r>
          <w:t>Kaitlin</w:t>
        </w:r>
      </w:ins>
      <w:r>
        <w:t xml:space="preserve">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59688F1" w14:textId="77777777" w:rsidR="006F0EEE" w:rsidRDefault="00000000" w:rsidP="0011697A">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affiliation: Department of Medicine, Division of International Health and Infectious Diseases, University of Virginia School of Medicine, Charlottesville, Virginia, USA</w:t>
      </w:r>
    </w:p>
    <w:p w14:paraId="7B103859" w14:textId="77777777" w:rsidR="006F0EEE" w:rsidRDefault="00000000" w:rsidP="0011697A">
      <w:pPr>
        <w:spacing w:line="480" w:lineRule="auto"/>
      </w:pPr>
      <w:r>
        <w:br w:type="page"/>
      </w:r>
    </w:p>
    <w:p w14:paraId="384EB461" w14:textId="77777777" w:rsidR="006F0EEE" w:rsidRDefault="00000000" w:rsidP="0011697A">
      <w:pPr>
        <w:pStyle w:val="Heading2"/>
        <w:spacing w:line="480" w:lineRule="auto"/>
      </w:pPr>
      <w:bookmarkStart w:id="3" w:name="abstract"/>
      <w:r>
        <w:lastRenderedPageBreak/>
        <w:t>Abstract</w:t>
      </w:r>
      <w:bookmarkEnd w:id="3"/>
    </w:p>
    <w:p w14:paraId="3E6AC56E" w14:textId="77777777" w:rsidR="006F0EEE" w:rsidRDefault="00000000" w:rsidP="0011697A">
      <w:pPr>
        <w:pStyle w:val="FirstParagraph"/>
        <w:spacing w:line="480" w:lineRule="auto"/>
      </w:pPr>
      <w:r>
        <w:t xml:space="preserve">The severity of </w:t>
      </w:r>
      <w:r>
        <w:rPr>
          <w:i/>
        </w:rPr>
        <w:t>Clostridioides difficile</w:t>
      </w:r>
      <w:r>
        <w:t xml:space="preserve"> infections (CDI) has increased over 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through bile acid metabolism, nutrient consumption and bacteriocin production. Here we sought to demonstrate that members of the gut bacterial communities can also contribute to disease severity. We derived diverse gut communities by colonizing germ-free mice with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community that the mice received. Generally, bacterial populations with pathogenic potential, such as </w:t>
      </w:r>
      <w:r>
        <w:rPr>
          <w:i/>
        </w:rPr>
        <w:t>Enterococcus</w:t>
      </w:r>
      <w:r>
        <w:t xml:space="preserve">, </w:t>
      </w:r>
      <w:r>
        <w:rPr>
          <w:i/>
        </w:rPr>
        <w:t>Helicobacter</w:t>
      </w:r>
      <w:r>
        <w:t xml:space="preserve">, and </w:t>
      </w:r>
      <w:r>
        <w:rPr>
          <w:i/>
        </w:rPr>
        <w:t>Klebsiella</w:t>
      </w:r>
      <w:r>
        <w:t xml:space="preserve">, were associated with more severe outcomes. Bacterial groups associated with fiber degradation and bile acid metabolism,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2124DEC9" w14:textId="77777777" w:rsidR="006F0EEE" w:rsidRDefault="00000000" w:rsidP="0011697A">
      <w:pPr>
        <w:pStyle w:val="Heading2"/>
        <w:spacing w:line="480" w:lineRule="auto"/>
      </w:pPr>
      <w:bookmarkStart w:id="4" w:name="importance"/>
      <w:r>
        <w:t>Importance</w:t>
      </w:r>
      <w:bookmarkEnd w:id="4"/>
    </w:p>
    <w:p w14:paraId="1E8385FC" w14:textId="77777777" w:rsidR="006F0EEE" w:rsidRDefault="00000000" w:rsidP="0011697A">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 xml:space="preserve">predict severity and guide treatment decisions are based on clinical factors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 ability to identify patients at risk of developing more severe disease and improve interventions which target </w:t>
      </w:r>
      <w:r>
        <w:rPr>
          <w:i/>
        </w:rPr>
        <w:t>C. difficile</w:t>
      </w:r>
      <w:r>
        <w:t xml:space="preserve"> and the gut bacteria to reduce host damage.</w:t>
      </w:r>
    </w:p>
    <w:p w14:paraId="36B7DA88" w14:textId="77777777" w:rsidR="006F0EEE" w:rsidRDefault="00000000" w:rsidP="0011697A">
      <w:pPr>
        <w:spacing w:line="480" w:lineRule="auto"/>
      </w:pPr>
      <w:r>
        <w:br w:type="page"/>
      </w:r>
    </w:p>
    <w:p w14:paraId="46475FE8" w14:textId="77777777" w:rsidR="006F0EEE" w:rsidRDefault="00000000" w:rsidP="0011697A">
      <w:pPr>
        <w:pStyle w:val="Heading2"/>
        <w:spacing w:line="480" w:lineRule="auto"/>
      </w:pPr>
      <w:bookmarkStart w:id="5" w:name="introduction"/>
      <w:r>
        <w:lastRenderedPageBreak/>
        <w:t>Introduction</w:t>
      </w:r>
      <w:bookmarkEnd w:id="5"/>
    </w:p>
    <w:p w14:paraId="3B373294" w14:textId="77777777" w:rsidR="006F0EEE" w:rsidRDefault="00000000" w:rsidP="0011697A">
      <w:pPr>
        <w:pStyle w:val="FirstParagraph"/>
        <w:spacing w:line="480" w:lineRule="auto"/>
      </w:pPr>
      <w:r>
        <w:rPr>
          <w:i/>
        </w:rPr>
        <w:t>Clostridioides difficile</w:t>
      </w:r>
      <w:r>
        <w:t xml:space="preserve"> infections (CDI) have increased in incidence and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megacolon are considered to have fulminant CDI (2). Since these measures are CDI outcomes, they have limited ability to predict risk of severe CDI when the infection is first detected. Schemes have been developed to score a patient’s risk for severe CDI outcomes based on clinical factors but have not been robust for broad application (3). Thus, we have limited ability to prevent patients from developing severe CDI.</w:t>
      </w:r>
    </w:p>
    <w:p w14:paraId="4F9C35CD" w14:textId="77777777" w:rsidR="006F0EEE" w:rsidRDefault="00000000" w:rsidP="0011697A">
      <w:pPr>
        <w:pStyle w:val="BodyText"/>
        <w:spacing w:line="480" w:lineRule="auto"/>
      </w:pPr>
      <w:r>
        <w:t xml:space="preserve">Missing from CDI severity prediction models are the effects of the indigenous gut bacteria. </w:t>
      </w:r>
      <w:r>
        <w:rPr>
          <w:i/>
        </w:rPr>
        <w:t>C. difficile</w:t>
      </w:r>
      <w:r>
        <w:t xml:space="preserve"> interacts with the gut community in many ways. The indigenous bacteria of a healthy intestinal community prevent </w:t>
      </w:r>
      <w:r>
        <w:rPr>
          <w:i/>
        </w:rPr>
        <w:t>C. difficile</w:t>
      </w:r>
      <w:r>
        <w:t xml:space="preserve"> from infecting the gut (4).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unclear.</w:t>
      </w:r>
    </w:p>
    <w:p w14:paraId="36C8D1BD" w14:textId="77777777" w:rsidR="006F0EEE" w:rsidRDefault="00000000" w:rsidP="0011697A">
      <w:pPr>
        <w:pStyle w:val="BodyText"/>
        <w:spacing w:line="480" w:lineRule="auto"/>
      </w:pPr>
      <w:r>
        <w:t xml:space="preserve">Recent studies have demonstrated that when mice with diverse microbial communities were challenged with a high-toxigenic strain resulted in varied disease severity (15) and when challenged with a low-toxigenic strain members of the gut microbial community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 and </w:t>
      </w:r>
      <w:r>
        <w:rPr>
          <w:i/>
        </w:rPr>
        <w:t>C. difficile</w:t>
      </w:r>
      <w:r>
        <w:t xml:space="preserve"> isolate were the same and only the gut community varied, the variation in disease severity we observed was attributable to the gut microbiome.</w:t>
      </w:r>
    </w:p>
    <w:p w14:paraId="51231873" w14:textId="77777777" w:rsidR="006F0EEE" w:rsidRDefault="00000000" w:rsidP="0011697A">
      <w:pPr>
        <w:pStyle w:val="Heading2"/>
        <w:spacing w:line="480" w:lineRule="auto"/>
      </w:pPr>
      <w:bookmarkStart w:id="6" w:name="results"/>
      <w:r>
        <w:t>Results</w:t>
      </w:r>
      <w:bookmarkEnd w:id="6"/>
    </w:p>
    <w:p w14:paraId="4A6DD6FB" w14:textId="77777777" w:rsidR="006F0EEE" w:rsidRDefault="00000000" w:rsidP="0011697A">
      <w:pPr>
        <w:pStyle w:val="FirstParagraph"/>
        <w:spacing w:line="480" w:lineRule="auto"/>
      </w:pPr>
      <w:r>
        <w:rPr>
          <w:b/>
          <w:i/>
        </w:rPr>
        <w:t>C. difficile</w:t>
      </w:r>
      <w:r>
        <w:rPr>
          <w:b/>
        </w:rPr>
        <w:t xml:space="preserve"> is able to infect germ-free mice colonized with human fecal microbial communities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 xml:space="preserve">feces from each of 15 human fecal samples via oral gavage. These human fecal samples were selected because they represented diverse community structures based on community clustering (18). After the gut communities had colonized for two weeks, we confirmed them to 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Gammaproteobacteria</w:t>
      </w:r>
      <w:r>
        <w:t>. However, the gut bacterial communities of each donor group of mice harbored unique relative abundance distributions of the shared bacterial classes.</w:t>
      </w:r>
    </w:p>
    <w:p w14:paraId="72DD47E7" w14:textId="16231D4E" w:rsidR="006F0EEE" w:rsidRDefault="00000000" w:rsidP="0011697A">
      <w:pPr>
        <w:pStyle w:val="BodyText"/>
        <w:spacing w:line="480" w:lineRule="auto"/>
      </w:pPr>
      <w:r>
        <w:t xml:space="preserve">Next, we tested this set of mice with their human-derived gut microbial communities for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the gut communities with an antibiotic to maintain their unique microbial compositions and ecological relationships. Since some of these communities came from people at increased risk of CDI, such as recent hospitalization or antibiotic use (18), we tested whether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 xml:space="preserve">infection. Surprisingly, communities from all donors were able to be colonized (Figure 2). Two mice were able to resist </w:t>
      </w:r>
      <w:r>
        <w:rPr>
          <w:i/>
        </w:rPr>
        <w:t>C. difficile</w:t>
      </w:r>
      <w:r>
        <w:t xml:space="preserve"> colonization, both received their community </w:t>
      </w:r>
      <w:del w:id="7" w:author="Lesniak, Nicholas" w:date="2022-06-17T11:19:00Z">
        <w:r w:rsidR="005F4546">
          <w:delText>donor</w:delText>
        </w:r>
      </w:del>
      <w:ins w:id="8" w:author="Lesniak, Nicholas" w:date="2022-06-17T11:19:00Z">
        <w:r>
          <w:t>from Donor</w:t>
        </w:r>
      </w:ins>
      <w:r>
        <w:t xml:space="preserve"> N1, which may be attributed to experimental variation since this group also had more mice. By colonizing germ-free mice with different human fecal communities, we were able to generate diverse gut communities in mice, which were susceptible to </w:t>
      </w:r>
      <w:r>
        <w:rPr>
          <w:i/>
        </w:rPr>
        <w:t>C. difficile</w:t>
      </w:r>
      <w:r>
        <w:t xml:space="preserve"> infection without further modification of the gut community.</w:t>
      </w:r>
    </w:p>
    <w:p w14:paraId="2E1C5843" w14:textId="77777777" w:rsidR="006F0EEE" w:rsidRDefault="00000000" w:rsidP="0011697A">
      <w:pPr>
        <w:pStyle w:val="BodyText"/>
        <w:spacing w:line="480" w:lineRule="auto"/>
      </w:pPr>
      <w:r>
        <w:rPr>
          <w:b/>
        </w:rPr>
        <w:t>Infection severity varies by initial community.</w:t>
      </w:r>
      <w:r>
        <w:t xml:space="preserve"> After we challenged the mice with </w:t>
      </w:r>
      <w:r>
        <w:rPr>
          <w:i/>
        </w:rPr>
        <w:t>C. difficile</w:t>
      </w:r>
      <w:r>
        <w:t xml:space="preserve">, we investigated the outcome from the infection and its relationship to the initial community. We followed the mice for 10 days post-challenge for colonization density, toxin production, and mortality. Seven mice,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by the end of the experiment. All mice that received their community from Donor M1 through M6 succumbed to the infection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mice were euthanised and fecal material were assayed for toxin activity and cecal tissue was collected and scored for histopathologic signs of disease (Figure 3). Overall, there was greater toxin activity detected in the stool of the moribund mice (Figure S1). However, when looking at each group of mice, we observed a range in toxin activity for both the moribund and non-moribund mice (Figure 3A). Non-moribund mice from Donors N2 and N5 through N9 had comparable toxin activity as the moribund mice at 2 days post-challenge. Additionally, not all moribund mice had toxin activity detected in their stool. Next, we examined the cecal tissue for histopathologic damage. Moribund mice had high </w:t>
      </w:r>
      <w:r>
        <w:lastRenderedPageBreak/>
        <w:t xml:space="preserve">levels of epithelial damage, tissue edema, and inflammation (Figure S2) similar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mice had consistently high histopathologic summary scores (Figure 3B). The non-moribund mice, Donor groups N1 through N9, had a range in tissue damage from none detected to similar levels as the moribund mice, which grouped by community donor. Together, the toxin activity, histopathologic score, and moribundity showed variation across the donor groups but were largely consistent within each donor group.</w:t>
      </w:r>
    </w:p>
    <w:p w14:paraId="1072D92F" w14:textId="55F636FD" w:rsidR="006F0EEE" w:rsidRDefault="00000000" w:rsidP="0011697A">
      <w:pPr>
        <w:pStyle w:val="BodyText"/>
        <w:spacing w:line="480" w:lineRule="auto"/>
      </w:pPr>
      <w:r>
        <w:rPr>
          <w:b/>
        </w:rPr>
        <w:t>Microbial community members explain variation in CDI severity.</w:t>
      </w:r>
      <w:r>
        <w:t xml:space="preserve"> We next interrogated the bacterial communities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severity. We split the mice into groups by severity level based on moribundity or 10 days post infection (dpi) histopathologic score for non-moribund</w:t>
      </w:r>
      <w:ins w:id="9" w:author="Lesniak, Nicholas" w:date="2022-06-17T11:19:00Z">
        <w:r>
          <w:t xml:space="preserve"> mice</w:t>
        </w:r>
      </w:ins>
      <w:r>
        <w:t xml:space="preserve">. This analysis revealed bacterial operational taxonomic units (OTUs) that were significantly different at the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Anaerotignum</w:t>
      </w:r>
      <w:r>
        <w:t xml:space="preserve">, </w:t>
      </w:r>
      <w:r>
        <w:rPr>
          <w:i/>
        </w:rPr>
        <w:t>Enterocloster</w:t>
      </w:r>
      <w:r>
        <w:t xml:space="preserve">, and </w:t>
      </w:r>
      <w:r>
        <w:rPr>
          <w:i/>
        </w:rPr>
        <w:t>Murimonas</w:t>
      </w:r>
      <w:r>
        <w:t xml:space="preserve"> were more abundant in the non-moribund mice that would develop </w:t>
      </w:r>
      <w:del w:id="10" w:author="Lesniak, Nicholas" w:date="2022-06-17T11:19:00Z">
        <w:r w:rsidR="005F4546">
          <w:delText xml:space="preserve">only </w:delText>
        </w:r>
      </w:del>
      <w:r>
        <w:t xml:space="preserve">low intestinal injury. To understand the role of toxin activity in disease severity, we applied LEfSe to identify the OTUs at the time of challenge that most likely explain the differences between communities that had toxin activity detected at anytime point to those </w:t>
      </w:r>
      <w:r>
        <w:lastRenderedPageBreak/>
        <w:t xml:space="preserve">that did not (Figure 4B). An OTU associated with </w:t>
      </w:r>
      <w:r>
        <w:rPr>
          <w:i/>
        </w:rPr>
        <w:t>Bacteroides</w:t>
      </w:r>
      <w:r>
        <w:t xml:space="preserve">, OTU 7, associated with the presence of toxin also associated with moribundity. Likewise, OTUs associated with </w:t>
      </w:r>
      <w:r>
        <w:rPr>
          <w:i/>
        </w:rPr>
        <w:t>Enterocloster</w:t>
      </w:r>
      <w:r>
        <w:t xml:space="preserve"> and </w:t>
      </w:r>
      <w:r>
        <w:rPr>
          <w:i/>
        </w:rPr>
        <w:t>Murimonas</w:t>
      </w:r>
      <w:r>
        <w:t xml:space="preserve"> that were associated with no detected toxin also exhibited greater relative abundance in communities from non-moribund mice with a low histopathologic score. </w:t>
      </w:r>
      <w:del w:id="11" w:author="Lesniak, Nicholas" w:date="2022-06-17T11:19:00Z">
        <w:r w:rsidR="005F4546">
          <w:delText>Lastly, we</w:delText>
        </w:r>
      </w:del>
      <w:ins w:id="12" w:author="Lesniak, Nicholas" w:date="2022-06-17T11:19:00Z">
        <w:r>
          <w:t>We</w:t>
        </w:r>
      </w:ins>
      <w:r>
        <w:t xml:space="preserve"> tested for correlations between the endpoint (10 dpi) relative abundances of OTUs and the histopathologic summary score (Figure 4C). The endpoint relative abundance of </w:t>
      </w:r>
      <w:r>
        <w:rPr>
          <w:i/>
        </w:rPr>
        <w:t>Bacteroides</w:t>
      </w:r>
      <w:r>
        <w:t xml:space="preserve">, OTU 17, was positively correlated with histopathologic score, as its day 0 relative abundance did with disease severity (Figure 4A). </w:t>
      </w:r>
      <w:del w:id="13" w:author="Lesniak, Nicholas" w:date="2022-06-17T11:19:00Z">
        <w:r w:rsidR="005F4546">
          <w:delText>A</w:delText>
        </w:r>
      </w:del>
      <w:ins w:id="14" w:author="Lesniak, Nicholas" w:date="2022-06-17T11:19:00Z">
        <w:r>
          <w:t>The</w:t>
        </w:r>
      </w:ins>
      <w:r>
        <w:t xml:space="preserve"> population of </w:t>
      </w:r>
      <w:del w:id="15" w:author="Lesniak, Nicholas" w:date="2022-06-17T11:19:00Z">
        <w:r w:rsidR="005F4546">
          <w:rPr>
            <w:i/>
          </w:rPr>
          <w:delText>Bacteroides</w:delText>
        </w:r>
        <w:r w:rsidR="005F4546">
          <w:delText xml:space="preserve">, </w:delText>
        </w:r>
      </w:del>
      <w:r>
        <w:t>OTU 17</w:t>
      </w:r>
      <w:del w:id="16" w:author="Lesniak, Nicholas" w:date="2022-06-17T11:19:00Z">
        <w:r w:rsidR="005F4546">
          <w:delText>,</w:delText>
        </w:r>
      </w:del>
      <w:r>
        <w:t xml:space="preserve"> was </w:t>
      </w:r>
      <w:del w:id="17" w:author="Lesniak, Nicholas" w:date="2022-06-17T11:19:00Z">
        <w:r w:rsidR="005F4546">
          <w:delText>positively correlated with the histopathologic score and were</w:delText>
        </w:r>
      </w:del>
      <w:ins w:id="18" w:author="Lesniak, Nicholas" w:date="2022-06-17T11:19:00Z">
        <w:r>
          <w:t>also</w:t>
        </w:r>
      </w:ins>
      <w:r>
        <w:t xml:space="preserve"> increased in the group of mice with detectable toxin. We also tested for correlations between the endpoint relative abundances of OTUs and toxin activity but none were significant. </w:t>
      </w:r>
      <w:ins w:id="19" w:author="Lesniak, Nicholas" w:date="2022-06-17T11:19:00Z">
        <w:r>
          <w:t xml:space="preserve">Lastly, we tested for associations between temporal changes and disease severity (Figure S4). Most groups of bacteria maintained higher relative abundance, relative to the other </w:t>
        </w:r>
        <w:proofErr w:type="spellStart"/>
        <w:r>
          <w:t>other</w:t>
        </w:r>
        <w:proofErr w:type="spellEnd"/>
        <w:r>
          <w:t xml:space="preserve"> outcome groups, from day 0 through the end of the experiment. </w:t>
        </w:r>
      </w:ins>
      <w:r>
        <w:t>This analysis identified bacterial populations that were associated with the variation in moribundity, histopathologic score, and toxin.</w:t>
      </w:r>
    </w:p>
    <w:p w14:paraId="2102A78F" w14:textId="77777777" w:rsidR="006F0EEE" w:rsidRDefault="00000000" w:rsidP="0011697A">
      <w:pPr>
        <w:pStyle w:val="BodyText"/>
        <w:spacing w:line="480" w:lineRule="auto"/>
      </w:pPr>
      <w:r>
        <w:t>We next determined whether, collectively, bacterial community membership and relative abundance could be predictive of the CDI disease outcome. We trained logistic regression models with bacterial community relative abundance data from the day of colonization at each taxonomic rank to predict toxin, moribundity, and histopathologic summary score.</w:t>
      </w:r>
      <w:ins w:id="20" w:author="Lesniak, Nicholas" w:date="2022-06-17T11:19:00Z">
        <w:r>
          <w:t xml:space="preserve"> We used the highest taxonomic classification rank which performed similar to lower ranks, which suggested the effect is associated with general attributes of the bacterial group as opposed to specific functions of more refined grouping.</w:t>
        </w:r>
      </w:ins>
      <w:r>
        <w:t xml:space="preserve"> For predicting if detectable toxin would be produced, microbial populations aggregated by genus rank classification </w:t>
      </w:r>
      <w:r>
        <w:lastRenderedPageBreak/>
        <w:t xml:space="preserve">performed similarly as models using lower taxonomic ranks (mean AUROC = 0.787, Figure S3). </w:t>
      </w:r>
      <w:r>
        <w:rPr>
          <w:i/>
        </w:rPr>
        <w:t>C. difficile</w:t>
      </w:r>
      <w:r>
        <w:t xml:space="preserve"> increased odds of producing detectable 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predict moribundity. Bacteria grouped by order rank classification was sufficient to predict which mice would succumb to the infection before the end of the experiment (mean AUROC = 0.9205, Figure S3). Many populations contributed to an increase odds of moribundity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bacterial populations and their relationship to each other could be used to predict the variation in moribundity, histopathologic score, and detectable toxin of CDI.</w:t>
      </w:r>
    </w:p>
    <w:p w14:paraId="7DE2D75C" w14:textId="77777777" w:rsidR="006F0EEE" w:rsidRDefault="00000000" w:rsidP="0011697A">
      <w:pPr>
        <w:pStyle w:val="Heading2"/>
        <w:spacing w:line="480" w:lineRule="auto"/>
      </w:pPr>
      <w:bookmarkStart w:id="21" w:name="discussion"/>
      <w:r>
        <w:t>Discussion</w:t>
      </w:r>
      <w:bookmarkEnd w:id="21"/>
    </w:p>
    <w:p w14:paraId="026CF064" w14:textId="77777777" w:rsidR="006F0EEE" w:rsidRDefault="00000000" w:rsidP="0011697A">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investigating the severity of CDI disease involving the microbiome have had limited ability to interrogate </w:t>
      </w:r>
      <w:r>
        <w:lastRenderedPageBreak/>
        <w:t xml:space="preserve">this relationship between the microbiome and disease severity. Studies that have used clinical data have limited ability to control variation in the host,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284EEB7F" w14:textId="77777777" w:rsidR="006F0EEE" w:rsidRDefault="00000000" w:rsidP="0011697A">
      <w:pPr>
        <w:pStyle w:val="BodyText"/>
        <w:spacing w:line="480" w:lineRule="auto"/>
      </w:pPr>
      <w:r>
        <w:rPr>
          <w:i/>
        </w:rPr>
        <w:t>C. difficile</w:t>
      </w:r>
      <w:r>
        <w:t xml:space="preserve"> can lead to asymptomatic colonization or infections with severity ranging from mild diarrhea to death. Physicians use classification tools to identify patients most at risk of developing a severe infection using white blood cell counts, serum albumin level,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the presence and production of the toxins TcdA, TcdB, and binary toxin and the prevalence in outbreaks, such as ribotypes 027 and 078 (20, 29–32). However, other studies have shown that disease is not necessarily linked with toxin production (33) or the strain (34). Furthermore, there is variation in the genome, growth rate, sporulation, germination, and toxin production in different isolates of a strain (35–38). This variation may help explain why severe CDI prediction tools often miss identifying many patients with CDI that will develop severe disease (3, 24, 39, 40). </w:t>
      </w:r>
      <w:r>
        <w:lastRenderedPageBreak/>
        <w:t>Therefore, it is necessary to gain a full understanding of all factors contributing to disease variation to improve our ability to predict severity.</w:t>
      </w:r>
    </w:p>
    <w:p w14:paraId="76AD1F55" w14:textId="77777777" w:rsidR="006F0EEE" w:rsidRDefault="00000000" w:rsidP="0011697A">
      <w:pPr>
        <w:pStyle w:val="BodyText"/>
        <w:spacing w:line="480" w:lineRule="auto"/>
      </w:pPr>
      <w:r>
        <w:t xml:space="preserve">The state of the gut bacterial community determines the ability of </w:t>
      </w:r>
      <w:r>
        <w:rPr>
          <w:i/>
        </w:rPr>
        <w:t>C. difficile</w:t>
      </w:r>
      <w:r>
        <w:t xml:space="preserve"> to colonize and persist in the intestine. </w:t>
      </w:r>
      <w:r>
        <w:rPr>
          <w:i/>
        </w:rPr>
        <w:t>C. difficile</w:t>
      </w:r>
      <w:r>
        <w:t xml:space="preserve"> is unable to colonize an unperturbed healthy murine gut community and is only able to become established after a perturbation (21). Once colonized, the different communities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utilize (46, 47). The nutrient environment affects toxin production (48). Thus, many of the actions of the gut bacteria modulate </w:t>
      </w:r>
      <w:r>
        <w:rPr>
          <w:i/>
        </w:rPr>
        <w:t>C. difficile</w:t>
      </w:r>
      <w:r>
        <w:t xml:space="preserve"> in ways that could affect the infection and resultant disease.</w:t>
      </w:r>
    </w:p>
    <w:p w14:paraId="6A97F98F" w14:textId="77777777" w:rsidR="006F0EEE" w:rsidRDefault="00000000" w:rsidP="0011697A">
      <w:pPr>
        <w:pStyle w:val="BodyText"/>
        <w:spacing w:line="480" w:lineRule="auto"/>
      </w:pPr>
      <w:r>
        <w:t xml:space="preserve">A myriad of studies have explored the relationship between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the initial microbiome or have variation in the </w:t>
      </w:r>
      <w:r>
        <w:rPr>
          <w:i/>
        </w:rPr>
        <w:t>C. difficile</w:t>
      </w:r>
      <w:r>
        <w:t xml:space="preserve"> infection itself, confounding any association between variation in severity and the microbiome. </w:t>
      </w:r>
      <w:r>
        <w:lastRenderedPageBreak/>
        <w:t xml:space="preserve">Recent studies have shown variation in the initial microbiome, via different murine colonies or colonizing germ-free mice with human feces, that were challenged with </w:t>
      </w:r>
      <w:r>
        <w:rPr>
          <w:i/>
        </w:rPr>
        <w:t>C. difficile</w:t>
      </w:r>
      <w:r>
        <w:t xml:space="preserve"> resulted in varied outcomes of the infection (15, 16, 51).</w:t>
      </w:r>
    </w:p>
    <w:p w14:paraId="634DE28D" w14:textId="77777777" w:rsidR="006F0EEE" w:rsidRDefault="00000000" w:rsidP="0011697A">
      <w:pPr>
        <w:pStyle w:val="BodyText"/>
        <w:spacing w:line="480" w:lineRule="auto"/>
      </w:pPr>
      <w:r>
        <w:t xml:space="preserve">Our data have demonstrated gut bacterial relative abundances associate with variation in toxin production, histopathologic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abundant in mice which had a low histopathologic scores but have contradictory supporting evidence in the current literature. In our data, a population of </w:t>
      </w:r>
      <w:r>
        <w:rPr>
          <w:i/>
        </w:rPr>
        <w:t>Akkermansia</w:t>
      </w:r>
      <w:r>
        <w:t xml:space="preserve">, OTU 5, was most abundant in the non-moribund mice with low histopathologic scores but moribund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difficile</w:t>
      </w:r>
      <w:r>
        <w:t xml:space="preserve"> to colonize (62, 63). However, </w:t>
      </w:r>
      <w:r>
        <w:rPr>
          <w:i/>
        </w:rPr>
        <w:t>Enterocloster</w:t>
      </w:r>
      <w:r>
        <w:t xml:space="preserve"> has also been involved in infections, such as bacteremia (64, 65). These data have exemplified populations of bacteria that have the potential to be </w:t>
      </w:r>
      <w:r>
        <w:lastRenderedPageBreak/>
        <w:t>either protective or harmful. Thus, the disease outcome is not likely based on the abundance of individual populations of bacteria, rather it is the result of the interactions of the community.</w:t>
      </w:r>
    </w:p>
    <w:p w14:paraId="3DF921E0" w14:textId="13C653E8" w:rsidR="006F0EEE" w:rsidRDefault="00000000" w:rsidP="0011697A">
      <w:pPr>
        <w:pStyle w:val="BodyText"/>
        <w:spacing w:line="480" w:lineRule="auto"/>
      </w:pPr>
      <w:r>
        <w:t xml:space="preserve">The groups of bacteria that were associated with either a higher histopathologic score or moribundity are members of 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xml:space="preserve">, which associated with worse outcomes, have also been associated with intestinal inflammation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w:t>
      </w:r>
      <w:del w:id="22" w:author="Lesniak, Nicholas" w:date="2022-06-17T11:19:00Z">
        <w:r w:rsidR="005F4546">
          <w:delText>resulted</w:delText>
        </w:r>
      </w:del>
      <w:ins w:id="23" w:author="Lesniak, Nicholas" w:date="2022-06-17T11:19:00Z">
        <w:r>
          <w:t>was more likely to result</w:t>
        </w:r>
      </w:ins>
      <w:r>
        <w:t xml:space="preserve"> in a high histopathologic score (Figure 4C</w:t>
      </w:r>
      <w:ins w:id="24" w:author="Lesniak, Nicholas" w:date="2022-06-17T11:19:00Z">
        <w:r>
          <w:t>, S4</w:t>
        </w:r>
      </w:ins>
      <w:r>
        <w:t xml:space="preserve">).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w:t>
      </w:r>
      <w:del w:id="25" w:author="Lesniak, Nicholas" w:date="2022-06-17T11:19:00Z">
        <w:r w:rsidR="005F4546">
          <w:delText xml:space="preserve">These bacteria groups increased in severe outcomes maintained their differences throughout the length of the experiment (Figure S4). These results agreed </w:delText>
        </w:r>
      </w:del>
      <w:r>
        <w:t xml:space="preserve">Aside from </w:t>
      </w:r>
      <w:r>
        <w:rPr>
          <w:i/>
        </w:rPr>
        <w:t>Helicobacter</w:t>
      </w:r>
      <w:r>
        <w:t>, these groups of bacteria that associated with more severe outcomes did not have a conserved association between their relative abundance and the disease severity across all mice.</w:t>
      </w:r>
    </w:p>
    <w:p w14:paraId="1995625F" w14:textId="3A8DB430" w:rsidR="006F0EEE" w:rsidRDefault="00000000" w:rsidP="0011697A">
      <w:pPr>
        <w:pStyle w:val="BodyText"/>
        <w:spacing w:line="480" w:lineRule="auto"/>
      </w:pPr>
      <w:r>
        <w:t xml:space="preserve">Since we observed groups of bacteria that were associated with less severe disease it may be appropriate to apply the damage-response framework for microbial pathogenesis to CDI (74, 75). This framework posits that disease is not driven by a single entity, rather it is an emergent property of the responses of the host immune system, infecting microbe, </w:t>
      </w:r>
      <w:r>
        <w:rPr>
          <w:i/>
        </w:rPr>
        <w:t xml:space="preserve">C. </w:t>
      </w:r>
      <w:r>
        <w:rPr>
          <w:i/>
        </w:rPr>
        <w:lastRenderedPageBreak/>
        <w:t>difficile</w:t>
      </w:r>
      <w:r>
        <w:t xml:space="preserve">, and the indigenous microbes at the site of infection. In </w:t>
      </w:r>
      <w:del w:id="26" w:author="Lesniak, Nicholas" w:date="2022-06-17T11:19:00Z">
        <w:r w:rsidR="005F4546">
          <w:delText>the first</w:delText>
        </w:r>
      </w:del>
      <w:ins w:id="27" w:author="Lesniak, Nicholas" w:date="2022-06-17T11:19:00Z">
        <w:r>
          <w:t>this</w:t>
        </w:r>
      </w:ins>
      <w:r>
        <w:t xml:space="preserve"> set of experiments, we used the same host background, C57BL/6 mice, the same infecting microbe, </w:t>
      </w:r>
      <w:r>
        <w:rPr>
          <w:i/>
        </w:rPr>
        <w:t>C. difficile</w:t>
      </w:r>
      <w:r>
        <w:t xml:space="preserve"> RT027 clinical isolate 431, with different gut bacterial communities. The bacterial groups in those communities were often present in both moribund and non-moribund </w:t>
      </w:r>
      <w:ins w:id="28" w:author="Lesniak, Nicholas" w:date="2022-06-17T11:19:00Z">
        <w:r>
          <w:t xml:space="preserve">mice </w:t>
        </w:r>
      </w:ins>
      <w:r>
        <w:t xml:space="preserve">and across the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the same genetic background, they too were reacting to the specific microbial community. Different gut microbial communities can also have different effects on the host immune responses (76). Disease severity is driven by the cumulative effect of the host 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difficile</w:t>
      </w:r>
      <w:r>
        <w:t xml:space="preserve">, such as bacteriocin production or mucin degradation, and interactions with the host, such as host mucus glycosylation or intestinal IL-33 expression (15, 77). For example, low levels of mucin degradation can provide nutrients to other community members producing a diverse non-damaging community (78). However, if mucin degradation becomes too great it reduces the protective function of the mucin layer and exposes the epithelial cells. This over-harvesting can contribute to the host damage due to other members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activity and another for microbiome community activity, each of which are a composite curve of the individual activities from each group, </w:t>
      </w:r>
      <w:r>
        <w:lastRenderedPageBreak/>
        <w:t>such as antibody production, neutrophil infiltration, toxin production, sporulation, fiber and mucin degradation. Therefore, while we have identified populations of interest, it may be necessary to target multiple types of bacteria to reduce the community interactions contributing to host damage.</w:t>
      </w:r>
    </w:p>
    <w:p w14:paraId="12EBA1BE" w14:textId="77777777" w:rsidR="006F0EEE" w:rsidRDefault="00000000" w:rsidP="0011697A">
      <w:pPr>
        <w:pStyle w:val="BodyText"/>
        <w:spacing w:line="480" w:lineRule="auto"/>
      </w:pPr>
      <w:r>
        <w:t xml:space="preserve">Here we have shown several bacterial groups and their relative abundances associated with variation in CDI disease severity. Further understanding how the microbiome affects severity in patients could reduce the amount of adverse CDI outcomes. When a patient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74A8B795" w14:textId="77777777" w:rsidR="006F0EEE" w:rsidRDefault="00000000" w:rsidP="0011697A">
      <w:pPr>
        <w:pStyle w:val="Heading2"/>
        <w:spacing w:line="480" w:lineRule="auto"/>
      </w:pPr>
      <w:bookmarkStart w:id="29" w:name="materials-and-methods"/>
      <w:r>
        <w:t>Materials and Methods</w:t>
      </w:r>
      <w:bookmarkEnd w:id="29"/>
    </w:p>
    <w:p w14:paraId="0797CCDD" w14:textId="77777777" w:rsidR="006F0EEE" w:rsidRDefault="00000000" w:rsidP="0011697A">
      <w:pPr>
        <w:pStyle w:val="FirstParagraph"/>
        <w:spacing w:line="480" w:lineRule="auto"/>
      </w:pPr>
      <w:r>
        <w:rPr>
          <w:b/>
        </w:rPr>
        <w:t>Animal care.</w:t>
      </w:r>
      <w:r>
        <w:t xml:space="preserve"> 6- to 13-week old male and female germ-free C57BL/6 were obtained from a single breeding colony in the University of Michigan Germ-free Mouse Core. Mice (M1 n=3, M2 n=3, M3 n=3, M4 n=3, M5 n=7, M6 n=3, N1 n=11, N2 n=7, N3 n=3, N4 n=3, N5 n=3, N6 n=3, N7 n=7, N8 n=3, N9 n=2) were housed in cages of 2-4 mice per cage and maintained in germ-free isolators at the University of Michigan germ-free facility. All mouse experiments were approved by the University Committee on Use and Care of Animals at the University of Michigan.</w:t>
      </w:r>
    </w:p>
    <w:p w14:paraId="659AE5F7" w14:textId="77777777" w:rsidR="006F0EEE" w:rsidRDefault="00000000" w:rsidP="0011697A">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result in diverse community structures (Table S1). Feces were homogenized by mixing 200 mg of sample with 5 ml of PBS. Mice </w:t>
      </w:r>
      <w:r>
        <w:lastRenderedPageBreak/>
        <w:t xml:space="preserve">were inoculated with 100 </w:t>
      </w:r>
      <m:oMath>
        <m:r>
          <w:rPr>
            <w:rFonts w:ascii="Cambria Math" w:hAnsi="Cambria Math"/>
          </w:rPr>
          <m:t>μ</m:t>
        </m:r>
      </m:oMath>
      <w:r>
        <w:t xml:space="preserve">l of the fecal homogenate via oral gavage. Two weeks after the fecal community inoculation, mice were challenged with </w:t>
      </w:r>
      <w:r>
        <w:rPr>
          <w:i/>
        </w:rPr>
        <w:t>C. difficile</w:t>
      </w:r>
      <w:r>
        <w:t xml:space="preserve">. Stool samples from 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given to each mouse via oral gavage.</w:t>
      </w:r>
    </w:p>
    <w:p w14:paraId="027530F7" w14:textId="77777777" w:rsidR="006F0EEE" w:rsidRDefault="00000000" w:rsidP="0011697A">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64E42D59" w14:textId="77777777" w:rsidR="006F0EEE" w:rsidRDefault="00000000" w:rsidP="0011697A">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previously (81).</w:t>
      </w:r>
    </w:p>
    <w:p w14:paraId="20ACA353" w14:textId="77777777" w:rsidR="006F0EEE" w:rsidRDefault="00000000" w:rsidP="0011697A">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 with the Ribosomal Database Project training set (version 18) to assign taxonomic classifications to </w:t>
      </w:r>
      <w:r>
        <w:lastRenderedPageBreak/>
        <w:t>each OTU (83). We sequenced a mock community of a known community composition and 16s rRNA gene sequences. We processed this mock community with our samples to calculate the error rate for our sequence curation, which was an error rate of 0.19%.</w:t>
      </w:r>
    </w:p>
    <w:p w14:paraId="1A027887" w14:textId="77777777" w:rsidR="006F0EEE" w:rsidRDefault="00000000" w:rsidP="0011697A">
      <w:pPr>
        <w:pStyle w:val="BodyText"/>
        <w:spacing w:line="480" w:lineRule="auto"/>
      </w:pPr>
      <w:r>
        <w:rPr>
          <w:b/>
        </w:rPr>
        <w:t>Toxin cytotoxicity assay.</w:t>
      </w:r>
      <w:r>
        <w:t xml:space="preserve"> To prepare the sample for the activity assay, fecal material was diluted 1:10 weight per volume using sterile PBS and then filter sterilized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rounding. Toxin titers are reported as the log10 of the reciprocal of the cytotoxicity titer.</w:t>
      </w:r>
    </w:p>
    <w:p w14:paraId="6BD6908F" w14:textId="77777777" w:rsidR="006F0EEE" w:rsidRDefault="00000000" w:rsidP="0011697A">
      <w:pPr>
        <w:pStyle w:val="BodyText"/>
        <w:spacing w:line="480" w:lineRule="auto"/>
      </w:pPr>
      <w:r>
        <w:rPr>
          <w:b/>
        </w:rPr>
        <w:t>Histopathology evaluation.</w:t>
      </w:r>
      <w:r>
        <w:t xml:space="preserve"> Mouse cecal tissue was placed in histopathology cassettes and fixed in 10% formalin, then stored in 70% ethanol. McClinchey Histology Labs, Inc. (Stockbridge, MI) embedded the samples in paraffin, sectioned, and created the hematoxylin and eosin-stained slides. The slides were scored using previously described criteria by a board-certified veterinary pathologist who was blinded to the experimental groups (30). Slides were scored as 0-4 for parameters of epithelial damage, tissue edema, and inflammation and a summary score of 0-12 was generated by summing the three individual parameter scores. For non-moribund mice, histopathological summary scores used for LEfSe and logistic regression were split into high and low groups based on greater or less than the median summary score of 5 because the had a bimodal distribution (</w:t>
      </w:r>
      <w:r>
        <w:rPr>
          <w:i/>
        </w:rPr>
        <w:t>P</w:t>
      </w:r>
      <w:r>
        <w:t xml:space="preserve"> &lt; 0.05).</w:t>
      </w:r>
    </w:p>
    <w:p w14:paraId="21749CA9" w14:textId="4CA3B9EC" w:rsidR="006F0EEE" w:rsidRDefault="00000000" w:rsidP="0011697A">
      <w:pPr>
        <w:pStyle w:val="BodyText"/>
        <w:spacing w:line="480" w:lineRule="auto"/>
      </w:pPr>
      <w:r>
        <w:rPr>
          <w:b/>
        </w:rPr>
        <w:t>Statistical analysis and modeling.</w:t>
      </w:r>
      <w:r>
        <w:t xml:space="preserve"> To compare community structures, we calculated Yue and Clayton dissimilarity matrices (</w:t>
      </w:r>
      <m:oMath>
        <m:r>
          <w:rPr>
            <w:rFonts w:ascii="Cambria Math" w:hAnsi="Cambria Math"/>
          </w:rPr>
          <m:t>θ</m:t>
        </m:r>
      </m:oMath>
      <w:r>
        <w:rPr>
          <w:vertAlign w:val="subscript"/>
        </w:rPr>
        <w:t>YC</w:t>
      </w:r>
      <w:r>
        <w:t xml:space="preserve">) in mothur (84). For this calculation, we averaged of </w:t>
      </w:r>
      <w:r>
        <w:lastRenderedPageBreak/>
        <w:t xml:space="preserve">1000 sub-samples, or rarified, samples to 2,107 sequence reads per sample to limit uneven sampling biases. We tested for differences in individual taxonomic groups that would explain the outcome differences with LEfSe (85) in mothur (default parameters, LDA &gt; 4). We tested for differences in temporal trends through fitting a linear </w:t>
      </w:r>
      <w:ins w:id="30" w:author="Lesniak, Nicholas" w:date="2022-06-17T11:19:00Z">
        <w:r>
          <w:t xml:space="preserve">regression </w:t>
        </w:r>
      </w:ins>
      <w:r>
        <w:t xml:space="preserve">model to each OTU and </w:t>
      </w:r>
      <w:del w:id="31" w:author="Lesniak, Nicholas" w:date="2022-06-17T11:19:00Z">
        <w:r w:rsidR="005F4546">
          <w:delText>testing</w:delText>
        </w:r>
      </w:del>
      <w:ins w:id="32" w:author="Lesniak, Nicholas" w:date="2022-06-17T11:19:00Z">
        <w:r>
          <w:t>tested</w:t>
        </w:r>
      </w:ins>
      <w:r>
        <w:t xml:space="preserve"> for differences </w:t>
      </w:r>
      <w:del w:id="33" w:author="Lesniak, Nicholas" w:date="2022-06-17T11:19:00Z">
        <w:r w:rsidR="005F4546">
          <w:delText>between</w:delText>
        </w:r>
      </w:del>
      <w:ins w:id="34" w:author="Lesniak, Nicholas" w:date="2022-06-17T11:19:00Z">
        <w:r>
          <w:t>in regression coefficients by</w:t>
        </w:r>
      </w:ins>
      <w:r>
        <w:t xml:space="preserve"> histopathological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xml:space="preserve">), histopathological scores, and toxin activity using the Wilcoxon rank sum test, non-unimodality to non-moribund histopathological summary score using Hartigans’ dip test, and toxin detection in mice using the Pearson’s Chi-square test. We used Spearman’s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 0.05 (86). We built L2 logistic regression models using the mikropml package (87). Sequence counts were summed by taxonomic ranks from day 0 samples, normalized by centering to the feature mean and scaling by the standard deviation, and features positively or negatively correlated were collapsed into a single feature. For each L2 logistic regression model, we ran 100 random iterations using values of 1e-0, 1e1, 1e2, 2e2, 3e2, 4e2, 5e2, 6e2, 7e2, 8e2, 9e2, 1e3, 1e4 for the L2 regularization penalty with a split of 80% of the data for training and 20% of the data for testing. Lastly, we did not compare murine communities to donor community or clinical data because germ-free mice colonized with non-murine fecal communities have been shown to more closely resemble the murine communities than the donor species </w:t>
      </w:r>
      <w:r>
        <w:lastRenderedPageBreak/>
        <w:t>community (88). Furthermore, it is not our intention to make any inferences regarding human associated bacteria and their relationship with human CDI outcome.</w:t>
      </w:r>
    </w:p>
    <w:p w14:paraId="11AAC9A7" w14:textId="39C3949D" w:rsidR="006F0EEE" w:rsidRDefault="00000000" w:rsidP="0011697A">
      <w:pPr>
        <w:pStyle w:val="BodyText"/>
        <w:spacing w:line="480" w:lineRule="auto"/>
      </w:pPr>
      <w:r>
        <w:rPr>
          <w:b/>
        </w:rPr>
        <w:t>Code availability.</w:t>
      </w:r>
      <w:r>
        <w:t xml:space="preserve"> Scripts necessary to reproduce our analysis and this paper are available in an online repository (</w:t>
      </w:r>
      <w:r>
        <w:fldChar w:fldCharType="begin"/>
      </w:r>
      <w:r>
        <w:instrText>HYPERLINK "https://github.com/SchlossLab/Lesniak_Severity_</w:instrText>
      </w:r>
      <w:del w:id="35" w:author="Lesniak, Nicholas" w:date="2022-06-17T11:19:00Z">
        <w:r>
          <w:delInstrText>XXXX</w:delInstrText>
        </w:r>
      </w:del>
      <w:ins w:id="36" w:author="Lesniak, Nicholas" w:date="2022-06-17T11:19:00Z">
        <w:r>
          <w:instrText>mBio</w:instrText>
        </w:r>
      </w:ins>
      <w:r>
        <w:instrText>_2022" \h</w:instrText>
      </w:r>
      <w:r>
        <w:fldChar w:fldCharType="separate"/>
      </w:r>
      <w:r>
        <w:rPr>
          <w:rStyle w:val="Hyperlink"/>
        </w:rPr>
        <w:t>https://github.com/SchlossLab/Lesniak_Severity_</w:t>
      </w:r>
      <w:del w:id="37" w:author="Lesniak, Nicholas" w:date="2022-06-17T11:19:00Z">
        <w:r w:rsidR="005F4546">
          <w:rPr>
            <w:rStyle w:val="Hyperlink"/>
          </w:rPr>
          <w:delText>XXXX</w:delText>
        </w:r>
      </w:del>
      <w:ins w:id="38" w:author="Lesniak, Nicholas" w:date="2022-06-17T11:19:00Z">
        <w:r>
          <w:rPr>
            <w:rStyle w:val="Hyperlink"/>
          </w:rPr>
          <w:t>mBio</w:t>
        </w:r>
      </w:ins>
      <w:r>
        <w:rPr>
          <w:rStyle w:val="Hyperlink"/>
        </w:rPr>
        <w:t>_2022</w:t>
      </w:r>
      <w:r>
        <w:rPr>
          <w:rStyle w:val="Hyperlink"/>
        </w:rPr>
        <w:fldChar w:fldCharType="end"/>
      </w:r>
      <w:r>
        <w:t>).</w:t>
      </w:r>
    </w:p>
    <w:p w14:paraId="6006BF5E" w14:textId="77777777" w:rsidR="006F0EEE" w:rsidRDefault="00000000" w:rsidP="0011697A">
      <w:pPr>
        <w:pStyle w:val="BodyText"/>
        <w:spacing w:line="480" w:lineRule="auto"/>
      </w:pPr>
      <w:r>
        <w:rPr>
          <w:b/>
        </w:rPr>
        <w:t>Sequence data accession number.</w:t>
      </w:r>
      <w:r>
        <w:t xml:space="preserve"> All 16S rRNA gene sequence data and associated metadata are available through the Sequence Read Archive via accession PRJNA787941.</w:t>
      </w:r>
    </w:p>
    <w:p w14:paraId="7DE85FB9" w14:textId="77777777" w:rsidR="006F0EEE" w:rsidRDefault="00000000" w:rsidP="0011697A">
      <w:pPr>
        <w:pStyle w:val="Heading2"/>
        <w:spacing w:line="480" w:lineRule="auto"/>
      </w:pPr>
      <w:bookmarkStart w:id="39" w:name="acknowledgements"/>
      <w:r>
        <w:t>Acknowledgements</w:t>
      </w:r>
      <w:bookmarkEnd w:id="39"/>
    </w:p>
    <w:p w14:paraId="56AD2F98" w14:textId="77777777" w:rsidR="006F0EEE" w:rsidRDefault="00000000" w:rsidP="0011697A">
      <w:pPr>
        <w:pStyle w:val="FirstParagraph"/>
        <w:spacing w:line="480" w:lineRule="auto"/>
      </w:pPr>
      <w:r>
        <w:t>Thank you to Sarah Lucas and Sarah Tomkovich for critical discussion in the development and execution of this project. We also thank the University of Michigan Germ-free Mouse Core for assistance with our germfree mice, funded in part by U2CDK110768. This work was supported by several grants from the National Institutes for Health R01GM099514, U19AI090871, U01AI12455, and P30DK034933. Additionally, NAL was supported by the Molecular Mechanisms of Microbial Pathogenesis training grant (NIH T32 AI007528). The funding agencies had no role in study design, data collection and analysis, decision to publish, or preparation of the manuscript.</w:t>
      </w:r>
    </w:p>
    <w:p w14:paraId="4D07CFEE" w14:textId="77777777" w:rsidR="006F0EEE" w:rsidRDefault="00000000" w:rsidP="0011697A">
      <w:pPr>
        <w:pStyle w:val="BodyText"/>
        <w:spacing w:line="480" w:lineRule="auto"/>
      </w:pPr>
      <w:r>
        <w:t xml:space="preserve">Conceptualization: N.A.L., A.M.S., K.J.F., P.D.S.; Data curation: N.A.L., K.J.F.; Formal analysis: N.A.L., K.J.F., J.L.L., I.L.B.; Investigation: N.A.L., A.M.S., H.S., I.L.B., V.B.Y., P.D.S.; Methodology: N.A.L., A.M.S., K.J.F., J.L.L., H.S., I.L.B., V.B.Y., P.D.S.; Resources: N.A.L., A.M.S., P.D.S.; Software: NAL; Visualization: N.A.L., K.J.F., P.D.S.; Writing - original draft: N.A.L.; Writing - review &amp; editing: N.A.L., A.M.S., K.J.F., J.L.L., H.S., I.L.B., V.B.Y., P.D.S.; Funding acquisition: V.B.Y.; Project administration: P.D.S.; Supervision: P.D.S. </w:t>
      </w:r>
    </w:p>
    <w:p w14:paraId="3FC0C503" w14:textId="77777777" w:rsidR="006F0EEE" w:rsidRDefault="00000000" w:rsidP="0011697A">
      <w:pPr>
        <w:pStyle w:val="Heading2"/>
        <w:spacing w:line="480" w:lineRule="auto"/>
      </w:pPr>
      <w:bookmarkStart w:id="40" w:name="references"/>
      <w:r>
        <w:lastRenderedPageBreak/>
        <w:t>References</w:t>
      </w:r>
      <w:bookmarkEnd w:id="40"/>
    </w:p>
    <w:p w14:paraId="6152DEFA" w14:textId="77777777" w:rsidR="006F0EEE" w:rsidRDefault="00000000" w:rsidP="0011697A">
      <w:pPr>
        <w:pStyle w:val="Bibliography"/>
        <w:spacing w:line="480" w:lineRule="auto"/>
      </w:pPr>
      <w:bookmarkStart w:id="41" w:name="ref-Kelly2008"/>
      <w:bookmarkStart w:id="42"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8">
        <w:r>
          <w:rPr>
            <w:rStyle w:val="Hyperlink"/>
          </w:rPr>
          <w:t>10.1056/nejmra0707500</w:t>
        </w:r>
      </w:hyperlink>
      <w:r>
        <w:t>.</w:t>
      </w:r>
    </w:p>
    <w:p w14:paraId="43410353" w14:textId="77777777" w:rsidR="006F0EEE" w:rsidRDefault="00000000" w:rsidP="0011697A">
      <w:pPr>
        <w:pStyle w:val="Bibliography"/>
        <w:spacing w:line="480" w:lineRule="auto"/>
      </w:pPr>
      <w:bookmarkStart w:id="43" w:name="ref-McDonald2018"/>
      <w:bookmarkEnd w:id="41"/>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9">
        <w:r>
          <w:rPr>
            <w:rStyle w:val="Hyperlink"/>
          </w:rPr>
          <w:t>10.1093/cid/cix1085</w:t>
        </w:r>
      </w:hyperlink>
      <w:r>
        <w:t>.</w:t>
      </w:r>
    </w:p>
    <w:p w14:paraId="30294D36" w14:textId="77777777" w:rsidR="006F0EEE" w:rsidRDefault="00000000" w:rsidP="0011697A">
      <w:pPr>
        <w:pStyle w:val="Bibliography"/>
        <w:spacing w:line="480" w:lineRule="auto"/>
      </w:pPr>
      <w:bookmarkStart w:id="44" w:name="ref-Perry2021"/>
      <w:bookmarkEnd w:id="43"/>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0">
        <w:r>
          <w:rPr>
            <w:rStyle w:val="Hyperlink"/>
          </w:rPr>
          <w:t>10.1093/cid/ciab737</w:t>
        </w:r>
      </w:hyperlink>
      <w:r>
        <w:t>.</w:t>
      </w:r>
    </w:p>
    <w:p w14:paraId="3B83E417" w14:textId="77777777" w:rsidR="006F0EEE" w:rsidRDefault="00000000" w:rsidP="0011697A">
      <w:pPr>
        <w:pStyle w:val="Bibliography"/>
        <w:spacing w:line="480" w:lineRule="auto"/>
      </w:pPr>
      <w:bookmarkStart w:id="45" w:name="ref-Buffie2014"/>
      <w:bookmarkEnd w:id="44"/>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1">
        <w:r>
          <w:rPr>
            <w:rStyle w:val="Hyperlink"/>
          </w:rPr>
          <w:t>10.1038/nature13828</w:t>
        </w:r>
      </w:hyperlink>
      <w:r>
        <w:t>.</w:t>
      </w:r>
    </w:p>
    <w:p w14:paraId="4DD2072B" w14:textId="77777777" w:rsidR="006F0EEE" w:rsidRDefault="00000000" w:rsidP="0011697A">
      <w:pPr>
        <w:pStyle w:val="Bibliography"/>
        <w:spacing w:line="480" w:lineRule="auto"/>
      </w:pPr>
      <w:bookmarkStart w:id="46" w:name="ref-Britton2014"/>
      <w:bookmarkEnd w:id="45"/>
      <w:r>
        <w:t xml:space="preserve">5. </w:t>
      </w:r>
      <w:r>
        <w:rPr>
          <w:b/>
        </w:rPr>
        <w:t>Britton RA</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2">
        <w:r>
          <w:rPr>
            <w:rStyle w:val="Hyperlink"/>
          </w:rPr>
          <w:t>10.1053/j.gastro.2014.01.059</w:t>
        </w:r>
      </w:hyperlink>
      <w:r>
        <w:t>.</w:t>
      </w:r>
    </w:p>
    <w:p w14:paraId="0D69DB09" w14:textId="77777777" w:rsidR="006F0EEE" w:rsidRDefault="00000000" w:rsidP="0011697A">
      <w:pPr>
        <w:pStyle w:val="Bibliography"/>
        <w:spacing w:line="480" w:lineRule="auto"/>
      </w:pPr>
      <w:bookmarkStart w:id="47" w:name="ref-Hryckowian2018"/>
      <w:bookmarkEnd w:id="46"/>
      <w:r>
        <w:t xml:space="preserve">6. </w:t>
      </w:r>
      <w:r>
        <w:rPr>
          <w:b/>
        </w:rPr>
        <w:t>Hryckowian AJ</w:t>
      </w:r>
      <w:r>
        <w:t xml:space="preserve">, </w:t>
      </w:r>
      <w:r>
        <w:rPr>
          <w:b/>
        </w:rPr>
        <w:t>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3">
        <w:r>
          <w:rPr>
            <w:rStyle w:val="Hyperlink"/>
          </w:rPr>
          <w:t>10.1038/s41564-018-0150-6</w:t>
        </w:r>
      </w:hyperlink>
      <w:r>
        <w:t>.</w:t>
      </w:r>
    </w:p>
    <w:p w14:paraId="310496A7" w14:textId="77777777" w:rsidR="006F0EEE" w:rsidRDefault="00000000" w:rsidP="0011697A">
      <w:pPr>
        <w:pStyle w:val="Bibliography"/>
        <w:spacing w:line="480" w:lineRule="auto"/>
      </w:pPr>
      <w:bookmarkStart w:id="48" w:name="ref-VichVila2020"/>
      <w:bookmarkEnd w:id="47"/>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xml:space="preserve">. 2020. Impact of commonly used drugs on the composition and metabolic function of the gut microbiota. Nature Communications </w:t>
      </w:r>
      <w:r>
        <w:rPr>
          <w:b/>
        </w:rPr>
        <w:t>11</w:t>
      </w:r>
      <w:r>
        <w:t>. doi:</w:t>
      </w:r>
      <w:hyperlink r:id="rId14">
        <w:r>
          <w:rPr>
            <w:rStyle w:val="Hyperlink"/>
          </w:rPr>
          <w:t>10.1038/s41467-019-14177-z</w:t>
        </w:r>
      </w:hyperlink>
      <w:r>
        <w:t>.</w:t>
      </w:r>
    </w:p>
    <w:p w14:paraId="181448DB" w14:textId="77777777" w:rsidR="006F0EEE" w:rsidRDefault="00000000" w:rsidP="0011697A">
      <w:pPr>
        <w:pStyle w:val="Bibliography"/>
        <w:spacing w:line="480" w:lineRule="auto"/>
      </w:pPr>
      <w:bookmarkStart w:id="49" w:name="ref-Abbas2020"/>
      <w:bookmarkEnd w:id="48"/>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5">
        <w:r>
          <w:rPr>
            <w:rStyle w:val="Hyperlink"/>
          </w:rPr>
          <w:t>10.1016/j.mib.2020.01.016</w:t>
        </w:r>
      </w:hyperlink>
      <w:r>
        <w:t>.</w:t>
      </w:r>
    </w:p>
    <w:p w14:paraId="5D3BB846" w14:textId="77777777" w:rsidR="006F0EEE" w:rsidRDefault="00000000" w:rsidP="0011697A">
      <w:pPr>
        <w:pStyle w:val="Bibliography"/>
        <w:spacing w:line="480" w:lineRule="auto"/>
      </w:pPr>
      <w:bookmarkStart w:id="50" w:name="ref-Jenior2017"/>
      <w:bookmarkEnd w:id="49"/>
      <w:r>
        <w:t xml:space="preserve">9.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niches during infection across distinct murine gut microbiomes. mSystems </w:t>
      </w:r>
      <w:r>
        <w:rPr>
          <w:b/>
        </w:rPr>
        <w:t>2</w:t>
      </w:r>
      <w:r>
        <w:t>. doi:</w:t>
      </w:r>
      <w:hyperlink r:id="rId16">
        <w:r>
          <w:rPr>
            <w:rStyle w:val="Hyperlink"/>
          </w:rPr>
          <w:t>10.1128/msystems.00063-17</w:t>
        </w:r>
      </w:hyperlink>
      <w:r>
        <w:t>.</w:t>
      </w:r>
    </w:p>
    <w:p w14:paraId="5719308B" w14:textId="77777777" w:rsidR="006F0EEE" w:rsidRDefault="00000000" w:rsidP="0011697A">
      <w:pPr>
        <w:pStyle w:val="Bibliography"/>
        <w:spacing w:line="480" w:lineRule="auto"/>
      </w:pPr>
      <w:bookmarkStart w:id="51" w:name="ref-Sorg2008"/>
      <w:bookmarkEnd w:id="50"/>
      <w:r>
        <w:t xml:space="preserve">10. </w:t>
      </w:r>
      <w:r>
        <w:rPr>
          <w:b/>
        </w:rPr>
        <w:t>Sorg JA</w:t>
      </w:r>
      <w:r>
        <w:t xml:space="preserve">, </w:t>
      </w:r>
      <w:r>
        <w:rPr>
          <w:b/>
        </w:rPr>
        <w:t>Sonenshein AL</w:t>
      </w:r>
      <w:r>
        <w:t xml:space="preserve">. 2008. Bile salts and glycine as cogerminants for </w:t>
      </w:r>
      <w:r>
        <w:rPr>
          <w:i/>
        </w:rPr>
        <w:t>Clostridium difficile</w:t>
      </w:r>
      <w:r>
        <w:t xml:space="preserve"> spores. Journal of Bacteriology </w:t>
      </w:r>
      <w:r>
        <w:rPr>
          <w:b/>
        </w:rPr>
        <w:t>190</w:t>
      </w:r>
      <w:r>
        <w:t>:2505–2512. doi:</w:t>
      </w:r>
      <w:hyperlink r:id="rId17">
        <w:r>
          <w:rPr>
            <w:rStyle w:val="Hyperlink"/>
          </w:rPr>
          <w:t>10.1128/jb.01765-07</w:t>
        </w:r>
      </w:hyperlink>
      <w:r>
        <w:t>.</w:t>
      </w:r>
    </w:p>
    <w:p w14:paraId="7C681989" w14:textId="77777777" w:rsidR="006F0EEE" w:rsidRDefault="00000000" w:rsidP="0011697A">
      <w:pPr>
        <w:pStyle w:val="Bibliography"/>
        <w:spacing w:line="480" w:lineRule="auto"/>
      </w:pPr>
      <w:bookmarkStart w:id="52" w:name="ref-Thanissery2017"/>
      <w:bookmarkEnd w:id="51"/>
      <w:r>
        <w:t xml:space="preserve">11. </w:t>
      </w:r>
      <w:r>
        <w:rPr>
          <w:b/>
        </w:rPr>
        <w:t>Thanissery R</w:t>
      </w:r>
      <w:r>
        <w:t xml:space="preserve">, </w:t>
      </w:r>
      <w:r>
        <w:rPr>
          <w:b/>
        </w:rPr>
        <w:t>Winston JA</w:t>
      </w:r>
      <w:r>
        <w:t xml:space="preserve">, </w:t>
      </w:r>
      <w:r>
        <w:rPr>
          <w:b/>
        </w:rPr>
        <w:t>Theriot CM</w:t>
      </w:r>
      <w:r>
        <w:t xml:space="preserve">. 2017. Inhibition of spore germination, growth, and toxin activity of clinically relevant </w:t>
      </w:r>
      <w:r>
        <w:rPr>
          <w:i/>
        </w:rPr>
        <w:t>C. difficile</w:t>
      </w:r>
      <w:r>
        <w:t xml:space="preserve"> strains by gut microbiota derived secondary bile acids. Anaerobe </w:t>
      </w:r>
      <w:r>
        <w:rPr>
          <w:b/>
        </w:rPr>
        <w:t>45</w:t>
      </w:r>
      <w:r>
        <w:t>:86–100. doi:</w:t>
      </w:r>
      <w:hyperlink r:id="rId18">
        <w:r>
          <w:rPr>
            <w:rStyle w:val="Hyperlink"/>
          </w:rPr>
          <w:t>10.1016/j.anaerobe.2017.03.004</w:t>
        </w:r>
      </w:hyperlink>
      <w:r>
        <w:t>.</w:t>
      </w:r>
    </w:p>
    <w:p w14:paraId="40A8A331" w14:textId="77777777" w:rsidR="006F0EEE" w:rsidRDefault="00000000" w:rsidP="0011697A">
      <w:pPr>
        <w:pStyle w:val="Bibliography"/>
        <w:spacing w:line="480" w:lineRule="auto"/>
      </w:pPr>
      <w:bookmarkStart w:id="53" w:name="ref-Aguirre2021"/>
      <w:bookmarkEnd w:id="52"/>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19">
        <w:r>
          <w:rPr>
            <w:rStyle w:val="Hyperlink"/>
          </w:rPr>
          <w:t>10.1371/journal.ppat.1010015</w:t>
        </w:r>
      </w:hyperlink>
      <w:r>
        <w:t>.</w:t>
      </w:r>
    </w:p>
    <w:p w14:paraId="2089638C" w14:textId="77777777" w:rsidR="006F0EEE" w:rsidRDefault="00000000" w:rsidP="0011697A">
      <w:pPr>
        <w:pStyle w:val="Bibliography"/>
        <w:spacing w:line="480" w:lineRule="auto"/>
      </w:pPr>
      <w:bookmarkStart w:id="54" w:name="ref-Kang2019"/>
      <w:bookmarkEnd w:id="53"/>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0">
        <w:r>
          <w:rPr>
            <w:rStyle w:val="Hyperlink"/>
          </w:rPr>
          <w:t>10.1016/j.chembiol.2018.10.003</w:t>
        </w:r>
      </w:hyperlink>
      <w:r>
        <w:t>.</w:t>
      </w:r>
    </w:p>
    <w:p w14:paraId="51BCB60B" w14:textId="77777777" w:rsidR="006F0EEE" w:rsidRDefault="00000000" w:rsidP="0011697A">
      <w:pPr>
        <w:pStyle w:val="Bibliography"/>
        <w:spacing w:line="480" w:lineRule="auto"/>
      </w:pPr>
      <w:bookmarkStart w:id="55" w:name="ref-Leslie2021"/>
      <w:bookmarkEnd w:id="54"/>
      <w:r>
        <w:t xml:space="preserve">14.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1">
        <w:r>
          <w:rPr>
            <w:rStyle w:val="Hyperlink"/>
          </w:rPr>
          <w:t>10.1128/mbio.00522-21</w:t>
        </w:r>
      </w:hyperlink>
      <w:r>
        <w:t>.</w:t>
      </w:r>
    </w:p>
    <w:p w14:paraId="4FA0A913" w14:textId="77777777" w:rsidR="006F0EEE" w:rsidRDefault="00000000" w:rsidP="0011697A">
      <w:pPr>
        <w:pStyle w:val="Bibliography"/>
        <w:spacing w:line="480" w:lineRule="auto"/>
      </w:pPr>
      <w:bookmarkStart w:id="56" w:name="ref-NagaoKitamoto2020"/>
      <w:bookmarkEnd w:id="55"/>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2">
        <w:r>
          <w:rPr>
            <w:rStyle w:val="Hyperlink"/>
          </w:rPr>
          <w:t>10.1038/s41591-020-0764-0</w:t>
        </w:r>
      </w:hyperlink>
      <w:r>
        <w:t>.</w:t>
      </w:r>
    </w:p>
    <w:p w14:paraId="61831903" w14:textId="77777777" w:rsidR="006F0EEE" w:rsidRDefault="00000000" w:rsidP="0011697A">
      <w:pPr>
        <w:pStyle w:val="Bibliography"/>
        <w:spacing w:line="480" w:lineRule="auto"/>
      </w:pPr>
      <w:bookmarkStart w:id="57" w:name="ref-Tomkovich2020"/>
      <w:bookmarkEnd w:id="56"/>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mSphere </w:t>
      </w:r>
      <w:r>
        <w:rPr>
          <w:b/>
        </w:rPr>
        <w:t>5</w:t>
      </w:r>
      <w:r>
        <w:t>. doi:</w:t>
      </w:r>
      <w:hyperlink r:id="rId23">
        <w:r>
          <w:rPr>
            <w:rStyle w:val="Hyperlink"/>
          </w:rPr>
          <w:t>10.1128/msphere.00869-20</w:t>
        </w:r>
      </w:hyperlink>
      <w:r>
        <w:t>.</w:t>
      </w:r>
    </w:p>
    <w:p w14:paraId="7D63837E" w14:textId="77777777" w:rsidR="006F0EEE" w:rsidRDefault="00000000" w:rsidP="0011697A">
      <w:pPr>
        <w:pStyle w:val="Bibliography"/>
        <w:spacing w:line="480" w:lineRule="auto"/>
      </w:pPr>
      <w:bookmarkStart w:id="58" w:name="ref-Nagpal2018"/>
      <w:bookmarkEnd w:id="57"/>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xml:space="preserve">. 2018. Comparative microbiome signatures and short-chain fatty acids in mouse, rat, non-human primate, and human feces. Frontiers in Microbiology </w:t>
      </w:r>
      <w:r>
        <w:rPr>
          <w:b/>
        </w:rPr>
        <w:t>9</w:t>
      </w:r>
      <w:r>
        <w:t>. doi:</w:t>
      </w:r>
      <w:hyperlink r:id="rId24">
        <w:r>
          <w:rPr>
            <w:rStyle w:val="Hyperlink"/>
          </w:rPr>
          <w:t>10.3389/fmicb.2018.02897</w:t>
        </w:r>
      </w:hyperlink>
      <w:r>
        <w:t>.</w:t>
      </w:r>
    </w:p>
    <w:p w14:paraId="6DB87F31" w14:textId="77777777" w:rsidR="006F0EEE" w:rsidRDefault="00000000" w:rsidP="0011697A">
      <w:pPr>
        <w:pStyle w:val="Bibliography"/>
        <w:spacing w:line="480" w:lineRule="auto"/>
      </w:pPr>
      <w:bookmarkStart w:id="59" w:name="ref-Schubert2014"/>
      <w:bookmarkEnd w:id="58"/>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5">
        <w:r>
          <w:rPr>
            <w:rStyle w:val="Hyperlink"/>
          </w:rPr>
          <w:t>10.1128/mbio.01021-14</w:t>
        </w:r>
      </w:hyperlink>
      <w:r>
        <w:t>.</w:t>
      </w:r>
    </w:p>
    <w:p w14:paraId="59F475E8" w14:textId="77777777" w:rsidR="006F0EEE" w:rsidRDefault="00000000" w:rsidP="0011697A">
      <w:pPr>
        <w:pStyle w:val="Bibliography"/>
        <w:spacing w:line="480" w:lineRule="auto"/>
      </w:pPr>
      <w:bookmarkStart w:id="60" w:name="ref-Gillilland2012"/>
      <w:bookmarkEnd w:id="59"/>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xml:space="preserve">. 2012. Ecological succession of bacterial communities during conventionalization of germ-free mice. Applied and Environmental Microbiology </w:t>
      </w:r>
      <w:r>
        <w:rPr>
          <w:b/>
        </w:rPr>
        <w:t>78</w:t>
      </w:r>
      <w:r>
        <w:t>:2359–2366. doi:</w:t>
      </w:r>
      <w:hyperlink r:id="rId26">
        <w:r>
          <w:rPr>
            <w:rStyle w:val="Hyperlink"/>
          </w:rPr>
          <w:t>10.1128/aem.05239-11</w:t>
        </w:r>
      </w:hyperlink>
      <w:r>
        <w:t>.</w:t>
      </w:r>
    </w:p>
    <w:p w14:paraId="125C2FE8" w14:textId="77777777" w:rsidR="006F0EEE" w:rsidRDefault="00000000" w:rsidP="0011697A">
      <w:pPr>
        <w:pStyle w:val="Bibliography"/>
        <w:spacing w:line="480" w:lineRule="auto"/>
      </w:pPr>
      <w:bookmarkStart w:id="61" w:name="ref-Chen2008"/>
      <w:bookmarkEnd w:id="60"/>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Clostridium difficile</w:t>
      </w:r>
      <w:r>
        <w:t xml:space="preserve">-associated disease. Gastroenterology </w:t>
      </w:r>
      <w:r>
        <w:rPr>
          <w:b/>
        </w:rPr>
        <w:t>135</w:t>
      </w:r>
      <w:r>
        <w:t>:1984–1992. doi:</w:t>
      </w:r>
      <w:hyperlink r:id="rId27">
        <w:r>
          <w:rPr>
            <w:rStyle w:val="Hyperlink"/>
          </w:rPr>
          <w:t>10.1053/j.gastro.2008.09.002</w:t>
        </w:r>
      </w:hyperlink>
      <w:r>
        <w:t>.</w:t>
      </w:r>
    </w:p>
    <w:p w14:paraId="75A69CF6" w14:textId="77777777" w:rsidR="006F0EEE" w:rsidRDefault="00000000" w:rsidP="0011697A">
      <w:pPr>
        <w:pStyle w:val="Bibliography"/>
        <w:spacing w:line="480" w:lineRule="auto"/>
      </w:pPr>
      <w:bookmarkStart w:id="62" w:name="ref-Schubert2015"/>
      <w:bookmarkEnd w:id="61"/>
      <w:r>
        <w:t xml:space="preserve">21. </w:t>
      </w:r>
      <w:r>
        <w:rPr>
          <w:b/>
        </w:rPr>
        <w:t>Schubert AM</w:t>
      </w:r>
      <w:r>
        <w:t xml:space="preserve">, </w:t>
      </w:r>
      <w:r>
        <w:rPr>
          <w:b/>
        </w:rPr>
        <w:t>Sinani H</w:t>
      </w:r>
      <w:r>
        <w:t xml:space="preserve">, </w:t>
      </w:r>
      <w:r>
        <w:rPr>
          <w:b/>
        </w:rPr>
        <w:t>Schloss PD</w:t>
      </w:r>
      <w:r>
        <w:t xml:space="preserve">. 2015. Antibiotic-induced alterations of the murine gut microbiota and subsequent effects on colonization resistance against </w:t>
      </w:r>
      <w:r>
        <w:rPr>
          <w:i/>
        </w:rPr>
        <w:t>Clostridium difficile</w:t>
      </w:r>
      <w:r>
        <w:t xml:space="preserve">. mBio </w:t>
      </w:r>
      <w:r>
        <w:rPr>
          <w:b/>
        </w:rPr>
        <w:t>6</w:t>
      </w:r>
      <w:r>
        <w:t>. doi:</w:t>
      </w:r>
      <w:hyperlink r:id="rId28">
        <w:r>
          <w:rPr>
            <w:rStyle w:val="Hyperlink"/>
          </w:rPr>
          <w:t>10.1128/mbio.00974-15</w:t>
        </w:r>
      </w:hyperlink>
      <w:r>
        <w:t>.</w:t>
      </w:r>
    </w:p>
    <w:p w14:paraId="13E086BA" w14:textId="77777777" w:rsidR="006F0EEE" w:rsidRDefault="00000000" w:rsidP="0011697A">
      <w:pPr>
        <w:pStyle w:val="Bibliography"/>
        <w:spacing w:line="480" w:lineRule="auto"/>
      </w:pPr>
      <w:bookmarkStart w:id="63" w:name="ref-Cowardin2016"/>
      <w:bookmarkEnd w:id="62"/>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virulence by suppressing protective colonic eosinophilia. Nature Microbiology </w:t>
      </w:r>
      <w:r>
        <w:rPr>
          <w:b/>
        </w:rPr>
        <w:t>1</w:t>
      </w:r>
      <w:r>
        <w:t>. doi:</w:t>
      </w:r>
      <w:hyperlink r:id="rId29">
        <w:r>
          <w:rPr>
            <w:rStyle w:val="Hyperlink"/>
          </w:rPr>
          <w:t>10.1038/nmicrobiol.2016.108</w:t>
        </w:r>
      </w:hyperlink>
      <w:r>
        <w:t>.</w:t>
      </w:r>
    </w:p>
    <w:p w14:paraId="279D3CB4" w14:textId="77777777" w:rsidR="006F0EEE" w:rsidRDefault="00000000" w:rsidP="0011697A">
      <w:pPr>
        <w:pStyle w:val="Bibliography"/>
        <w:spacing w:line="480" w:lineRule="auto"/>
      </w:pPr>
      <w:bookmarkStart w:id="64" w:name="ref-Seekatz2016"/>
      <w:bookmarkEnd w:id="63"/>
      <w:r>
        <w:t xml:space="preserve">23. </w:t>
      </w:r>
      <w:r>
        <w:rPr>
          <w:b/>
        </w:rPr>
        <w:t>Seekatz AM</w:t>
      </w:r>
      <w:r>
        <w:t xml:space="preserve">, </w:t>
      </w:r>
      <w:r>
        <w:rPr>
          <w:b/>
        </w:rPr>
        <w:t>Rao K</w:t>
      </w:r>
      <w:r>
        <w:t xml:space="preserve">, </w:t>
      </w:r>
      <w:r>
        <w:rPr>
          <w:b/>
        </w:rPr>
        <w:t>Santhosh K</w:t>
      </w:r>
      <w:r>
        <w:t xml:space="preserve">, </w:t>
      </w:r>
      <w:r>
        <w:rPr>
          <w:b/>
        </w:rPr>
        <w:t>Young VB</w:t>
      </w:r>
      <w:r>
        <w:t xml:space="preserve">. 2016. Dynamics of the fecal microbiome in patients with recurrent and nonrecurrent </w:t>
      </w:r>
      <w:r>
        <w:rPr>
          <w:i/>
        </w:rPr>
        <w:t>Clostridium difficile</w:t>
      </w:r>
      <w:r>
        <w:t xml:space="preserve"> infection. Genome Medicine </w:t>
      </w:r>
      <w:r>
        <w:rPr>
          <w:b/>
        </w:rPr>
        <w:t>8</w:t>
      </w:r>
      <w:r>
        <w:t>. doi:</w:t>
      </w:r>
      <w:hyperlink r:id="rId30">
        <w:r>
          <w:rPr>
            <w:rStyle w:val="Hyperlink"/>
          </w:rPr>
          <w:t>10.1186/s13073-016-0298-8</w:t>
        </w:r>
      </w:hyperlink>
      <w:r>
        <w:t>.</w:t>
      </w:r>
    </w:p>
    <w:p w14:paraId="562E8288" w14:textId="77777777" w:rsidR="006F0EEE" w:rsidRDefault="00000000" w:rsidP="0011697A">
      <w:pPr>
        <w:pStyle w:val="Bibliography"/>
        <w:spacing w:line="480" w:lineRule="auto"/>
      </w:pPr>
      <w:bookmarkStart w:id="65" w:name="ref-Dieterle2020"/>
      <w:bookmarkEnd w:id="64"/>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1">
        <w:r>
          <w:rPr>
            <w:rStyle w:val="Hyperlink"/>
          </w:rPr>
          <w:t>10.1128/mbio.00180-20</w:t>
        </w:r>
      </w:hyperlink>
      <w:r>
        <w:t>.</w:t>
      </w:r>
    </w:p>
    <w:p w14:paraId="51527DA3" w14:textId="77777777" w:rsidR="006F0EEE" w:rsidRDefault="00000000" w:rsidP="0011697A">
      <w:pPr>
        <w:pStyle w:val="Bibliography"/>
        <w:spacing w:line="480" w:lineRule="auto"/>
      </w:pPr>
      <w:bookmarkStart w:id="66" w:name="ref-Lesniak2021"/>
      <w:bookmarkEnd w:id="65"/>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2">
        <w:r>
          <w:rPr>
            <w:rStyle w:val="Hyperlink"/>
          </w:rPr>
          <w:t>10.1128/msphere.01238-20</w:t>
        </w:r>
      </w:hyperlink>
      <w:r>
        <w:t>.</w:t>
      </w:r>
    </w:p>
    <w:p w14:paraId="64AAB512" w14:textId="77777777" w:rsidR="006F0EEE" w:rsidRDefault="00000000" w:rsidP="0011697A">
      <w:pPr>
        <w:pStyle w:val="Bibliography"/>
        <w:spacing w:line="480" w:lineRule="auto"/>
      </w:pPr>
      <w:bookmarkStart w:id="67" w:name="ref-Lungulescu2011"/>
      <w:bookmarkEnd w:id="66"/>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infection at the time of admission. Journal of Hospital Infection </w:t>
      </w:r>
      <w:r>
        <w:rPr>
          <w:b/>
        </w:rPr>
        <w:t>79</w:t>
      </w:r>
      <w:r>
        <w:t>:151–154. doi:</w:t>
      </w:r>
      <w:hyperlink r:id="rId33">
        <w:r>
          <w:rPr>
            <w:rStyle w:val="Hyperlink"/>
          </w:rPr>
          <w:t>10.1016/j.jhin.2011.04.017</w:t>
        </w:r>
      </w:hyperlink>
      <w:r>
        <w:t>.</w:t>
      </w:r>
    </w:p>
    <w:p w14:paraId="03F17219" w14:textId="77777777" w:rsidR="006F0EEE" w:rsidRDefault="00000000" w:rsidP="0011697A">
      <w:pPr>
        <w:pStyle w:val="Bibliography"/>
        <w:spacing w:line="480" w:lineRule="auto"/>
      </w:pPr>
      <w:bookmarkStart w:id="68" w:name="ref-Zar2007"/>
      <w:bookmarkEnd w:id="67"/>
      <w:r>
        <w:t xml:space="preserve">27. </w:t>
      </w:r>
      <w:r>
        <w:rPr>
          <w:b/>
        </w:rPr>
        <w:t>Zar FA</w:t>
      </w:r>
      <w:r>
        <w:t xml:space="preserve">, </w:t>
      </w:r>
      <w:r>
        <w:rPr>
          <w:b/>
        </w:rPr>
        <w:t>Bakkanagari SR</w:t>
      </w:r>
      <w:r>
        <w:t xml:space="preserve">, </w:t>
      </w:r>
      <w:r>
        <w:rPr>
          <w:b/>
        </w:rPr>
        <w:t>Moorthi KMLST</w:t>
      </w:r>
      <w:r>
        <w:t xml:space="preserve">, </w:t>
      </w:r>
      <w:r>
        <w:rPr>
          <w:b/>
        </w:rPr>
        <w:t>Davis MB</w:t>
      </w:r>
      <w:r>
        <w:t xml:space="preserve">. 2007. A comparison of vancomycin and metronidazole for the treatment of </w:t>
      </w:r>
      <w:r>
        <w:rPr>
          <w:i/>
        </w:rPr>
        <w:t>Clostridium difficile</w:t>
      </w:r>
      <w:r>
        <w:t xml:space="preserve">-associated diarrhea, stratified by disease severity. Clinical Infectious Diseases </w:t>
      </w:r>
      <w:r>
        <w:rPr>
          <w:b/>
        </w:rPr>
        <w:t>45</w:t>
      </w:r>
      <w:r>
        <w:t>:302–307. doi:</w:t>
      </w:r>
      <w:hyperlink r:id="rId34">
        <w:r>
          <w:rPr>
            <w:rStyle w:val="Hyperlink"/>
          </w:rPr>
          <w:t>10.1086/519265</w:t>
        </w:r>
      </w:hyperlink>
      <w:r>
        <w:t>.</w:t>
      </w:r>
    </w:p>
    <w:p w14:paraId="60B2D48A" w14:textId="77777777" w:rsidR="006F0EEE" w:rsidRDefault="00000000" w:rsidP="0011697A">
      <w:pPr>
        <w:pStyle w:val="Bibliography"/>
        <w:spacing w:line="480" w:lineRule="auto"/>
      </w:pPr>
      <w:bookmarkStart w:id="69" w:name="ref-diMasi2018"/>
      <w:bookmarkEnd w:id="68"/>
      <w:r>
        <w:t xml:space="preserve">28. </w:t>
      </w:r>
      <w:r>
        <w:rPr>
          <w:b/>
        </w:rPr>
        <w:t>Masi A di</w:t>
      </w:r>
      <w:r>
        <w:t xml:space="preserve">, </w:t>
      </w:r>
      <w:r>
        <w:rPr>
          <w:b/>
        </w:rPr>
        <w:t>Leboffe L</w:t>
      </w:r>
      <w:r>
        <w:t xml:space="preserve">, </w:t>
      </w:r>
      <w:r>
        <w:rPr>
          <w:b/>
        </w:rPr>
        <w:t>Polticelli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xml:space="preserve">. 2018. Human serum albumin is an essential component of the host defense mechanism against </w:t>
      </w:r>
      <w:r>
        <w:rPr>
          <w:i/>
        </w:rPr>
        <w:t>Clostridium difficile</w:t>
      </w:r>
      <w:r>
        <w:t xml:space="preserve"> intoxication. The Journal of Infectious Diseases </w:t>
      </w:r>
      <w:r>
        <w:rPr>
          <w:b/>
        </w:rPr>
        <w:t>218</w:t>
      </w:r>
      <w:r>
        <w:t>:1424–1435. doi:</w:t>
      </w:r>
      <w:hyperlink r:id="rId35">
        <w:r>
          <w:rPr>
            <w:rStyle w:val="Hyperlink"/>
          </w:rPr>
          <w:t>10.1093/infdis/jiy338</w:t>
        </w:r>
      </w:hyperlink>
      <w:r>
        <w:t>.</w:t>
      </w:r>
    </w:p>
    <w:p w14:paraId="47909975" w14:textId="77777777" w:rsidR="006F0EEE" w:rsidRDefault="00000000" w:rsidP="0011697A">
      <w:pPr>
        <w:pStyle w:val="Bibliography"/>
        <w:spacing w:line="480" w:lineRule="auto"/>
      </w:pPr>
      <w:bookmarkStart w:id="70" w:name="ref-AbernathyClose2020"/>
      <w:bookmarkEnd w:id="69"/>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6">
        <w:r>
          <w:rPr>
            <w:rStyle w:val="Hyperlink"/>
          </w:rPr>
          <w:t>10.1128/iai.00960-19</w:t>
        </w:r>
      </w:hyperlink>
      <w:r>
        <w:t>.</w:t>
      </w:r>
    </w:p>
    <w:p w14:paraId="115C09DA" w14:textId="77777777" w:rsidR="006F0EEE" w:rsidRDefault="00000000" w:rsidP="0011697A">
      <w:pPr>
        <w:pStyle w:val="Bibliography"/>
        <w:spacing w:line="480" w:lineRule="auto"/>
      </w:pPr>
      <w:bookmarkStart w:id="71" w:name="ref-Theriot2011"/>
      <w:bookmarkEnd w:id="70"/>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difficile</w:t>
      </w:r>
      <w:r>
        <w:t xml:space="preserve"> strains. Gut Microbes </w:t>
      </w:r>
      <w:r>
        <w:rPr>
          <w:b/>
        </w:rPr>
        <w:t>2</w:t>
      </w:r>
      <w:r>
        <w:t>:326–334. doi:</w:t>
      </w:r>
      <w:hyperlink r:id="rId37">
        <w:r>
          <w:rPr>
            <w:rStyle w:val="Hyperlink"/>
          </w:rPr>
          <w:t>10.4161/gmic.19142</w:t>
        </w:r>
      </w:hyperlink>
      <w:r>
        <w:t>.</w:t>
      </w:r>
    </w:p>
    <w:p w14:paraId="12F2BCB3" w14:textId="77777777" w:rsidR="006F0EEE" w:rsidRDefault="00000000" w:rsidP="0011697A">
      <w:pPr>
        <w:pStyle w:val="Bibliography"/>
        <w:spacing w:line="480" w:lineRule="auto"/>
      </w:pPr>
      <w:bookmarkStart w:id="72" w:name="ref-Goorhuis2008"/>
      <w:bookmarkEnd w:id="71"/>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difficile</w:t>
      </w:r>
      <w:r>
        <w:t xml:space="preserve"> infection due to a new hypervirulent strain, polymerase chain reaction ribotype 078. Clinical Infectious Diseases </w:t>
      </w:r>
      <w:r>
        <w:rPr>
          <w:b/>
        </w:rPr>
        <w:t>47</w:t>
      </w:r>
      <w:r>
        <w:t>:1162–1170. doi:</w:t>
      </w:r>
      <w:hyperlink r:id="rId38">
        <w:r>
          <w:rPr>
            <w:rStyle w:val="Hyperlink"/>
          </w:rPr>
          <w:t>10.1086/592257</w:t>
        </w:r>
      </w:hyperlink>
      <w:r>
        <w:t>.</w:t>
      </w:r>
    </w:p>
    <w:p w14:paraId="053DE3F7" w14:textId="77777777" w:rsidR="006F0EEE" w:rsidRDefault="00000000" w:rsidP="0011697A">
      <w:pPr>
        <w:pStyle w:val="Bibliography"/>
        <w:spacing w:line="480" w:lineRule="auto"/>
      </w:pPr>
      <w:bookmarkStart w:id="73" w:name="ref-OConnor2009"/>
      <w:bookmarkEnd w:id="72"/>
      <w:r>
        <w:t xml:space="preserve">32. </w:t>
      </w:r>
      <w:r>
        <w:rPr>
          <w:b/>
        </w:rPr>
        <w:t>O’Connor JR</w:t>
      </w:r>
      <w:r>
        <w:t xml:space="preserve">, </w:t>
      </w:r>
      <w:r>
        <w:rPr>
          <w:b/>
        </w:rPr>
        <w:t>Johnson S</w:t>
      </w:r>
      <w:r>
        <w:t xml:space="preserve">, </w:t>
      </w:r>
      <w:r>
        <w:rPr>
          <w:b/>
        </w:rPr>
        <w:t>Gerding DN</w:t>
      </w:r>
      <w:r>
        <w:t xml:space="preserve">. 2009. </w:t>
      </w:r>
      <w:r>
        <w:rPr>
          <w:i/>
        </w:rPr>
        <w:t>Clostridium difficile</w:t>
      </w:r>
      <w:r>
        <w:t xml:space="preserve"> infection caused by the epidemic BI/NAP1/027 strain. Gastroenterology </w:t>
      </w:r>
      <w:r>
        <w:rPr>
          <w:b/>
        </w:rPr>
        <w:t>136</w:t>
      </w:r>
      <w:r>
        <w:t>:1913–1924. doi:</w:t>
      </w:r>
      <w:hyperlink r:id="rId39">
        <w:r>
          <w:rPr>
            <w:rStyle w:val="Hyperlink"/>
          </w:rPr>
          <w:t>10.1053/j.gastro.2009.02.073</w:t>
        </w:r>
      </w:hyperlink>
      <w:r>
        <w:t>.</w:t>
      </w:r>
    </w:p>
    <w:p w14:paraId="325F3267" w14:textId="77777777" w:rsidR="006F0EEE" w:rsidRDefault="00000000" w:rsidP="0011697A">
      <w:pPr>
        <w:pStyle w:val="Bibliography"/>
        <w:spacing w:line="480" w:lineRule="auto"/>
      </w:pPr>
      <w:bookmarkStart w:id="74" w:name="ref-Rao2015"/>
      <w:bookmarkEnd w:id="73"/>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Clinical Infectious Diseases </w:t>
      </w:r>
      <w:r>
        <w:rPr>
          <w:b/>
        </w:rPr>
        <w:t>61</w:t>
      </w:r>
      <w:r>
        <w:t>:233–241. doi:</w:t>
      </w:r>
      <w:hyperlink r:id="rId40">
        <w:r>
          <w:rPr>
            <w:rStyle w:val="Hyperlink"/>
          </w:rPr>
          <w:t>10.1093/cid/civ254</w:t>
        </w:r>
      </w:hyperlink>
      <w:r>
        <w:t>.</w:t>
      </w:r>
    </w:p>
    <w:p w14:paraId="091D71B0" w14:textId="77777777" w:rsidR="006F0EEE" w:rsidRDefault="00000000" w:rsidP="0011697A">
      <w:pPr>
        <w:pStyle w:val="Bibliography"/>
        <w:spacing w:line="480" w:lineRule="auto"/>
      </w:pPr>
      <w:bookmarkStart w:id="75" w:name="ref-Walk2012"/>
      <w:bookmarkEnd w:id="74"/>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Malani 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1">
        <w:r>
          <w:rPr>
            <w:rStyle w:val="Hyperlink"/>
          </w:rPr>
          <w:t>10.1093/cid/cis786</w:t>
        </w:r>
      </w:hyperlink>
      <w:r>
        <w:t>.</w:t>
      </w:r>
    </w:p>
    <w:p w14:paraId="499F1F5D" w14:textId="77777777" w:rsidR="006F0EEE" w:rsidRDefault="00000000" w:rsidP="0011697A">
      <w:pPr>
        <w:pStyle w:val="Bibliography"/>
        <w:spacing w:line="480" w:lineRule="auto"/>
      </w:pPr>
      <w:bookmarkStart w:id="76" w:name="ref-Carlson2013"/>
      <w:bookmarkEnd w:id="75"/>
      <w:r>
        <w:t xml:space="preserve">35. </w:t>
      </w:r>
      <w:r>
        <w:rPr>
          <w:b/>
        </w:rPr>
        <w:t>Carlson PE</w:t>
      </w:r>
      <w:r>
        <w:t xml:space="preserve">, </w:t>
      </w:r>
      <w:r>
        <w:rPr>
          <w:b/>
        </w:rPr>
        <w:t>Walk ST</w:t>
      </w:r>
      <w:r>
        <w:t xml:space="preserve">, </w:t>
      </w:r>
      <w:r>
        <w:rPr>
          <w:b/>
        </w:rPr>
        <w:t>Bourgis AET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2">
        <w:r>
          <w:rPr>
            <w:rStyle w:val="Hyperlink"/>
          </w:rPr>
          <w:t>10.1016/j.anaerobe.2013.04.003</w:t>
        </w:r>
      </w:hyperlink>
      <w:r>
        <w:t>.</w:t>
      </w:r>
    </w:p>
    <w:p w14:paraId="788315FD" w14:textId="77777777" w:rsidR="006F0EEE" w:rsidRDefault="00000000" w:rsidP="0011697A">
      <w:pPr>
        <w:pStyle w:val="Bibliography"/>
        <w:spacing w:line="480" w:lineRule="auto"/>
      </w:pPr>
      <w:bookmarkStart w:id="77" w:name="ref-Carlson2015"/>
      <w:bookmarkEnd w:id="76"/>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correlates to disease severity. Anaerobe </w:t>
      </w:r>
      <w:r>
        <w:rPr>
          <w:b/>
        </w:rPr>
        <w:t>33</w:t>
      </w:r>
      <w:r>
        <w:t>:64–70. doi:</w:t>
      </w:r>
      <w:hyperlink r:id="rId43">
        <w:r>
          <w:rPr>
            <w:rStyle w:val="Hyperlink"/>
          </w:rPr>
          <w:t>10.1016/j.anaerobe.2015.02.003</w:t>
        </w:r>
      </w:hyperlink>
      <w:r>
        <w:t>.</w:t>
      </w:r>
    </w:p>
    <w:p w14:paraId="57EF77A1" w14:textId="77777777" w:rsidR="006F0EEE" w:rsidRDefault="00000000" w:rsidP="0011697A">
      <w:pPr>
        <w:pStyle w:val="Bibliography"/>
        <w:spacing w:line="480" w:lineRule="auto"/>
      </w:pPr>
      <w:bookmarkStart w:id="78" w:name="ref-Saund2021"/>
      <w:bookmarkEnd w:id="77"/>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 activity associated with genomic variation at both PaLoc and non-PaLoc loci. doi:</w:t>
      </w:r>
      <w:hyperlink r:id="rId44">
        <w:r>
          <w:rPr>
            <w:rStyle w:val="Hyperlink"/>
          </w:rPr>
          <w:t>10.1101/2021.12.08.471880</w:t>
        </w:r>
      </w:hyperlink>
      <w:r>
        <w:t>.</w:t>
      </w:r>
    </w:p>
    <w:p w14:paraId="18CD4AE9" w14:textId="77777777" w:rsidR="006F0EEE" w:rsidRDefault="00000000" w:rsidP="0011697A">
      <w:pPr>
        <w:pStyle w:val="Bibliography"/>
        <w:spacing w:line="480" w:lineRule="auto"/>
      </w:pPr>
      <w:bookmarkStart w:id="79" w:name="ref-He2010"/>
      <w:bookmarkEnd w:id="78"/>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5">
        <w:r>
          <w:rPr>
            <w:rStyle w:val="Hyperlink"/>
          </w:rPr>
          <w:t>10.1073/pnas.0914322107</w:t>
        </w:r>
      </w:hyperlink>
      <w:r>
        <w:t>.</w:t>
      </w:r>
    </w:p>
    <w:p w14:paraId="16BF83F2" w14:textId="77777777" w:rsidR="006F0EEE" w:rsidRDefault="00000000" w:rsidP="0011697A">
      <w:pPr>
        <w:pStyle w:val="Bibliography"/>
        <w:spacing w:line="480" w:lineRule="auto"/>
      </w:pPr>
      <w:bookmarkStart w:id="80" w:name="ref-Butt2013"/>
      <w:bookmarkEnd w:id="79"/>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6">
        <w:r>
          <w:rPr>
            <w:rStyle w:val="Hyperlink"/>
          </w:rPr>
          <w:t>10.1186/1471-2334-13-316</w:t>
        </w:r>
      </w:hyperlink>
      <w:r>
        <w:t>.</w:t>
      </w:r>
    </w:p>
    <w:p w14:paraId="4C359056" w14:textId="77777777" w:rsidR="006F0EEE" w:rsidRDefault="00000000" w:rsidP="0011697A">
      <w:pPr>
        <w:pStyle w:val="Bibliography"/>
        <w:spacing w:line="480" w:lineRule="auto"/>
      </w:pPr>
      <w:bookmarkStart w:id="81" w:name="ref-vanBeurden2017"/>
      <w:bookmarkEnd w:id="80"/>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Clostridium difficile</w:t>
      </w:r>
      <w:r>
        <w:t xml:space="preserve"> infection: Disappointing in an </w:t>
      </w:r>
      <w:r>
        <w:lastRenderedPageBreak/>
        <w:t xml:space="preserve">outbreak setting. Infection Control &amp; Hospital Epidemiology </w:t>
      </w:r>
      <w:r>
        <w:rPr>
          <w:b/>
        </w:rPr>
        <w:t>38</w:t>
      </w:r>
      <w:r>
        <w:t>:897–905. doi:</w:t>
      </w:r>
      <w:hyperlink r:id="rId47">
        <w:r>
          <w:rPr>
            <w:rStyle w:val="Hyperlink"/>
          </w:rPr>
          <w:t>10.1017/ice.2017.89</w:t>
        </w:r>
      </w:hyperlink>
      <w:r>
        <w:t>.</w:t>
      </w:r>
    </w:p>
    <w:p w14:paraId="3DEF20A3" w14:textId="77777777" w:rsidR="006F0EEE" w:rsidRDefault="00000000" w:rsidP="0011697A">
      <w:pPr>
        <w:pStyle w:val="Bibliography"/>
        <w:spacing w:line="480" w:lineRule="auto"/>
      </w:pPr>
      <w:bookmarkStart w:id="82" w:name="ref-Jenior2018"/>
      <w:bookmarkEnd w:id="81"/>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8">
        <w:r>
          <w:rPr>
            <w:rStyle w:val="Hyperlink"/>
          </w:rPr>
          <w:t>10.1128/msphere.00261-18</w:t>
        </w:r>
      </w:hyperlink>
      <w:r>
        <w:t>.</w:t>
      </w:r>
    </w:p>
    <w:p w14:paraId="19C3EE8D" w14:textId="77777777" w:rsidR="006F0EEE" w:rsidRDefault="00000000" w:rsidP="0011697A">
      <w:pPr>
        <w:pStyle w:val="Bibliography"/>
        <w:spacing w:line="480" w:lineRule="auto"/>
      </w:pPr>
      <w:bookmarkStart w:id="83" w:name="ref-Staley2016"/>
      <w:bookmarkEnd w:id="82"/>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49">
        <w:r>
          <w:rPr>
            <w:rStyle w:val="Hyperlink"/>
          </w:rPr>
          <w:t>10.1007/s00253-016-8006-6</w:t>
        </w:r>
      </w:hyperlink>
      <w:r>
        <w:t>.</w:t>
      </w:r>
    </w:p>
    <w:p w14:paraId="0CA348D4" w14:textId="77777777" w:rsidR="006F0EEE" w:rsidRDefault="00000000" w:rsidP="0011697A">
      <w:pPr>
        <w:pStyle w:val="Bibliography"/>
        <w:spacing w:line="480" w:lineRule="auto"/>
      </w:pPr>
      <w:bookmarkStart w:id="84" w:name="ref-Long2017"/>
      <w:bookmarkEnd w:id="83"/>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0">
        <w:r>
          <w:rPr>
            <w:rStyle w:val="Hyperlink"/>
          </w:rPr>
          <w:t>10.1016/j.mam.2017.06.002</w:t>
        </w:r>
      </w:hyperlink>
      <w:r>
        <w:t>.</w:t>
      </w:r>
    </w:p>
    <w:p w14:paraId="6F2DA9EE" w14:textId="77777777" w:rsidR="006F0EEE" w:rsidRDefault="00000000" w:rsidP="0011697A">
      <w:pPr>
        <w:pStyle w:val="Bibliography"/>
        <w:spacing w:line="480" w:lineRule="auto"/>
      </w:pPr>
      <w:bookmarkStart w:id="85" w:name="ref-Sorg2010"/>
      <w:bookmarkEnd w:id="84"/>
      <w:r>
        <w:t xml:space="preserve">44. </w:t>
      </w:r>
      <w:r>
        <w:rPr>
          <w:b/>
        </w:rPr>
        <w:t>Sorg JA</w:t>
      </w:r>
      <w:r>
        <w:t xml:space="preserve">, </w:t>
      </w:r>
      <w:r>
        <w:rPr>
          <w:b/>
        </w:rPr>
        <w:t>Sonenshein AL</w:t>
      </w:r>
      <w:r>
        <w:t xml:space="preserve">. 2010. Inhibiting the initiation of </w:t>
      </w:r>
      <w:r>
        <w:rPr>
          <w:i/>
        </w:rPr>
        <w:t>Clostridium difficile</w:t>
      </w:r>
      <w:r>
        <w:t xml:space="preserve"> spore germination using analogs of chenodeoxycholic acid, a bile acid. Journal of Bacteriology </w:t>
      </w:r>
      <w:r>
        <w:rPr>
          <w:b/>
        </w:rPr>
        <w:t>192</w:t>
      </w:r>
      <w:r>
        <w:t>:4983–4990. doi:</w:t>
      </w:r>
      <w:hyperlink r:id="rId51">
        <w:r>
          <w:rPr>
            <w:rStyle w:val="Hyperlink"/>
          </w:rPr>
          <w:t>10.1128/jb.00610-10</w:t>
        </w:r>
      </w:hyperlink>
      <w:r>
        <w:t>.</w:t>
      </w:r>
    </w:p>
    <w:p w14:paraId="45DD0326" w14:textId="77777777" w:rsidR="006F0EEE" w:rsidRDefault="00000000" w:rsidP="0011697A">
      <w:pPr>
        <w:pStyle w:val="Bibliography"/>
        <w:spacing w:line="480" w:lineRule="auto"/>
      </w:pPr>
      <w:bookmarkStart w:id="86" w:name="ref-Dubois2019"/>
      <w:bookmarkEnd w:id="85"/>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2">
        <w:r>
          <w:rPr>
            <w:rStyle w:val="Hyperlink"/>
          </w:rPr>
          <w:t>10.1038/s41522-019-0087-4</w:t>
        </w:r>
      </w:hyperlink>
      <w:r>
        <w:t>.</w:t>
      </w:r>
    </w:p>
    <w:p w14:paraId="4ACEB407" w14:textId="77777777" w:rsidR="006F0EEE" w:rsidRDefault="00000000" w:rsidP="0011697A">
      <w:pPr>
        <w:pStyle w:val="Bibliography"/>
        <w:spacing w:line="480" w:lineRule="auto"/>
      </w:pPr>
      <w:bookmarkStart w:id="87" w:name="ref-Ng2013"/>
      <w:bookmarkEnd w:id="86"/>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xml:space="preserve">. 2013. Microbiota-liberated host sugars facilitate post-antibiotic expansion of enteric pathogens. Nature </w:t>
      </w:r>
      <w:r>
        <w:rPr>
          <w:b/>
        </w:rPr>
        <w:t>502</w:t>
      </w:r>
      <w:r>
        <w:t>:96–99. doi:</w:t>
      </w:r>
      <w:hyperlink r:id="rId53">
        <w:r>
          <w:rPr>
            <w:rStyle w:val="Hyperlink"/>
          </w:rPr>
          <w:t>10.1038/nature12503</w:t>
        </w:r>
      </w:hyperlink>
      <w:r>
        <w:t>.</w:t>
      </w:r>
    </w:p>
    <w:p w14:paraId="76DD479B" w14:textId="77777777" w:rsidR="006F0EEE" w:rsidRDefault="00000000" w:rsidP="0011697A">
      <w:pPr>
        <w:pStyle w:val="Bibliography"/>
        <w:spacing w:line="480" w:lineRule="auto"/>
      </w:pPr>
      <w:bookmarkStart w:id="88" w:name="ref-Ferreyra2014"/>
      <w:bookmarkEnd w:id="87"/>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4">
        <w:r>
          <w:rPr>
            <w:rStyle w:val="Hyperlink"/>
          </w:rPr>
          <w:t>10.1016/j.chom.2014.11.003</w:t>
        </w:r>
      </w:hyperlink>
      <w:r>
        <w:t>.</w:t>
      </w:r>
    </w:p>
    <w:p w14:paraId="22110810" w14:textId="77777777" w:rsidR="006F0EEE" w:rsidRDefault="00000000" w:rsidP="0011697A">
      <w:pPr>
        <w:pStyle w:val="Bibliography"/>
        <w:spacing w:line="480" w:lineRule="auto"/>
      </w:pPr>
      <w:bookmarkStart w:id="89" w:name="ref-MartinVerstraete2016"/>
      <w:bookmarkEnd w:id="88"/>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5">
        <w:r>
          <w:rPr>
            <w:rStyle w:val="Hyperlink"/>
          </w:rPr>
          <w:t>10.3390/toxins8050153</w:t>
        </w:r>
      </w:hyperlink>
      <w:r>
        <w:t>.</w:t>
      </w:r>
    </w:p>
    <w:p w14:paraId="026EFFF2" w14:textId="77777777" w:rsidR="006F0EEE" w:rsidRDefault="00000000" w:rsidP="0011697A">
      <w:pPr>
        <w:pStyle w:val="Bibliography"/>
        <w:spacing w:line="480" w:lineRule="auto"/>
      </w:pPr>
      <w:bookmarkStart w:id="90" w:name="ref-Lawley2012"/>
      <w:bookmarkEnd w:id="89"/>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xml:space="preserve">. 2012. Targeted restoration of the intestinal microbiota with a simple, defined bacteriotherapy resolves relapsing </w:t>
      </w:r>
      <w:r>
        <w:rPr>
          <w:i/>
        </w:rPr>
        <w:t>Clostridium difficile</w:t>
      </w:r>
      <w:r>
        <w:t xml:space="preserve"> disease in mice. PLoS Pathogens </w:t>
      </w:r>
      <w:r>
        <w:rPr>
          <w:b/>
        </w:rPr>
        <w:t>8</w:t>
      </w:r>
      <w:r>
        <w:t>:e1002995. doi:</w:t>
      </w:r>
      <w:hyperlink r:id="rId56">
        <w:r>
          <w:rPr>
            <w:rStyle w:val="Hyperlink"/>
          </w:rPr>
          <w:t>10.1371/journal.ppat.1002995</w:t>
        </w:r>
      </w:hyperlink>
      <w:r>
        <w:t>.</w:t>
      </w:r>
    </w:p>
    <w:p w14:paraId="775D87E1" w14:textId="77777777" w:rsidR="006F0EEE" w:rsidRDefault="00000000" w:rsidP="0011697A">
      <w:pPr>
        <w:pStyle w:val="Bibliography"/>
        <w:spacing w:line="480" w:lineRule="auto"/>
      </w:pPr>
      <w:bookmarkStart w:id="91" w:name="ref-Reeves2011"/>
      <w:bookmarkEnd w:id="90"/>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7">
        <w:r>
          <w:rPr>
            <w:rStyle w:val="Hyperlink"/>
          </w:rPr>
          <w:t>10.4161/gmic.2.3.16333</w:t>
        </w:r>
      </w:hyperlink>
      <w:r>
        <w:t>.</w:t>
      </w:r>
    </w:p>
    <w:p w14:paraId="5A32BFF2" w14:textId="77777777" w:rsidR="006F0EEE" w:rsidRDefault="00000000" w:rsidP="0011697A">
      <w:pPr>
        <w:pStyle w:val="Bibliography"/>
        <w:spacing w:line="480" w:lineRule="auto"/>
      </w:pPr>
      <w:bookmarkStart w:id="92" w:name="ref-Battaglioli2018"/>
      <w:bookmarkEnd w:id="91"/>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amino acids associated with gut microbial dysbiosis in a subset of patients with diarrhea. Science Translational Medicine </w:t>
      </w:r>
      <w:r>
        <w:rPr>
          <w:b/>
        </w:rPr>
        <w:t>10</w:t>
      </w:r>
      <w:r>
        <w:t>. doi:</w:t>
      </w:r>
      <w:hyperlink r:id="rId58">
        <w:r>
          <w:rPr>
            <w:rStyle w:val="Hyperlink"/>
          </w:rPr>
          <w:t>10.1126/scitranslmed.aam7019</w:t>
        </w:r>
      </w:hyperlink>
      <w:r>
        <w:t>.</w:t>
      </w:r>
    </w:p>
    <w:p w14:paraId="67FA8566" w14:textId="77777777" w:rsidR="006F0EEE" w:rsidRDefault="00000000" w:rsidP="0011697A">
      <w:pPr>
        <w:pStyle w:val="Bibliography"/>
        <w:spacing w:line="480" w:lineRule="auto"/>
      </w:pPr>
      <w:bookmarkStart w:id="93" w:name="ref-Liu2021"/>
      <w:bookmarkEnd w:id="92"/>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59">
        <w:r>
          <w:rPr>
            <w:rStyle w:val="Hyperlink"/>
          </w:rPr>
          <w:t>10.1080/19490976.2021.1875796</w:t>
        </w:r>
      </w:hyperlink>
      <w:r>
        <w:t>.</w:t>
      </w:r>
    </w:p>
    <w:p w14:paraId="10DC75C5" w14:textId="77777777" w:rsidR="006F0EEE" w:rsidRDefault="00000000" w:rsidP="0011697A">
      <w:pPr>
        <w:pStyle w:val="Bibliography"/>
        <w:spacing w:line="480" w:lineRule="auto"/>
      </w:pPr>
      <w:bookmarkStart w:id="94" w:name="ref-Mabrok2011"/>
      <w:bookmarkEnd w:id="93"/>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xml:space="preserve">. 2011. Lignan transformation by gut bacteria lowers tumor burden in a gnotobiotic rat model of breast cancer. Carcinogenesis </w:t>
      </w:r>
      <w:r>
        <w:rPr>
          <w:b/>
        </w:rPr>
        <w:t>33</w:t>
      </w:r>
      <w:r>
        <w:t>:203–208. doi:</w:t>
      </w:r>
      <w:hyperlink r:id="rId60">
        <w:r>
          <w:rPr>
            <w:rStyle w:val="Hyperlink"/>
          </w:rPr>
          <w:t>10.1093/carcin/bgr256</w:t>
        </w:r>
      </w:hyperlink>
      <w:r>
        <w:t>.</w:t>
      </w:r>
    </w:p>
    <w:p w14:paraId="749EC6A1" w14:textId="77777777" w:rsidR="006F0EEE" w:rsidRDefault="00000000" w:rsidP="0011697A">
      <w:pPr>
        <w:pStyle w:val="Bibliography"/>
        <w:spacing w:line="480" w:lineRule="auto"/>
      </w:pPr>
      <w:bookmarkStart w:id="95" w:name="ref-Kim2019"/>
      <w:bookmarkEnd w:id="94"/>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xml:space="preserve">. 2019. Genomic insights from </w:t>
      </w:r>
      <w:r>
        <w:rPr>
          <w:i/>
        </w:rPr>
        <w:t>Monoglobus pectinilyticus</w:t>
      </w:r>
      <w:r>
        <w:t xml:space="preserve">: A pectin-degrading specialist bacterium in the human colon. The ISME Journal </w:t>
      </w:r>
      <w:r>
        <w:rPr>
          <w:b/>
        </w:rPr>
        <w:t>13</w:t>
      </w:r>
      <w:r>
        <w:t>:1437–1456. doi:</w:t>
      </w:r>
      <w:hyperlink r:id="rId61">
        <w:r>
          <w:rPr>
            <w:rStyle w:val="Hyperlink"/>
          </w:rPr>
          <w:t>10.1038/s41396-019-0363-6</w:t>
        </w:r>
      </w:hyperlink>
      <w:r>
        <w:t>.</w:t>
      </w:r>
    </w:p>
    <w:p w14:paraId="0A36F3F2" w14:textId="77777777" w:rsidR="006F0EEE" w:rsidRDefault="00000000" w:rsidP="0011697A">
      <w:pPr>
        <w:pStyle w:val="Bibliography"/>
        <w:spacing w:line="480" w:lineRule="auto"/>
      </w:pPr>
      <w:bookmarkStart w:id="96" w:name="ref-Choi2019"/>
      <w:bookmarkEnd w:id="95"/>
      <w:r>
        <w:t xml:space="preserve">55. </w:t>
      </w:r>
      <w:r>
        <w:rPr>
          <w:b/>
        </w:rPr>
        <w:t>Choi S-H</w:t>
      </w:r>
      <w:r>
        <w:t xml:space="preserve">, </w:t>
      </w:r>
      <w:r>
        <w:rPr>
          <w:b/>
        </w:rPr>
        <w:t>Kim J-S</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sp. Nov., isolated from human faeces. Journal of Microbiology </w:t>
      </w:r>
      <w:r>
        <w:rPr>
          <w:b/>
        </w:rPr>
        <w:t>57</w:t>
      </w:r>
      <w:r>
        <w:t>:1073–1078. doi:</w:t>
      </w:r>
      <w:hyperlink r:id="rId62">
        <w:r>
          <w:rPr>
            <w:rStyle w:val="Hyperlink"/>
          </w:rPr>
          <w:t>10.1007/s12275-019-9268-3</w:t>
        </w:r>
      </w:hyperlink>
      <w:r>
        <w:t>.</w:t>
      </w:r>
    </w:p>
    <w:p w14:paraId="79393C4A" w14:textId="77777777" w:rsidR="006F0EEE" w:rsidRDefault="00000000" w:rsidP="0011697A">
      <w:pPr>
        <w:pStyle w:val="Bibliography"/>
        <w:spacing w:line="480" w:lineRule="auto"/>
      </w:pPr>
      <w:bookmarkStart w:id="97" w:name="ref-Ueki2017"/>
      <w:bookmarkEnd w:id="96"/>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anaerotignum</w:t>
      </w:r>
      <w:r>
        <w:t xml:space="preserve">. International Journal of Systematic and Evolutionary Microbiology </w:t>
      </w:r>
      <w:r>
        <w:rPr>
          <w:b/>
        </w:rPr>
        <w:t>67</w:t>
      </w:r>
      <w:r>
        <w:t>:4146–4153. doi:</w:t>
      </w:r>
      <w:hyperlink r:id="rId63">
        <w:r>
          <w:rPr>
            <w:rStyle w:val="Hyperlink"/>
          </w:rPr>
          <w:t>10.1099/ijsem.0.002268</w:t>
        </w:r>
      </w:hyperlink>
      <w:r>
        <w:t>.</w:t>
      </w:r>
    </w:p>
    <w:p w14:paraId="23CAD7A0" w14:textId="77777777" w:rsidR="006F0EEE" w:rsidRDefault="00000000" w:rsidP="0011697A">
      <w:pPr>
        <w:pStyle w:val="Bibliography"/>
        <w:spacing w:line="480" w:lineRule="auto"/>
      </w:pPr>
      <w:bookmarkStart w:id="98" w:name="ref-Stein2013"/>
      <w:bookmarkEnd w:id="97"/>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Xavier JB</w:t>
      </w:r>
      <w:r>
        <w:t xml:space="preserve">. 2013. Ecological modeling from time-series inference: Insight into dynamics and stability of intestinal microbiota. PLoS Computational Biology </w:t>
      </w:r>
      <w:r>
        <w:rPr>
          <w:b/>
        </w:rPr>
        <w:t>9</w:t>
      </w:r>
      <w:r>
        <w:t>:e1003388. doi:</w:t>
      </w:r>
      <w:hyperlink r:id="rId64">
        <w:r>
          <w:rPr>
            <w:rStyle w:val="Hyperlink"/>
          </w:rPr>
          <w:t>10.1371/journal.pcbi.1003388</w:t>
        </w:r>
      </w:hyperlink>
      <w:r>
        <w:t>.</w:t>
      </w:r>
    </w:p>
    <w:p w14:paraId="37BEC89A" w14:textId="77777777" w:rsidR="006F0EEE" w:rsidRDefault="00000000" w:rsidP="0011697A">
      <w:pPr>
        <w:pStyle w:val="Bibliography"/>
        <w:spacing w:line="480" w:lineRule="auto"/>
      </w:pPr>
      <w:bookmarkStart w:id="99" w:name="ref-Nakashima2021"/>
      <w:bookmarkEnd w:id="98"/>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5">
        <w:r>
          <w:rPr>
            <w:rStyle w:val="Hyperlink"/>
          </w:rPr>
          <w:t>10.1007/s10620-021-07131-x</w:t>
        </w:r>
      </w:hyperlink>
      <w:r>
        <w:t>.</w:t>
      </w:r>
    </w:p>
    <w:p w14:paraId="2D228D9E" w14:textId="77777777" w:rsidR="006F0EEE" w:rsidRDefault="00000000" w:rsidP="0011697A">
      <w:pPr>
        <w:pStyle w:val="Bibliography"/>
        <w:spacing w:line="480" w:lineRule="auto"/>
      </w:pPr>
      <w:bookmarkStart w:id="100" w:name="ref-Geerlings2018"/>
      <w:bookmarkEnd w:id="99"/>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in the human gastrointestinal tract: When, where, and how? Microorganisms </w:t>
      </w:r>
      <w:r>
        <w:rPr>
          <w:b/>
        </w:rPr>
        <w:t>6</w:t>
      </w:r>
      <w:r>
        <w:t>:75. doi:</w:t>
      </w:r>
      <w:hyperlink r:id="rId66">
        <w:r>
          <w:rPr>
            <w:rStyle w:val="Hyperlink"/>
          </w:rPr>
          <w:t>10.3390/microorganisms6030075</w:t>
        </w:r>
      </w:hyperlink>
      <w:r>
        <w:t>.</w:t>
      </w:r>
    </w:p>
    <w:p w14:paraId="219FBFCA" w14:textId="77777777" w:rsidR="006F0EEE" w:rsidRDefault="00000000" w:rsidP="0011697A">
      <w:pPr>
        <w:pStyle w:val="Bibliography"/>
        <w:spacing w:line="480" w:lineRule="auto"/>
      </w:pPr>
      <w:bookmarkStart w:id="101" w:name="ref-Deng2018"/>
      <w:bookmarkEnd w:id="100"/>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7">
        <w:r>
          <w:rPr>
            <w:rStyle w:val="Hyperlink"/>
          </w:rPr>
          <w:t>10.3389/fmicb.2018.02976</w:t>
        </w:r>
      </w:hyperlink>
      <w:r>
        <w:t>.</w:t>
      </w:r>
    </w:p>
    <w:p w14:paraId="088D769D" w14:textId="77777777" w:rsidR="006F0EEE" w:rsidRDefault="00000000" w:rsidP="0011697A">
      <w:pPr>
        <w:pStyle w:val="Bibliography"/>
        <w:spacing w:line="480" w:lineRule="auto"/>
      </w:pPr>
      <w:bookmarkStart w:id="102" w:name="ref-Engevik2020"/>
      <w:bookmarkEnd w:id="101"/>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colonization of the human intestinal mucus layer. ACS Infectious Diseases </w:t>
      </w:r>
      <w:r>
        <w:rPr>
          <w:b/>
        </w:rPr>
        <w:t>7</w:t>
      </w:r>
      <w:r>
        <w:t>:1126–1142. doi:</w:t>
      </w:r>
      <w:hyperlink r:id="rId68">
        <w:r>
          <w:rPr>
            <w:rStyle w:val="Hyperlink"/>
          </w:rPr>
          <w:t>10.1021/acsinfecdis.0c00634</w:t>
        </w:r>
      </w:hyperlink>
      <w:r>
        <w:t>.</w:t>
      </w:r>
    </w:p>
    <w:p w14:paraId="360C0A6D" w14:textId="77777777" w:rsidR="006F0EEE" w:rsidRDefault="00000000" w:rsidP="0011697A">
      <w:pPr>
        <w:pStyle w:val="Bibliography"/>
        <w:spacing w:line="480" w:lineRule="auto"/>
      </w:pPr>
      <w:bookmarkStart w:id="103" w:name="ref-Reeves2012"/>
      <w:bookmarkEnd w:id="102"/>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69">
        <w:r>
          <w:rPr>
            <w:rStyle w:val="Hyperlink"/>
          </w:rPr>
          <w:t>10.1128/iai.00647-12</w:t>
        </w:r>
      </w:hyperlink>
      <w:r>
        <w:t>.</w:t>
      </w:r>
    </w:p>
    <w:p w14:paraId="06F8C394" w14:textId="77777777" w:rsidR="006F0EEE" w:rsidRDefault="00000000" w:rsidP="0011697A">
      <w:pPr>
        <w:pStyle w:val="Bibliography"/>
        <w:spacing w:line="480" w:lineRule="auto"/>
      </w:pPr>
      <w:bookmarkStart w:id="104" w:name="ref-Ma2021"/>
      <w:bookmarkEnd w:id="103"/>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0">
        <w:r>
          <w:rPr>
            <w:rStyle w:val="Hyperlink"/>
          </w:rPr>
          <w:t>10.1128/msphere.00283-21</w:t>
        </w:r>
      </w:hyperlink>
      <w:r>
        <w:t>.</w:t>
      </w:r>
    </w:p>
    <w:p w14:paraId="1073BF4A" w14:textId="77777777" w:rsidR="006F0EEE" w:rsidRDefault="00000000" w:rsidP="0011697A">
      <w:pPr>
        <w:pStyle w:val="Bibliography"/>
        <w:spacing w:line="480" w:lineRule="auto"/>
      </w:pPr>
      <w:bookmarkStart w:id="105" w:name="ref-Haas2020"/>
      <w:bookmarkEnd w:id="104"/>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Including reclassification of 15 taxa. International Journal of Systematic and Evolutionary Microbiology </w:t>
      </w:r>
      <w:r>
        <w:rPr>
          <w:b/>
        </w:rPr>
        <w:t>70</w:t>
      </w:r>
      <w:r>
        <w:t>:23–34. doi:</w:t>
      </w:r>
      <w:hyperlink r:id="rId71">
        <w:r>
          <w:rPr>
            <w:rStyle w:val="Hyperlink"/>
          </w:rPr>
          <w:t>10.1099/ijsem.0.003698</w:t>
        </w:r>
      </w:hyperlink>
      <w:r>
        <w:t>.</w:t>
      </w:r>
    </w:p>
    <w:p w14:paraId="437E280A" w14:textId="77777777" w:rsidR="006F0EEE" w:rsidRDefault="00000000" w:rsidP="0011697A">
      <w:pPr>
        <w:pStyle w:val="Bibliography"/>
        <w:spacing w:line="480" w:lineRule="auto"/>
      </w:pPr>
      <w:bookmarkStart w:id="106" w:name="ref-Finegold2005"/>
      <w:bookmarkEnd w:id="105"/>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2">
        <w:r>
          <w:rPr>
            <w:rStyle w:val="Hyperlink"/>
          </w:rPr>
          <w:t>10.1007/s10096-005-1334-6</w:t>
        </w:r>
      </w:hyperlink>
      <w:r>
        <w:t>.</w:t>
      </w:r>
    </w:p>
    <w:p w14:paraId="59D2DD46" w14:textId="77777777" w:rsidR="006F0EEE" w:rsidRDefault="00000000" w:rsidP="0011697A">
      <w:pPr>
        <w:pStyle w:val="Bibliography"/>
        <w:spacing w:line="480" w:lineRule="auto"/>
      </w:pPr>
      <w:bookmarkStart w:id="107" w:name="ref-Tomkovich2021"/>
      <w:bookmarkEnd w:id="106"/>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colonization and hinders clearance. mSphere </w:t>
      </w:r>
      <w:r>
        <w:rPr>
          <w:b/>
        </w:rPr>
        <w:t>6</w:t>
      </w:r>
      <w:r>
        <w:t>. doi:</w:t>
      </w:r>
      <w:hyperlink r:id="rId73">
        <w:r>
          <w:rPr>
            <w:rStyle w:val="Hyperlink"/>
          </w:rPr>
          <w:t>10.1128/msphere.00629-21</w:t>
        </w:r>
      </w:hyperlink>
      <w:r>
        <w:t>.</w:t>
      </w:r>
    </w:p>
    <w:p w14:paraId="097FB7E0" w14:textId="77777777" w:rsidR="006F0EEE" w:rsidRDefault="00000000" w:rsidP="0011697A">
      <w:pPr>
        <w:pStyle w:val="Bibliography"/>
        <w:spacing w:line="480" w:lineRule="auto"/>
      </w:pPr>
      <w:bookmarkStart w:id="108" w:name="ref-Keith2020"/>
      <w:bookmarkEnd w:id="107"/>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xml:space="preserve">. 2020. Impact of antibiotic-resistant bacteria on immune activation and </w:t>
      </w:r>
      <w:r>
        <w:rPr>
          <w:i/>
        </w:rPr>
        <w:t>Clostridioides difficile</w:t>
      </w:r>
      <w:r>
        <w:t xml:space="preserve"> infection in the mouse intestine. Infection and Immunity </w:t>
      </w:r>
      <w:r>
        <w:rPr>
          <w:b/>
        </w:rPr>
        <w:t>88</w:t>
      </w:r>
      <w:r>
        <w:t>. doi:</w:t>
      </w:r>
      <w:hyperlink r:id="rId74">
        <w:r>
          <w:rPr>
            <w:rStyle w:val="Hyperlink"/>
          </w:rPr>
          <w:t>10.1128/iai.00362-19</w:t>
        </w:r>
      </w:hyperlink>
      <w:r>
        <w:t>.</w:t>
      </w:r>
    </w:p>
    <w:p w14:paraId="03BDC001" w14:textId="77777777" w:rsidR="006F0EEE" w:rsidRDefault="00000000" w:rsidP="0011697A">
      <w:pPr>
        <w:pStyle w:val="Bibliography"/>
        <w:spacing w:line="480" w:lineRule="auto"/>
      </w:pPr>
      <w:bookmarkStart w:id="109" w:name="ref-Zackular2016"/>
      <w:bookmarkEnd w:id="108"/>
      <w:r>
        <w:t xml:space="preserve">68. </w:t>
      </w:r>
      <w:r>
        <w:rPr>
          <w:b/>
        </w:rPr>
        <w:t>Zackular JP</w:t>
      </w:r>
      <w:r>
        <w:t xml:space="preserve">, </w:t>
      </w:r>
      <w:r>
        <w:rPr>
          <w:b/>
        </w:rPr>
        <w:t>Moore JL</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5">
        <w:r>
          <w:rPr>
            <w:rStyle w:val="Hyperlink"/>
          </w:rPr>
          <w:t>10.1038/nm.4174</w:t>
        </w:r>
      </w:hyperlink>
      <w:r>
        <w:t>.</w:t>
      </w:r>
    </w:p>
    <w:p w14:paraId="217B9F9C" w14:textId="77777777" w:rsidR="006F0EEE" w:rsidRDefault="00000000" w:rsidP="0011697A">
      <w:pPr>
        <w:pStyle w:val="Bibliography"/>
        <w:spacing w:line="480" w:lineRule="auto"/>
      </w:pPr>
      <w:bookmarkStart w:id="110" w:name="ref-Berkell2021"/>
      <w:bookmarkEnd w:id="109"/>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6">
        <w:r>
          <w:rPr>
            <w:rStyle w:val="Hyperlink"/>
          </w:rPr>
          <w:t>10.1038/s41467-021-22302-0</w:t>
        </w:r>
      </w:hyperlink>
      <w:r>
        <w:t>.</w:t>
      </w:r>
    </w:p>
    <w:p w14:paraId="1EA6F4D2" w14:textId="77777777" w:rsidR="006F0EEE" w:rsidRDefault="00000000" w:rsidP="0011697A">
      <w:pPr>
        <w:pStyle w:val="Bibliography"/>
        <w:spacing w:line="480" w:lineRule="auto"/>
      </w:pPr>
      <w:bookmarkStart w:id="111" w:name="ref-Gardiner2014"/>
      <w:bookmarkEnd w:id="110"/>
      <w:r>
        <w:t xml:space="preserve">70. </w:t>
      </w:r>
      <w:r>
        <w:rPr>
          <w:b/>
        </w:rPr>
        <w:t>Gardiner BJ</w:t>
      </w:r>
      <w:r>
        <w:t xml:space="preserve">, </w:t>
      </w:r>
      <w:r>
        <w:rPr>
          <w:b/>
        </w:rPr>
        <w:t>Tai AY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7">
        <w:r>
          <w:rPr>
            <w:rStyle w:val="Hyperlink"/>
          </w:rPr>
          <w:t>10.1128/jcm.02926-14</w:t>
        </w:r>
      </w:hyperlink>
      <w:r>
        <w:t>.</w:t>
      </w:r>
    </w:p>
    <w:p w14:paraId="060AEB44" w14:textId="77777777" w:rsidR="006F0EEE" w:rsidRDefault="00000000" w:rsidP="0011697A">
      <w:pPr>
        <w:pStyle w:val="Bibliography"/>
        <w:spacing w:line="480" w:lineRule="auto"/>
      </w:pPr>
      <w:bookmarkStart w:id="112" w:name="ref-Iljazovic2020"/>
      <w:bookmarkEnd w:id="111"/>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8">
        <w:r>
          <w:rPr>
            <w:rStyle w:val="Hyperlink"/>
          </w:rPr>
          <w:t>10.1038/s41385-020-0296-4</w:t>
        </w:r>
      </w:hyperlink>
      <w:r>
        <w:t>.</w:t>
      </w:r>
    </w:p>
    <w:p w14:paraId="6BF05469" w14:textId="77777777" w:rsidR="006F0EEE" w:rsidRDefault="00000000" w:rsidP="0011697A">
      <w:pPr>
        <w:pStyle w:val="Bibliography"/>
        <w:spacing w:line="480" w:lineRule="auto"/>
      </w:pPr>
      <w:bookmarkStart w:id="113" w:name="ref-Nagalingam2013"/>
      <w:bookmarkEnd w:id="112"/>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sup>
        </m:sSup>
      </m:oMath>
      <w:r>
        <w:t xml:space="preserve"> mice infected with </w:t>
      </w:r>
      <w:r>
        <w:rPr>
          <w:i/>
        </w:rPr>
        <w:t>Helicobacter hepaticus</w:t>
      </w:r>
      <w:r>
        <w:t xml:space="preserve">. Microbiome </w:t>
      </w:r>
      <w:r>
        <w:rPr>
          <w:b/>
        </w:rPr>
        <w:t>1</w:t>
      </w:r>
      <w:r>
        <w:t>. doi:</w:t>
      </w:r>
      <w:hyperlink r:id="rId79">
        <w:r>
          <w:rPr>
            <w:rStyle w:val="Hyperlink"/>
          </w:rPr>
          <w:t>10.1186/2049-2618-1-15</w:t>
        </w:r>
      </w:hyperlink>
      <w:r>
        <w:t>.</w:t>
      </w:r>
    </w:p>
    <w:p w14:paraId="7DE32FA2" w14:textId="77777777" w:rsidR="006F0EEE" w:rsidRDefault="00000000" w:rsidP="0011697A">
      <w:pPr>
        <w:pStyle w:val="Bibliography"/>
        <w:spacing w:line="480" w:lineRule="auto"/>
      </w:pPr>
      <w:bookmarkStart w:id="114" w:name="ref-AbernathyClose2021"/>
      <w:bookmarkEnd w:id="113"/>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 xml:space="preserve">inflammatory bowel disease render mice susceptible to </w:t>
      </w:r>
      <w:r>
        <w:rPr>
          <w:i/>
        </w:rPr>
        <w:t>Clostridioides difficile</w:t>
      </w:r>
      <w:r>
        <w:t xml:space="preserve"> colonization and infection. mBio. doi:</w:t>
      </w:r>
      <w:hyperlink r:id="rId80">
        <w:r>
          <w:rPr>
            <w:rStyle w:val="Hyperlink"/>
          </w:rPr>
          <w:t>10.1128/mbio.02733-20</w:t>
        </w:r>
      </w:hyperlink>
      <w:r>
        <w:t>.</w:t>
      </w:r>
    </w:p>
    <w:p w14:paraId="0FA764D9" w14:textId="77777777" w:rsidR="006F0EEE" w:rsidRDefault="00000000" w:rsidP="0011697A">
      <w:pPr>
        <w:pStyle w:val="Bibliography"/>
        <w:spacing w:line="480" w:lineRule="auto"/>
      </w:pPr>
      <w:bookmarkStart w:id="115" w:name="ref-Pirofski2008"/>
      <w:bookmarkEnd w:id="114"/>
      <w:r>
        <w:t xml:space="preserve">74. </w:t>
      </w:r>
      <w:r>
        <w:rPr>
          <w:b/>
        </w:rPr>
        <w:t>Pirofski L-a</w:t>
      </w:r>
      <w:r>
        <w:t xml:space="preserve">, </w:t>
      </w:r>
      <w:r>
        <w:rPr>
          <w:b/>
        </w:rPr>
        <w:t>Casadevall A</w:t>
      </w:r>
      <w:r>
        <w:t xml:space="preserve">. 2008. The damage-response framework of microbial pathogenesis and infectious diseases, pp. 135–146. </w:t>
      </w:r>
      <w:r>
        <w:rPr>
          <w:i/>
        </w:rPr>
        <w:t>In</w:t>
      </w:r>
      <w:r>
        <w:t xml:space="preserve"> Advances in experimental medicine and biology. Springer New York.</w:t>
      </w:r>
    </w:p>
    <w:p w14:paraId="23D48A36" w14:textId="77777777" w:rsidR="006F0EEE" w:rsidRDefault="00000000" w:rsidP="0011697A">
      <w:pPr>
        <w:pStyle w:val="Bibliography"/>
        <w:spacing w:line="480" w:lineRule="auto"/>
      </w:pPr>
      <w:bookmarkStart w:id="116" w:name="ref-Casadevall2014"/>
      <w:bookmarkEnd w:id="115"/>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1">
        <w:r>
          <w:rPr>
            <w:rStyle w:val="Hyperlink"/>
          </w:rPr>
          <w:t>10.1128/iai.02627-14</w:t>
        </w:r>
      </w:hyperlink>
      <w:r>
        <w:t>.</w:t>
      </w:r>
    </w:p>
    <w:p w14:paraId="2BC707FE" w14:textId="77777777" w:rsidR="006F0EEE" w:rsidRDefault="00000000" w:rsidP="0011697A">
      <w:pPr>
        <w:pStyle w:val="Bibliography"/>
        <w:spacing w:line="480" w:lineRule="auto"/>
      </w:pPr>
      <w:bookmarkStart w:id="117" w:name="ref-Lundberg2020"/>
      <w:bookmarkEnd w:id="116"/>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xml:space="preserve">. 2020. Human microbiota-transplanted C57BL/6 mice and offspring display reduced establishment of key bacteria and reduced immune stimulation compared to mouse microbiota-transplantation. Scientific Reports </w:t>
      </w:r>
      <w:r>
        <w:rPr>
          <w:b/>
        </w:rPr>
        <w:t>10</w:t>
      </w:r>
      <w:r>
        <w:t>. doi:</w:t>
      </w:r>
      <w:hyperlink r:id="rId82">
        <w:r>
          <w:rPr>
            <w:rStyle w:val="Hyperlink"/>
          </w:rPr>
          <w:t>10.1038/s41598-020-64703-z</w:t>
        </w:r>
      </w:hyperlink>
      <w:r>
        <w:t>.</w:t>
      </w:r>
    </w:p>
    <w:p w14:paraId="0D8A74F7" w14:textId="77777777" w:rsidR="006F0EEE" w:rsidRDefault="00000000" w:rsidP="0011697A">
      <w:pPr>
        <w:pStyle w:val="Bibliography"/>
        <w:spacing w:line="480" w:lineRule="auto"/>
      </w:pPr>
      <w:bookmarkStart w:id="118" w:name="ref-Frisbee2019"/>
      <w:bookmarkEnd w:id="117"/>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3">
        <w:r>
          <w:rPr>
            <w:rStyle w:val="Hyperlink"/>
          </w:rPr>
          <w:t>10.1038/s41467-019-10733-9</w:t>
        </w:r>
      </w:hyperlink>
      <w:r>
        <w:t>.</w:t>
      </w:r>
    </w:p>
    <w:p w14:paraId="13B5EB78" w14:textId="77777777" w:rsidR="006F0EEE" w:rsidRDefault="00000000" w:rsidP="0011697A">
      <w:pPr>
        <w:pStyle w:val="Bibliography"/>
        <w:spacing w:line="480" w:lineRule="auto"/>
      </w:pPr>
      <w:bookmarkStart w:id="119" w:name="ref-Tailford2015"/>
      <w:bookmarkEnd w:id="118"/>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4">
        <w:r>
          <w:rPr>
            <w:rStyle w:val="Hyperlink"/>
          </w:rPr>
          <w:t>10.3389/fgene.2015.00081</w:t>
        </w:r>
      </w:hyperlink>
      <w:r>
        <w:t>.</w:t>
      </w:r>
    </w:p>
    <w:p w14:paraId="451715DD" w14:textId="77777777" w:rsidR="006F0EEE" w:rsidRDefault="00000000" w:rsidP="0011697A">
      <w:pPr>
        <w:pStyle w:val="Bibliography"/>
        <w:spacing w:line="480" w:lineRule="auto"/>
      </w:pPr>
      <w:bookmarkStart w:id="120" w:name="ref-Sorg2009"/>
      <w:bookmarkEnd w:id="119"/>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5">
        <w:r>
          <w:rPr>
            <w:rStyle w:val="Hyperlink"/>
          </w:rPr>
          <w:t>10.1002/9780471729259.mc09a01s12</w:t>
        </w:r>
      </w:hyperlink>
      <w:r>
        <w:t>.</w:t>
      </w:r>
    </w:p>
    <w:p w14:paraId="21AE8CC3" w14:textId="77777777" w:rsidR="006F0EEE" w:rsidRDefault="00000000" w:rsidP="0011697A">
      <w:pPr>
        <w:pStyle w:val="Bibliography"/>
        <w:spacing w:line="480" w:lineRule="auto"/>
      </w:pPr>
      <w:bookmarkStart w:id="121" w:name="ref-Winston2016"/>
      <w:bookmarkEnd w:id="120"/>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6">
        <w:r>
          <w:rPr>
            <w:rStyle w:val="Hyperlink"/>
          </w:rPr>
          <w:t>10.3791/54850</w:t>
        </w:r>
      </w:hyperlink>
      <w:r>
        <w:t>.</w:t>
      </w:r>
    </w:p>
    <w:p w14:paraId="405AE7A3" w14:textId="77777777" w:rsidR="006F0EEE" w:rsidRDefault="00000000" w:rsidP="0011697A">
      <w:pPr>
        <w:pStyle w:val="Bibliography"/>
        <w:spacing w:line="480" w:lineRule="auto"/>
      </w:pPr>
      <w:bookmarkStart w:id="122" w:name="ref-Kozich2013"/>
      <w:bookmarkEnd w:id="121"/>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7">
        <w:r>
          <w:rPr>
            <w:rStyle w:val="Hyperlink"/>
          </w:rPr>
          <w:t>10.1128/aem.01043-13</w:t>
        </w:r>
      </w:hyperlink>
      <w:r>
        <w:t>.</w:t>
      </w:r>
    </w:p>
    <w:p w14:paraId="7A752709" w14:textId="77777777" w:rsidR="006F0EEE" w:rsidRDefault="00000000" w:rsidP="0011697A">
      <w:pPr>
        <w:pStyle w:val="Bibliography"/>
        <w:spacing w:line="480" w:lineRule="auto"/>
      </w:pPr>
      <w:bookmarkStart w:id="123" w:name="ref-Schloss2009"/>
      <w:bookmarkEnd w:id="122"/>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xml:space="preserve">. 2009. Introducing mothur: Open-source, platform-independent, community-supported software for describing and comparing microbial communities. Applied and Environmental Microbiology </w:t>
      </w:r>
      <w:r>
        <w:rPr>
          <w:b/>
        </w:rPr>
        <w:t>75</w:t>
      </w:r>
      <w:r>
        <w:t>:7537–7541. doi:</w:t>
      </w:r>
      <w:hyperlink r:id="rId88">
        <w:r>
          <w:rPr>
            <w:rStyle w:val="Hyperlink"/>
          </w:rPr>
          <w:t>10.1128/aem.01541-09</w:t>
        </w:r>
      </w:hyperlink>
      <w:r>
        <w:t>.</w:t>
      </w:r>
    </w:p>
    <w:p w14:paraId="7B6787C4" w14:textId="77777777" w:rsidR="006F0EEE" w:rsidRDefault="00000000" w:rsidP="0011697A">
      <w:pPr>
        <w:pStyle w:val="Bibliography"/>
        <w:spacing w:line="480" w:lineRule="auto"/>
      </w:pPr>
      <w:bookmarkStart w:id="124" w:name="ref-Wang2007"/>
      <w:bookmarkEnd w:id="123"/>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89">
        <w:r>
          <w:rPr>
            <w:rStyle w:val="Hyperlink"/>
          </w:rPr>
          <w:t>10.1128/aem.00062-07</w:t>
        </w:r>
      </w:hyperlink>
      <w:r>
        <w:t>.</w:t>
      </w:r>
    </w:p>
    <w:p w14:paraId="4DD06203" w14:textId="77777777" w:rsidR="006F0EEE" w:rsidRDefault="00000000" w:rsidP="0011697A">
      <w:pPr>
        <w:pStyle w:val="Bibliography"/>
        <w:spacing w:line="480" w:lineRule="auto"/>
      </w:pPr>
      <w:bookmarkStart w:id="125" w:name="ref-Yue2005"/>
      <w:bookmarkEnd w:id="124"/>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0">
        <w:r>
          <w:rPr>
            <w:rStyle w:val="Hyperlink"/>
          </w:rPr>
          <w:t>10.1080/sta-200066418</w:t>
        </w:r>
      </w:hyperlink>
      <w:r>
        <w:t>.</w:t>
      </w:r>
    </w:p>
    <w:p w14:paraId="4E4CF803" w14:textId="77777777" w:rsidR="006F0EEE" w:rsidRDefault="00000000" w:rsidP="0011697A">
      <w:pPr>
        <w:pStyle w:val="Bibliography"/>
        <w:spacing w:line="480" w:lineRule="auto"/>
      </w:pPr>
      <w:bookmarkStart w:id="126" w:name="ref-Segata2011"/>
      <w:bookmarkEnd w:id="125"/>
      <w:r>
        <w:t xml:space="preserve">85. </w:t>
      </w:r>
      <w:r>
        <w:rPr>
          <w:b/>
        </w:rPr>
        <w:t>Segata N</w:t>
      </w:r>
      <w:r>
        <w:t xml:space="preserve">, </w:t>
      </w:r>
      <w:r>
        <w:rPr>
          <w:b/>
        </w:rPr>
        <w:t>Izard J</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1">
        <w:r>
          <w:rPr>
            <w:rStyle w:val="Hyperlink"/>
          </w:rPr>
          <w:t>10.1186/gb-2011-12-6-r60</w:t>
        </w:r>
      </w:hyperlink>
      <w:r>
        <w:t>.</w:t>
      </w:r>
    </w:p>
    <w:p w14:paraId="79D36CA5" w14:textId="77777777" w:rsidR="006F0EEE" w:rsidRDefault="00000000" w:rsidP="0011697A">
      <w:pPr>
        <w:pStyle w:val="Bibliography"/>
        <w:spacing w:line="480" w:lineRule="auto"/>
      </w:pPr>
      <w:bookmarkStart w:id="127" w:name="ref-Benjamini1995"/>
      <w:bookmarkEnd w:id="126"/>
      <w:r>
        <w:lastRenderedPageBreak/>
        <w:t xml:space="preserve">86. </w:t>
      </w:r>
      <w:r>
        <w:rPr>
          <w:b/>
        </w:rPr>
        <w:t>Benjamini Y</w:t>
      </w:r>
      <w:r>
        <w:t xml:space="preserve">, </w:t>
      </w:r>
      <w:r>
        <w:rPr>
          <w:b/>
        </w:rPr>
        <w:t>Hochberg Y</w:t>
      </w:r>
      <w:r>
        <w:t xml:space="preserve">. 1995. Controlling the false discovery rate: A practical and powerful approach to multiple testing. Journal of the Royal Statistical Society: Series B (Methodological) </w:t>
      </w:r>
      <w:r>
        <w:rPr>
          <w:b/>
        </w:rPr>
        <w:t>57</w:t>
      </w:r>
      <w:r>
        <w:t>:289–300. doi:</w:t>
      </w:r>
      <w:hyperlink r:id="rId92">
        <w:r>
          <w:rPr>
            <w:rStyle w:val="Hyperlink"/>
          </w:rPr>
          <w:t>10.1111/j.2517-6161.1995.tb02031.x</w:t>
        </w:r>
      </w:hyperlink>
      <w:r>
        <w:t>.</w:t>
      </w:r>
    </w:p>
    <w:p w14:paraId="3EFBE2D0" w14:textId="77777777" w:rsidR="006F0EEE" w:rsidRDefault="00000000" w:rsidP="0011697A">
      <w:pPr>
        <w:pStyle w:val="Bibliography"/>
        <w:spacing w:line="480" w:lineRule="auto"/>
      </w:pPr>
      <w:bookmarkStart w:id="128" w:name="ref-Topcuoglu2021"/>
      <w:bookmarkEnd w:id="127"/>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xml:space="preserve">. 2021. Mikropml: User-friendly R package for supervised machine learning pipelines. Journal of Open Source Software </w:t>
      </w:r>
      <w:r>
        <w:rPr>
          <w:b/>
        </w:rPr>
        <w:t>6</w:t>
      </w:r>
      <w:r>
        <w:t>:3073. doi:</w:t>
      </w:r>
      <w:hyperlink r:id="rId93">
        <w:r>
          <w:rPr>
            <w:rStyle w:val="Hyperlink"/>
          </w:rPr>
          <w:t>10.21105/joss.03073</w:t>
        </w:r>
      </w:hyperlink>
      <w:r>
        <w:t>.</w:t>
      </w:r>
    </w:p>
    <w:p w14:paraId="60391C8D" w14:textId="77777777" w:rsidR="006F0EEE" w:rsidRDefault="00000000" w:rsidP="0011697A">
      <w:pPr>
        <w:pStyle w:val="Bibliography"/>
        <w:spacing w:line="480" w:lineRule="auto"/>
      </w:pPr>
      <w:bookmarkStart w:id="129" w:name="ref-Rawls2006"/>
      <w:bookmarkEnd w:id="128"/>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zebrafish and mice to germ-free recipients reveal host habitat selection. Cell </w:t>
      </w:r>
      <w:r>
        <w:rPr>
          <w:b/>
        </w:rPr>
        <w:t>127</w:t>
      </w:r>
      <w:r>
        <w:t>:423–433. doi:</w:t>
      </w:r>
      <w:hyperlink r:id="rId94">
        <w:r>
          <w:rPr>
            <w:rStyle w:val="Hyperlink"/>
          </w:rPr>
          <w:t>10.1016/j.cell.2006.08.043</w:t>
        </w:r>
      </w:hyperlink>
      <w:r>
        <w:t>.</w:t>
      </w:r>
    </w:p>
    <w:bookmarkEnd w:id="42"/>
    <w:bookmarkEnd w:id="129"/>
    <w:p w14:paraId="0A094902" w14:textId="77777777" w:rsidR="006F0EEE" w:rsidRDefault="00000000" w:rsidP="0011697A">
      <w:pPr>
        <w:spacing w:line="480" w:lineRule="auto"/>
      </w:pPr>
      <w:r>
        <w:br w:type="page"/>
      </w:r>
    </w:p>
    <w:p w14:paraId="214287E7" w14:textId="77777777" w:rsidR="006F0EEE" w:rsidRDefault="00000000" w:rsidP="0011697A">
      <w:pPr>
        <w:pStyle w:val="BodyText"/>
        <w:spacing w:line="480" w:lineRule="auto"/>
      </w:pPr>
      <w:r>
        <w:rPr>
          <w:b/>
        </w:rPr>
        <w:lastRenderedPageBreak/>
        <w:t>Figure 1. Human fecal microbial communities established diverse gut 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challenge). Each column of abundances represents an individual mouse. Mice that received the same donor feces are grouped together and labeled above with a letter (N for non-moribund mice and M for moribund mice) and number (ordered by mean histopathologic 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xml:space="preserve">) between an individual mouse and either all others which were inoculated with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sum test).</w:t>
      </w:r>
    </w:p>
    <w:p w14:paraId="106468E9" w14:textId="77777777" w:rsidR="006F0EEE" w:rsidRDefault="00000000" w:rsidP="0011697A">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experiment, 10 days post-challenge. Each point represents an individual mouse. Mice are grouped by donor and labeled by the donor letter (N for non-moribund mice and M for moribund mice) and number (ordered by mean histopathologic score of the donor group). Points are colored by donor group. Mice from donor groups N1 through N6 succumbed to the infection prior to day 10 and were not plated on day 10 post-challenge. LOD = Limit of detection. -Deceased- indicates mice were deceased at that time point so no sample was available.</w:t>
      </w:r>
    </w:p>
    <w:p w14:paraId="77196AC3" w14:textId="77777777" w:rsidR="006F0EEE" w:rsidRDefault="00000000" w:rsidP="0011697A">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challenge in both moribund and non-moribund mice. (B) Cecum scored for histopathologic damage from mice at the end of the experiment. Samples were collected for histopathologic scoring on day 10 post-challenge for non-moribund mice or the day the mouse succumbed to the infection for the moribund group (day 2 or 3 post-challenge). Each point represents an individual mouse. Mice are grouped by donor and labeled by the donor letter (N for non-moribund mice and M for moribund mice) and number (ordered by mean histopathologic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that time point so no sample was available.</w:t>
      </w:r>
    </w:p>
    <w:p w14:paraId="2521BCEB" w14:textId="77777777" w:rsidR="006F0EEE" w:rsidRDefault="00000000" w:rsidP="0011697A">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varied significantly by the moribundity and histopathologic summary score or detected toxin by LEfSe analysis. Median (points) and interquartile range (lines) are plotted. (A) Day 0 relative abundances were compared across infection outcome of moribund (colored black) or non-moribund with either a high histopathologic score (score greater than the median score of 5, colored green) or a low histopathologic summary score (score less than the median score of 5, colored light green). (B) Day 0 relative abundances were compared between mice which toxin activity was </w:t>
      </w:r>
      <w:r>
        <w:lastRenderedPageBreak/>
        <w:t>detected (Toxin +, colored dark purple) and which no toxin activity was detected (Toxin -, colored light purple). (C) Day 10 bacterial OTU relative abundances correlated with histopathologic summary score. Each individual mouse is plotted and colored according to their categorization in panel A. Points at the median score of 5 (gray points) were not included in panel A. Spearman’s correlations were statistically significant after Benjamini-Hochberg correction for multiple comparisons. All bacterial groups are ordered by the LDA score. * indicates that the bacterial group was unclassified at lower taxonomic classification ranks.</w:t>
      </w:r>
    </w:p>
    <w:p w14:paraId="1A594370" w14:textId="6E58DCD1" w:rsidR="006F0EEE" w:rsidRDefault="00000000" w:rsidP="0011697A">
      <w:pPr>
        <w:pStyle w:val="BodyText"/>
        <w:spacing w:line="480" w:lineRule="auto"/>
      </w:pPr>
      <w:r>
        <w:rPr>
          <w:b/>
        </w:rPr>
        <w:t xml:space="preserve">Figure 5. Fecal bacterial community members of the murine gut at the time of </w:t>
      </w:r>
      <w:r>
        <w:rPr>
          <w:b/>
          <w:i/>
        </w:rPr>
        <w:t>C. 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highest taxonomic classification rank without a decrease in performance. Models used all community members but plotted are those members with a mean odds ratio not equal to 1. Median (solid points) and interquartile range (lines) of the </w:t>
      </w:r>
      <w:del w:id="130" w:author="Lesniak, Nicholas" w:date="2022-06-17T11:19:00Z">
        <w:r w:rsidR="005F4546">
          <w:delText>group relative abundance</w:delText>
        </w:r>
      </w:del>
      <w:ins w:id="131" w:author="Lesniak, Nicholas" w:date="2022-06-17T11:19:00Z">
        <w:r>
          <w:t>odds ratio</w:t>
        </w:r>
      </w:ins>
      <w:r>
        <w:t xml:space="preserve"> are plotted. Bacterial groups are ordered by their odds ratio. * indicates that the bacterial group was unclassified at lower taxonomic classification ranks. (A) Bacterial members grouped by genus predicted which mice would have toxin activity detected at any point throughout the infection</w:t>
      </w:r>
      <w:del w:id="132" w:author="Lesniak, Nicholas" w:date="2022-06-17T11:19:00Z">
        <w:r w:rsidR="005F4546">
          <w:delText xml:space="preserve"> (Toxin +, </w:delText>
        </w:r>
      </w:del>
      <w:ins w:id="133" w:author="Lesniak, Nicholas" w:date="2022-06-17T11:19:00Z">
        <w:r>
          <w:t xml:space="preserve">. Data with a decreased probability of toxin activity are colored light purple and those with an increased probability of toxin activity are colored </w:t>
        </w:r>
      </w:ins>
      <w:r>
        <w:t>dark purple</w:t>
      </w:r>
      <w:del w:id="134" w:author="Lesniak, Nicholas" w:date="2022-06-17T11:19:00Z">
        <w:r w:rsidR="005F4546">
          <w:delText>).</w:delText>
        </w:r>
      </w:del>
      <w:ins w:id="135" w:author="Lesniak, Nicholas" w:date="2022-06-17T11:19:00Z">
        <w:r>
          <w:t>.</w:t>
        </w:r>
      </w:ins>
      <w:r>
        <w:t xml:space="preserve"> (B) Bacterial members grouped by order predicted which mice would become moribund</w:t>
      </w:r>
      <w:del w:id="136" w:author="Lesniak, Nicholas" w:date="2022-06-17T11:19:00Z">
        <w:r w:rsidR="005F4546">
          <w:delText xml:space="preserve"> (</w:delText>
        </w:r>
      </w:del>
      <w:ins w:id="137" w:author="Lesniak, Nicholas" w:date="2022-06-17T11:19:00Z">
        <w:r>
          <w:t xml:space="preserve">. Data with a decreased probability of moribundity are colored light blue and those with an increased probability of moribundity are colored </w:t>
        </w:r>
      </w:ins>
      <w:r>
        <w:t>dark blue</w:t>
      </w:r>
      <w:del w:id="138" w:author="Lesniak, Nicholas" w:date="2022-06-17T11:19:00Z">
        <w:r w:rsidR="005F4546">
          <w:delText>).</w:delText>
        </w:r>
      </w:del>
      <w:ins w:id="139" w:author="Lesniak, Nicholas" w:date="2022-06-17T11:19:00Z">
        <w:r>
          <w:t>.</w:t>
        </w:r>
      </w:ins>
      <w:r>
        <w:t xml:space="preserve"> (C) Bacterial members grouped by OTU predicted if the </w:t>
      </w:r>
      <w:r>
        <w:lastRenderedPageBreak/>
        <w:t>mice would have a high (</w:t>
      </w:r>
      <w:del w:id="140" w:author="Lesniak, Nicholas" w:date="2022-06-17T11:19:00Z">
        <w:r w:rsidR="005F4546">
          <w:delText xml:space="preserve">score </w:delText>
        </w:r>
      </w:del>
      <w:r>
        <w:t>greater than the median score of 5</w:t>
      </w:r>
      <w:del w:id="141" w:author="Lesniak, Nicholas" w:date="2022-06-17T11:19:00Z">
        <w:r w:rsidR="005F4546">
          <w:delText>, colored dark green</w:delText>
        </w:r>
      </w:del>
      <w:r>
        <w:t>) or low (</w:t>
      </w:r>
      <w:del w:id="142" w:author="Lesniak, Nicholas" w:date="2022-06-17T11:19:00Z">
        <w:r w:rsidR="005F4546">
          <w:delText xml:space="preserve">score </w:delText>
        </w:r>
      </w:del>
      <w:r>
        <w:t>less than the median score of 5</w:t>
      </w:r>
      <w:del w:id="143" w:author="Lesniak, Nicholas" w:date="2022-06-17T11:19:00Z">
        <w:r w:rsidR="005F4546">
          <w:delText>, colored light green</w:delText>
        </w:r>
      </w:del>
      <w:r>
        <w:t>) histopathologic summary score</w:t>
      </w:r>
      <w:ins w:id="144" w:author="Lesniak, Nicholas" w:date="2022-06-17T11:19:00Z">
        <w:r>
          <w:t>. Data with a decreased probability of high histopathologic score are colored light green and those with an increased probability of high histopathologic score are colored dark green</w:t>
        </w:r>
      </w:ins>
      <w:r>
        <w:t>.</w:t>
      </w:r>
    </w:p>
    <w:p w14:paraId="6D7CDEC6" w14:textId="77777777" w:rsidR="006F0EEE" w:rsidRDefault="00000000" w:rsidP="0011697A">
      <w:pPr>
        <w:pStyle w:val="BodyText"/>
        <w:spacing w:line="480" w:lineRule="auto"/>
      </w:pPr>
      <w:r>
        <w:rPr>
          <w:b/>
        </w:rPr>
        <w:t>Figure S1. Toxin detect in mice based on outcome of the infection.</w:t>
      </w:r>
      <w:r>
        <w:t xml:space="preserve"> Comparison of the distribution of number of either non-moribund or moribund mice which toxin was detected in the first three days post infection. Bars are colored by whether toxin was detected in stool from the mouse (dark purple) or not (light purple). Moribund mice had significantly more mice with toxin detected (</w:t>
      </w:r>
      <w:r>
        <w:rPr>
          <w:i/>
        </w:rPr>
        <w:t>P</w:t>
      </w:r>
      <w:r>
        <w:t xml:space="preserve"> &lt; 0.008) by Pearson’s Chi-square test.</w:t>
      </w:r>
    </w:p>
    <w:p w14:paraId="6A7B4FE2" w14:textId="77777777" w:rsidR="006F0EEE" w:rsidRDefault="00000000" w:rsidP="0011697A">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(Moribund), were scored from histopathologic damage. Each point represents an individual mouse. Mice (points) are grouped and colored by their human fecal community donor. Missing points are from mice that had insufficient sample for histopathologic scoring. * indicates significant difference between non-moribund and moribund groups of mice by Wilcoxon test (</w:t>
      </w:r>
      <w:r>
        <w:rPr>
          <w:i/>
        </w:rPr>
        <w:t>P</w:t>
      </w:r>
      <w:r>
        <w:t xml:space="preserve"> &lt; 0.002).</w:t>
      </w:r>
    </w:p>
    <w:p w14:paraId="17B477FB" w14:textId="77777777" w:rsidR="006F0EEE" w:rsidRDefault="00000000" w:rsidP="0011697A">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rank performed as well as the lower ranks. Black rectangle highlights classification rank used to model each outcome. For all </w:t>
      </w:r>
      <w:r>
        <w:lastRenderedPageBreak/>
        <w:t>plots, median (large solid points), interquartile range (lines), and individual models (small transparent points) are plotted. (A) Toxin production modeled which mice would have toxin detected during the experiment. (B) Moribundity modeled which mice would succumb to the infection prior to day 10 post-challenge. (C) Histopathologic score modeled which mice would have a high (score greater than the median score of 5) or low (score less than the median score of 5) histopathologic summary score.</w:t>
      </w:r>
    </w:p>
    <w:p w14:paraId="016B9AB9" w14:textId="77777777" w:rsidR="006F0EEE" w:rsidRDefault="00000000" w:rsidP="0011697A">
      <w:pPr>
        <w:pStyle w:val="BodyText"/>
        <w:spacing w:line="480" w:lineRule="auto"/>
      </w:pPr>
      <w:r>
        <w:rPr>
          <w:b/>
        </w:rPr>
        <w:t>Figure S4. Temporal dynamics of OTUs that differed between histopathologic summary score.</w:t>
      </w:r>
      <w:r>
        <w:t xml:space="preserve"> Relative abundance of OTUs on each day relative to the time of </w:t>
      </w:r>
      <w:r>
        <w:rPr>
          <w:i/>
        </w:rPr>
        <w:t>C. difficile</w:t>
      </w:r>
      <w:r>
        <w:t xml:space="preserve"> challenge (Day 0) that have a significantly different temporal trend by the histopathologic summary score by LEfSe analysis. Median (points) and interquartile range (lines) </w:t>
      </w:r>
      <w:ins w:id="145" w:author="Lesniak, Nicholas" w:date="2022-06-17T11:19:00Z">
        <w:r>
          <w:t xml:space="preserve">of relative abundances </w:t>
        </w:r>
      </w:ins>
      <w:r>
        <w:t>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p>
    <w:p w14:paraId="181B6A13" w14:textId="77777777" w:rsidR="006F0EEE" w:rsidRDefault="00000000" w:rsidP="0011697A">
      <w:pPr>
        <w:pStyle w:val="BodyText"/>
        <w:spacing w:line="480" w:lineRule="auto"/>
      </w:pPr>
      <w:r>
        <w:rPr>
          <w:b/>
        </w:rPr>
        <w:t>Table S1. Demographic information of subjects whose stool samples used to colonize germ-free mice.</w:t>
      </w:r>
    </w:p>
    <w:sectPr w:rsidR="006F0EEE" w:rsidSect="0011697A">
      <w:headerReference w:type="default" r:id="rId95"/>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FACB" w14:textId="77777777" w:rsidR="001F66D8" w:rsidRDefault="001F66D8">
      <w:pPr>
        <w:spacing w:after="0"/>
      </w:pPr>
      <w:r>
        <w:separator/>
      </w:r>
    </w:p>
  </w:endnote>
  <w:endnote w:type="continuationSeparator" w:id="0">
    <w:p w14:paraId="6B52079B" w14:textId="77777777" w:rsidR="001F66D8" w:rsidRDefault="001F66D8">
      <w:pPr>
        <w:spacing w:after="0"/>
      </w:pPr>
      <w:r>
        <w:continuationSeparator/>
      </w:r>
    </w:p>
  </w:endnote>
  <w:endnote w:type="continuationNotice" w:id="1">
    <w:p w14:paraId="623612D2" w14:textId="77777777" w:rsidR="001F66D8" w:rsidRDefault="001F66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5039819"/>
      <w:docPartObj>
        <w:docPartGallery w:val="Page Numbers (Bottom of Page)"/>
        <w:docPartUnique/>
      </w:docPartObj>
    </w:sdtPr>
    <w:sdtContent>
      <w:p w14:paraId="78226413" w14:textId="108CA3EB" w:rsidR="0011697A" w:rsidRDefault="0056762E" w:rsidP="004572EB">
        <w:pPr>
          <w:pStyle w:val="Footer"/>
          <w:framePr w:wrap="none" w:vAnchor="text" w:hAnchor="margin" w:xAlign="center" w:y="1"/>
          <w:rPr>
            <w:rStyle w:val="PageNumber"/>
          </w:rPr>
        </w:pPr>
        <w:del w:id="146" w:author="Lesniak, Nicholas" w:date="2022-06-17T11:19:00Z">
          <w:r>
            <w:rPr>
              <w:rStyle w:val="PageNumber"/>
            </w:rPr>
            <w:fldChar w:fldCharType="begin"/>
          </w:r>
          <w:r>
            <w:rPr>
              <w:rStyle w:val="PageNumber"/>
            </w:rPr>
            <w:delInstrText xml:space="preserve"> PAGE </w:delInstrText>
          </w:r>
          <w:r>
            <w:rPr>
              <w:rStyle w:val="PageNumber"/>
            </w:rPr>
            <w:fldChar w:fldCharType="end"/>
          </w:r>
        </w:del>
        <w:ins w:id="147" w:author="Lesniak, Nicholas" w:date="2022-06-17T11:19:00Z">
          <w:r w:rsidR="0011697A">
            <w:rPr>
              <w:rStyle w:val="PageNumber"/>
            </w:rPr>
            <w:fldChar w:fldCharType="begin"/>
          </w:r>
          <w:r w:rsidR="0011697A">
            <w:rPr>
              <w:rStyle w:val="PageNumber"/>
            </w:rPr>
            <w:instrText xml:space="preserve"> PAGE </w:instrText>
          </w:r>
          <w:r w:rsidR="0011697A">
            <w:rPr>
              <w:rStyle w:val="PageNumber"/>
            </w:rPr>
            <w:fldChar w:fldCharType="end"/>
          </w:r>
        </w:ins>
      </w:p>
    </w:sdtContent>
  </w:sdt>
  <w:p w14:paraId="33D7C80D" w14:textId="77777777" w:rsidR="0011697A" w:rsidRDefault="00116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844228"/>
      <w:docPartObj>
        <w:docPartGallery w:val="Page Numbers (Bottom of Page)"/>
        <w:docPartUnique/>
      </w:docPartObj>
    </w:sdtPr>
    <w:sdtContent>
      <w:p w14:paraId="1ADD966A" w14:textId="2F8FA138" w:rsidR="0011697A" w:rsidRDefault="0011697A" w:rsidP="004572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72D837" w14:textId="77777777" w:rsidR="0011697A" w:rsidRDefault="00116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A9BB" w14:textId="77777777" w:rsidR="001F66D8" w:rsidRDefault="001F66D8">
      <w:r>
        <w:separator/>
      </w:r>
    </w:p>
  </w:footnote>
  <w:footnote w:type="continuationSeparator" w:id="0">
    <w:p w14:paraId="5F0ED01F" w14:textId="77777777" w:rsidR="001F66D8" w:rsidRDefault="001F66D8">
      <w:r>
        <w:continuationSeparator/>
      </w:r>
    </w:p>
  </w:footnote>
  <w:footnote w:type="continuationNotice" w:id="1">
    <w:p w14:paraId="4D71135B" w14:textId="77777777" w:rsidR="001F66D8" w:rsidRDefault="001F66D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7E23" w14:textId="77777777" w:rsidR="00E12F26" w:rsidRDefault="00E12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7485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945520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niak, Nicholas">
    <w15:presenceInfo w15:providerId="AD" w15:userId="S::nlesniak@umich.edu::97bdab23-9afc-4495-9e07-2b3c17a81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97A"/>
    <w:rsid w:val="001F66D8"/>
    <w:rsid w:val="004E29B3"/>
    <w:rsid w:val="0056762E"/>
    <w:rsid w:val="00590D07"/>
    <w:rsid w:val="005F4546"/>
    <w:rsid w:val="006F0EEE"/>
    <w:rsid w:val="00784D58"/>
    <w:rsid w:val="007E1BA3"/>
    <w:rsid w:val="008D6863"/>
    <w:rsid w:val="00B86B75"/>
    <w:rsid w:val="00BC48D5"/>
    <w:rsid w:val="00C36279"/>
    <w:rsid w:val="00D358B1"/>
    <w:rsid w:val="00E12F2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DA69"/>
  <w15:docId w15:val="{016A0E21-4190-4E4A-9344-A615C2B0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12F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12F26"/>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12F26"/>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12F26"/>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12F26"/>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12F26"/>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12F26"/>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12F26"/>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12F26"/>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12F26"/>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12F26"/>
    <w:rPr>
      <w:i w:val="0"/>
      <w:vertAlign w:val="superscript"/>
    </w:rPr>
  </w:style>
  <w:style w:type="character" w:styleId="Hyperlink">
    <w:name w:val="Hyperlink"/>
    <w:basedOn w:val="CaptionChar"/>
    <w:rsid w:val="00E12F26"/>
    <w:rPr>
      <w:i w:val="0"/>
      <w:color w:val="4F81BD" w:themeColor="accent1"/>
    </w:rPr>
  </w:style>
  <w:style w:type="paragraph" w:styleId="TOCHeading">
    <w:name w:val="TOC Heading"/>
    <w:basedOn w:val="Heading1"/>
    <w:next w:val="BodyText"/>
    <w:uiPriority w:val="39"/>
    <w:unhideWhenUsed/>
    <w:qFormat/>
    <w:rsid w:val="00E12F2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12F26"/>
    <w:rPr>
      <w:rFonts w:ascii="Consolas" w:hAnsi="Consolas"/>
      <w:b/>
      <w:i w:val="0"/>
      <w:color w:val="204A87"/>
      <w:sz w:val="22"/>
      <w:shd w:val="clear" w:color="auto" w:fill="F8F8F8"/>
    </w:rPr>
  </w:style>
  <w:style w:type="character" w:customStyle="1" w:styleId="DataTypeTok">
    <w:name w:val="DataTypeTok"/>
    <w:basedOn w:val="VerbatimChar"/>
    <w:rsid w:val="00E12F26"/>
    <w:rPr>
      <w:rFonts w:ascii="Consolas" w:hAnsi="Consolas"/>
      <w:i w:val="0"/>
      <w:color w:val="204A87"/>
      <w:sz w:val="22"/>
      <w:shd w:val="clear" w:color="auto" w:fill="F8F8F8"/>
    </w:rPr>
  </w:style>
  <w:style w:type="character" w:customStyle="1" w:styleId="DecValTok">
    <w:name w:val="DecValTok"/>
    <w:basedOn w:val="VerbatimChar"/>
    <w:rsid w:val="00E12F26"/>
    <w:rPr>
      <w:rFonts w:ascii="Consolas" w:hAnsi="Consolas"/>
      <w:i w:val="0"/>
      <w:color w:val="0000CF"/>
      <w:sz w:val="22"/>
      <w:shd w:val="clear" w:color="auto" w:fill="F8F8F8"/>
    </w:rPr>
  </w:style>
  <w:style w:type="character" w:customStyle="1" w:styleId="BaseNTok">
    <w:name w:val="BaseNTok"/>
    <w:basedOn w:val="VerbatimChar"/>
    <w:rsid w:val="00E12F26"/>
    <w:rPr>
      <w:rFonts w:ascii="Consolas" w:hAnsi="Consolas"/>
      <w:i w:val="0"/>
      <w:color w:val="0000CF"/>
      <w:sz w:val="22"/>
      <w:shd w:val="clear" w:color="auto" w:fill="F8F8F8"/>
    </w:rPr>
  </w:style>
  <w:style w:type="character" w:customStyle="1" w:styleId="FloatTok">
    <w:name w:val="FloatTok"/>
    <w:basedOn w:val="VerbatimChar"/>
    <w:rsid w:val="00E12F26"/>
    <w:rPr>
      <w:rFonts w:ascii="Consolas" w:hAnsi="Consolas"/>
      <w:i w:val="0"/>
      <w:color w:val="0000CF"/>
      <w:sz w:val="22"/>
      <w:shd w:val="clear" w:color="auto" w:fill="F8F8F8"/>
    </w:rPr>
  </w:style>
  <w:style w:type="character" w:customStyle="1" w:styleId="ConstantTok">
    <w:name w:val="ConstantTok"/>
    <w:basedOn w:val="VerbatimChar"/>
    <w:rsid w:val="00E12F26"/>
    <w:rPr>
      <w:rFonts w:ascii="Consolas" w:hAnsi="Consolas"/>
      <w:i w:val="0"/>
      <w:color w:val="000000"/>
      <w:sz w:val="22"/>
      <w:shd w:val="clear" w:color="auto" w:fill="F8F8F8"/>
    </w:rPr>
  </w:style>
  <w:style w:type="character" w:customStyle="1" w:styleId="CharTok">
    <w:name w:val="CharTok"/>
    <w:basedOn w:val="VerbatimChar"/>
    <w:rsid w:val="00E12F26"/>
    <w:rPr>
      <w:rFonts w:ascii="Consolas" w:hAnsi="Consolas"/>
      <w:i w:val="0"/>
      <w:color w:val="4E9A06"/>
      <w:sz w:val="22"/>
      <w:shd w:val="clear" w:color="auto" w:fill="F8F8F8"/>
    </w:rPr>
  </w:style>
  <w:style w:type="character" w:customStyle="1" w:styleId="SpecialCharTok">
    <w:name w:val="SpecialCharTok"/>
    <w:basedOn w:val="VerbatimChar"/>
    <w:rsid w:val="00E12F26"/>
    <w:rPr>
      <w:rFonts w:ascii="Consolas" w:hAnsi="Consolas"/>
      <w:i w:val="0"/>
      <w:color w:val="000000"/>
      <w:sz w:val="22"/>
      <w:shd w:val="clear" w:color="auto" w:fill="F8F8F8"/>
    </w:rPr>
  </w:style>
  <w:style w:type="character" w:customStyle="1" w:styleId="StringTok">
    <w:name w:val="StringTok"/>
    <w:basedOn w:val="VerbatimChar"/>
    <w:rsid w:val="00E12F26"/>
    <w:rPr>
      <w:rFonts w:ascii="Consolas" w:hAnsi="Consolas"/>
      <w:i w:val="0"/>
      <w:color w:val="4E9A06"/>
      <w:sz w:val="22"/>
      <w:shd w:val="clear" w:color="auto" w:fill="F8F8F8"/>
    </w:rPr>
  </w:style>
  <w:style w:type="character" w:customStyle="1" w:styleId="VerbatimStringTok">
    <w:name w:val="VerbatimStringTok"/>
    <w:basedOn w:val="VerbatimChar"/>
    <w:rsid w:val="00E12F26"/>
    <w:rPr>
      <w:rFonts w:ascii="Consolas" w:hAnsi="Consolas"/>
      <w:i w:val="0"/>
      <w:color w:val="4E9A06"/>
      <w:sz w:val="22"/>
      <w:shd w:val="clear" w:color="auto" w:fill="F8F8F8"/>
    </w:rPr>
  </w:style>
  <w:style w:type="character" w:customStyle="1" w:styleId="SpecialStringTok">
    <w:name w:val="SpecialStringTok"/>
    <w:basedOn w:val="VerbatimChar"/>
    <w:rsid w:val="00E12F26"/>
    <w:rPr>
      <w:rFonts w:ascii="Consolas" w:hAnsi="Consolas"/>
      <w:i w:val="0"/>
      <w:color w:val="4E9A06"/>
      <w:sz w:val="22"/>
      <w:shd w:val="clear" w:color="auto" w:fill="F8F8F8"/>
    </w:rPr>
  </w:style>
  <w:style w:type="character" w:customStyle="1" w:styleId="ImportTok">
    <w:name w:val="ImportTok"/>
    <w:basedOn w:val="VerbatimChar"/>
    <w:rsid w:val="00E12F26"/>
    <w:rPr>
      <w:rFonts w:ascii="Consolas" w:hAnsi="Consolas"/>
      <w:i w:val="0"/>
      <w:sz w:val="22"/>
      <w:shd w:val="clear" w:color="auto" w:fill="F8F8F8"/>
    </w:rPr>
  </w:style>
  <w:style w:type="character" w:customStyle="1" w:styleId="CommentTok">
    <w:name w:val="CommentTok"/>
    <w:basedOn w:val="VerbatimChar"/>
    <w:rsid w:val="00E12F26"/>
    <w:rPr>
      <w:rFonts w:ascii="Consolas" w:hAnsi="Consolas"/>
      <w:i/>
      <w:color w:val="8F5902"/>
      <w:sz w:val="22"/>
      <w:shd w:val="clear" w:color="auto" w:fill="F8F8F8"/>
    </w:rPr>
  </w:style>
  <w:style w:type="character" w:customStyle="1" w:styleId="DocumentationTok">
    <w:name w:val="DocumentationTok"/>
    <w:basedOn w:val="VerbatimChar"/>
    <w:rsid w:val="00E12F26"/>
    <w:rPr>
      <w:rFonts w:ascii="Consolas" w:hAnsi="Consolas"/>
      <w:b/>
      <w:i/>
      <w:color w:val="8F5902"/>
      <w:sz w:val="22"/>
      <w:shd w:val="clear" w:color="auto" w:fill="F8F8F8"/>
    </w:rPr>
  </w:style>
  <w:style w:type="character" w:customStyle="1" w:styleId="AnnotationTok">
    <w:name w:val="AnnotationTok"/>
    <w:basedOn w:val="VerbatimChar"/>
    <w:rsid w:val="00E12F26"/>
    <w:rPr>
      <w:rFonts w:ascii="Consolas" w:hAnsi="Consolas"/>
      <w:b/>
      <w:i/>
      <w:color w:val="8F5902"/>
      <w:sz w:val="22"/>
      <w:shd w:val="clear" w:color="auto" w:fill="F8F8F8"/>
    </w:rPr>
  </w:style>
  <w:style w:type="character" w:customStyle="1" w:styleId="CommentVarTok">
    <w:name w:val="CommentVarTok"/>
    <w:basedOn w:val="VerbatimChar"/>
    <w:rsid w:val="00E12F26"/>
    <w:rPr>
      <w:rFonts w:ascii="Consolas" w:hAnsi="Consolas"/>
      <w:b/>
      <w:i/>
      <w:color w:val="8F5902"/>
      <w:sz w:val="22"/>
      <w:shd w:val="clear" w:color="auto" w:fill="F8F8F8"/>
    </w:rPr>
  </w:style>
  <w:style w:type="character" w:customStyle="1" w:styleId="OtherTok">
    <w:name w:val="OtherTok"/>
    <w:basedOn w:val="VerbatimChar"/>
    <w:rsid w:val="00E12F26"/>
    <w:rPr>
      <w:rFonts w:ascii="Consolas" w:hAnsi="Consolas"/>
      <w:i w:val="0"/>
      <w:color w:val="8F5902"/>
      <w:sz w:val="22"/>
      <w:shd w:val="clear" w:color="auto" w:fill="F8F8F8"/>
    </w:rPr>
  </w:style>
  <w:style w:type="character" w:customStyle="1" w:styleId="FunctionTok">
    <w:name w:val="FunctionTok"/>
    <w:basedOn w:val="VerbatimChar"/>
    <w:rsid w:val="00E12F26"/>
    <w:rPr>
      <w:rFonts w:ascii="Consolas" w:hAnsi="Consolas"/>
      <w:i w:val="0"/>
      <w:color w:val="000000"/>
      <w:sz w:val="22"/>
      <w:shd w:val="clear" w:color="auto" w:fill="F8F8F8"/>
    </w:rPr>
  </w:style>
  <w:style w:type="character" w:customStyle="1" w:styleId="VariableTok">
    <w:name w:val="VariableTok"/>
    <w:basedOn w:val="VerbatimChar"/>
    <w:rsid w:val="00E12F26"/>
    <w:rPr>
      <w:rFonts w:ascii="Consolas" w:hAnsi="Consolas"/>
      <w:i w:val="0"/>
      <w:color w:val="000000"/>
      <w:sz w:val="22"/>
      <w:shd w:val="clear" w:color="auto" w:fill="F8F8F8"/>
    </w:rPr>
  </w:style>
  <w:style w:type="character" w:customStyle="1" w:styleId="ControlFlowTok">
    <w:name w:val="ControlFlowTok"/>
    <w:basedOn w:val="VerbatimChar"/>
    <w:rsid w:val="00E12F26"/>
    <w:rPr>
      <w:rFonts w:ascii="Consolas" w:hAnsi="Consolas"/>
      <w:b/>
      <w:i w:val="0"/>
      <w:color w:val="204A87"/>
      <w:sz w:val="22"/>
      <w:shd w:val="clear" w:color="auto" w:fill="F8F8F8"/>
    </w:rPr>
  </w:style>
  <w:style w:type="character" w:customStyle="1" w:styleId="OperatorTok">
    <w:name w:val="OperatorTok"/>
    <w:basedOn w:val="VerbatimChar"/>
    <w:rsid w:val="00E12F26"/>
    <w:rPr>
      <w:rFonts w:ascii="Consolas" w:hAnsi="Consolas"/>
      <w:b/>
      <w:i w:val="0"/>
      <w:color w:val="CE5C00"/>
      <w:sz w:val="22"/>
      <w:shd w:val="clear" w:color="auto" w:fill="F8F8F8"/>
    </w:rPr>
  </w:style>
  <w:style w:type="character" w:customStyle="1" w:styleId="BuiltInTok">
    <w:name w:val="BuiltInTok"/>
    <w:basedOn w:val="VerbatimChar"/>
    <w:rsid w:val="00E12F26"/>
    <w:rPr>
      <w:rFonts w:ascii="Consolas" w:hAnsi="Consolas"/>
      <w:i w:val="0"/>
      <w:sz w:val="22"/>
      <w:shd w:val="clear" w:color="auto" w:fill="F8F8F8"/>
    </w:rPr>
  </w:style>
  <w:style w:type="character" w:customStyle="1" w:styleId="ExtensionTok">
    <w:name w:val="ExtensionTok"/>
    <w:basedOn w:val="VerbatimChar"/>
    <w:rsid w:val="00E12F26"/>
    <w:rPr>
      <w:rFonts w:ascii="Consolas" w:hAnsi="Consolas"/>
      <w:i w:val="0"/>
      <w:sz w:val="22"/>
      <w:shd w:val="clear" w:color="auto" w:fill="F8F8F8"/>
    </w:rPr>
  </w:style>
  <w:style w:type="character" w:customStyle="1" w:styleId="PreprocessorTok">
    <w:name w:val="PreprocessorTok"/>
    <w:basedOn w:val="VerbatimChar"/>
    <w:rsid w:val="00E12F26"/>
    <w:rPr>
      <w:rFonts w:ascii="Consolas" w:hAnsi="Consolas"/>
      <w:i/>
      <w:color w:val="8F5902"/>
      <w:sz w:val="22"/>
      <w:shd w:val="clear" w:color="auto" w:fill="F8F8F8"/>
    </w:rPr>
  </w:style>
  <w:style w:type="character" w:customStyle="1" w:styleId="AttributeTok">
    <w:name w:val="AttributeTok"/>
    <w:basedOn w:val="VerbatimChar"/>
    <w:rsid w:val="00E12F26"/>
    <w:rPr>
      <w:rFonts w:ascii="Consolas" w:hAnsi="Consolas"/>
      <w:i w:val="0"/>
      <w:color w:val="C4A000"/>
      <w:sz w:val="22"/>
      <w:shd w:val="clear" w:color="auto" w:fill="F8F8F8"/>
    </w:rPr>
  </w:style>
  <w:style w:type="character" w:customStyle="1" w:styleId="RegionMarkerTok">
    <w:name w:val="RegionMarkerTok"/>
    <w:basedOn w:val="VerbatimChar"/>
    <w:rsid w:val="00E12F26"/>
    <w:rPr>
      <w:rFonts w:ascii="Consolas" w:hAnsi="Consolas"/>
      <w:i w:val="0"/>
      <w:sz w:val="22"/>
      <w:shd w:val="clear" w:color="auto" w:fill="F8F8F8"/>
    </w:rPr>
  </w:style>
  <w:style w:type="character" w:customStyle="1" w:styleId="InformationTok">
    <w:name w:val="InformationTok"/>
    <w:basedOn w:val="VerbatimChar"/>
    <w:rsid w:val="00E12F26"/>
    <w:rPr>
      <w:rFonts w:ascii="Consolas" w:hAnsi="Consolas"/>
      <w:b/>
      <w:i/>
      <w:color w:val="8F5902"/>
      <w:sz w:val="22"/>
      <w:shd w:val="clear" w:color="auto" w:fill="F8F8F8"/>
    </w:rPr>
  </w:style>
  <w:style w:type="character" w:customStyle="1" w:styleId="WarningTok">
    <w:name w:val="WarningTok"/>
    <w:basedOn w:val="VerbatimChar"/>
    <w:rsid w:val="00E12F26"/>
    <w:rPr>
      <w:rFonts w:ascii="Consolas" w:hAnsi="Consolas"/>
      <w:b/>
      <w:i/>
      <w:color w:val="8F5902"/>
      <w:sz w:val="22"/>
      <w:shd w:val="clear" w:color="auto" w:fill="F8F8F8"/>
    </w:rPr>
  </w:style>
  <w:style w:type="character" w:customStyle="1" w:styleId="AlertTok">
    <w:name w:val="AlertTok"/>
    <w:basedOn w:val="VerbatimChar"/>
    <w:rsid w:val="00E12F26"/>
    <w:rPr>
      <w:rFonts w:ascii="Consolas" w:hAnsi="Consolas"/>
      <w:i w:val="0"/>
      <w:color w:val="EF2929"/>
      <w:sz w:val="22"/>
      <w:shd w:val="clear" w:color="auto" w:fill="F8F8F8"/>
    </w:rPr>
  </w:style>
  <w:style w:type="character" w:customStyle="1" w:styleId="ErrorTok">
    <w:name w:val="ErrorTok"/>
    <w:basedOn w:val="VerbatimChar"/>
    <w:rsid w:val="00E12F26"/>
    <w:rPr>
      <w:rFonts w:ascii="Consolas" w:hAnsi="Consolas"/>
      <w:b/>
      <w:i w:val="0"/>
      <w:color w:val="A40000"/>
      <w:sz w:val="22"/>
      <w:shd w:val="clear" w:color="auto" w:fill="F8F8F8"/>
    </w:rPr>
  </w:style>
  <w:style w:type="character" w:customStyle="1" w:styleId="NormalTok">
    <w:name w:val="NormalTok"/>
    <w:basedOn w:val="VerbatimChar"/>
    <w:rsid w:val="00E12F26"/>
    <w:rPr>
      <w:rFonts w:ascii="Consolas" w:hAnsi="Consolas"/>
      <w:i w:val="0"/>
      <w:sz w:val="22"/>
      <w:shd w:val="clear" w:color="auto" w:fill="F8F8F8"/>
    </w:rPr>
  </w:style>
  <w:style w:type="character" w:styleId="LineNumber">
    <w:name w:val="line number"/>
    <w:basedOn w:val="DefaultParagraphFont"/>
    <w:semiHidden/>
    <w:unhideWhenUsed/>
    <w:rsid w:val="0011697A"/>
  </w:style>
  <w:style w:type="paragraph" w:styleId="Footer">
    <w:name w:val="footer"/>
    <w:basedOn w:val="Normal"/>
    <w:link w:val="FooterChar"/>
    <w:unhideWhenUsed/>
    <w:rsid w:val="0011697A"/>
    <w:pPr>
      <w:tabs>
        <w:tab w:val="center" w:pos="4680"/>
        <w:tab w:val="right" w:pos="9360"/>
      </w:tabs>
      <w:spacing w:after="0"/>
    </w:pPr>
  </w:style>
  <w:style w:type="character" w:customStyle="1" w:styleId="FooterChar">
    <w:name w:val="Footer Char"/>
    <w:basedOn w:val="DefaultParagraphFont"/>
    <w:link w:val="Footer"/>
    <w:rsid w:val="0011697A"/>
  </w:style>
  <w:style w:type="character" w:styleId="PageNumber">
    <w:name w:val="page number"/>
    <w:basedOn w:val="DefaultParagraphFont"/>
    <w:semiHidden/>
    <w:unhideWhenUsed/>
    <w:rsid w:val="0011697A"/>
  </w:style>
  <w:style w:type="paragraph" w:styleId="Header">
    <w:name w:val="header"/>
    <w:basedOn w:val="Normal"/>
    <w:link w:val="HeaderChar"/>
    <w:unhideWhenUsed/>
    <w:rsid w:val="00E12F26"/>
    <w:pPr>
      <w:tabs>
        <w:tab w:val="center" w:pos="4680"/>
        <w:tab w:val="right" w:pos="9360"/>
      </w:tabs>
      <w:spacing w:after="0"/>
    </w:pPr>
  </w:style>
  <w:style w:type="character" w:customStyle="1" w:styleId="HeaderChar">
    <w:name w:val="Header Char"/>
    <w:basedOn w:val="DefaultParagraphFont"/>
    <w:link w:val="Header"/>
    <w:rsid w:val="00E12F26"/>
  </w:style>
  <w:style w:type="paragraph" w:styleId="Revision">
    <w:name w:val="Revision"/>
    <w:hidden/>
    <w:semiHidden/>
    <w:rsid w:val="00E12F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aem.05239-11" TargetMode="External"/><Relationship Id="rId21" Type="http://schemas.openxmlformats.org/officeDocument/2006/relationships/hyperlink" Target="https://doi.org/10.1128/mbio.00522-21" TargetMode="External"/><Relationship Id="rId42" Type="http://schemas.openxmlformats.org/officeDocument/2006/relationships/hyperlink" Target="https://doi.org/10.1016/j.anaerobe.2013.04.003" TargetMode="External"/><Relationship Id="rId47" Type="http://schemas.openxmlformats.org/officeDocument/2006/relationships/hyperlink" Target="https://doi.org/10.1017/ice.2017.89" TargetMode="External"/><Relationship Id="rId63" Type="http://schemas.openxmlformats.org/officeDocument/2006/relationships/hyperlink" Target="https://doi.org/10.1099/ijsem.0.002268" TargetMode="External"/><Relationship Id="rId68" Type="http://schemas.openxmlformats.org/officeDocument/2006/relationships/hyperlink" Target="https://doi.org/10.1021/acsinfecdis.0c00634" TargetMode="External"/><Relationship Id="rId84" Type="http://schemas.openxmlformats.org/officeDocument/2006/relationships/hyperlink" Target="https://doi.org/10.3389/fgene.2015.00081" TargetMode="External"/><Relationship Id="rId89" Type="http://schemas.openxmlformats.org/officeDocument/2006/relationships/hyperlink" Target="https://doi.org/10.1128/aem.00062-07" TargetMode="External"/><Relationship Id="rId16" Type="http://schemas.openxmlformats.org/officeDocument/2006/relationships/hyperlink" Target="https://doi.org/10.1128/msystems.00063-17" TargetMode="External"/><Relationship Id="rId11" Type="http://schemas.openxmlformats.org/officeDocument/2006/relationships/hyperlink" Target="https://doi.org/10.1038/nature13828" TargetMode="External"/><Relationship Id="rId32" Type="http://schemas.openxmlformats.org/officeDocument/2006/relationships/hyperlink" Target="https://doi.org/10.1128/msphere.01238-20" TargetMode="External"/><Relationship Id="rId37" Type="http://schemas.openxmlformats.org/officeDocument/2006/relationships/hyperlink" Target="https://doi.org/10.4161/gmic.19142" TargetMode="External"/><Relationship Id="rId53" Type="http://schemas.openxmlformats.org/officeDocument/2006/relationships/hyperlink" Target="https://doi.org/10.1038/nature12503" TargetMode="External"/><Relationship Id="rId58" Type="http://schemas.openxmlformats.org/officeDocument/2006/relationships/hyperlink" Target="https://doi.org/10.1126/scitranslmed.aam7019" TargetMode="External"/><Relationship Id="rId74" Type="http://schemas.openxmlformats.org/officeDocument/2006/relationships/hyperlink" Target="https://doi.org/10.1128/iai.00362-19" TargetMode="External"/><Relationship Id="rId79" Type="http://schemas.openxmlformats.org/officeDocument/2006/relationships/hyperlink" Target="https://doi.org/10.1186/2049-2618-1-15" TargetMode="External"/><Relationship Id="rId5" Type="http://schemas.openxmlformats.org/officeDocument/2006/relationships/footnotes" Target="footnotes.xml"/><Relationship Id="rId90" Type="http://schemas.openxmlformats.org/officeDocument/2006/relationships/hyperlink" Target="https://doi.org/10.1080/sta-200066418" TargetMode="External"/><Relationship Id="rId95" Type="http://schemas.openxmlformats.org/officeDocument/2006/relationships/header" Target="header1.xml"/><Relationship Id="rId22" Type="http://schemas.openxmlformats.org/officeDocument/2006/relationships/hyperlink" Target="https://doi.org/10.1038/s41591-020-0764-0" TargetMode="External"/><Relationship Id="rId27" Type="http://schemas.openxmlformats.org/officeDocument/2006/relationships/hyperlink" Target="https://doi.org/10.1053/j.gastro.2008.09.002" TargetMode="External"/><Relationship Id="rId43" Type="http://schemas.openxmlformats.org/officeDocument/2006/relationships/hyperlink" Target="https://doi.org/10.1016/j.anaerobe.2015.02.003" TargetMode="External"/><Relationship Id="rId48" Type="http://schemas.openxmlformats.org/officeDocument/2006/relationships/hyperlink" Target="https://doi.org/10.1128/msphere.00261-18" TargetMode="External"/><Relationship Id="rId64" Type="http://schemas.openxmlformats.org/officeDocument/2006/relationships/hyperlink" Target="https://doi.org/10.1371/journal.pcbi.1003388" TargetMode="External"/><Relationship Id="rId69" Type="http://schemas.openxmlformats.org/officeDocument/2006/relationships/hyperlink" Target="https://doi.org/10.1128/iai.00647-12" TargetMode="External"/><Relationship Id="rId80" Type="http://schemas.openxmlformats.org/officeDocument/2006/relationships/hyperlink" Target="https://doi.org/10.1128/mbio.02733-20" TargetMode="External"/><Relationship Id="rId85" Type="http://schemas.openxmlformats.org/officeDocument/2006/relationships/hyperlink" Target="https://doi.org/10.1002/9780471729259.mc09a01s12" TargetMode="External"/><Relationship Id="rId3" Type="http://schemas.openxmlformats.org/officeDocument/2006/relationships/settings" Target="settings.xml"/><Relationship Id="rId12" Type="http://schemas.openxmlformats.org/officeDocument/2006/relationships/hyperlink" Target="https://doi.org/10.1053/j.gastro.2014.01.059" TargetMode="External"/><Relationship Id="rId17" Type="http://schemas.openxmlformats.org/officeDocument/2006/relationships/hyperlink" Target="https://doi.org/10.1128/jb.01765-07" TargetMode="External"/><Relationship Id="rId25" Type="http://schemas.openxmlformats.org/officeDocument/2006/relationships/hyperlink" Target="https://doi.org/10.1128/mbio.01021-14" TargetMode="External"/><Relationship Id="rId33" Type="http://schemas.openxmlformats.org/officeDocument/2006/relationships/hyperlink" Target="https://doi.org/10.1016/j.jhin.2011.04.017" TargetMode="External"/><Relationship Id="rId38" Type="http://schemas.openxmlformats.org/officeDocument/2006/relationships/hyperlink" Target="https://doi.org/10.1086/592257" TargetMode="External"/><Relationship Id="rId46" Type="http://schemas.openxmlformats.org/officeDocument/2006/relationships/hyperlink" Target="https://doi.org/10.1186/1471-2334-13-316" TargetMode="External"/><Relationship Id="rId59" Type="http://schemas.openxmlformats.org/officeDocument/2006/relationships/hyperlink" Target="https://doi.org/10.1080/19490976.2021.1875796" TargetMode="External"/><Relationship Id="rId67" Type="http://schemas.openxmlformats.org/officeDocument/2006/relationships/hyperlink" Target="https://doi.org/10.3389/fmicb.2018.02976" TargetMode="External"/><Relationship Id="rId20" Type="http://schemas.openxmlformats.org/officeDocument/2006/relationships/hyperlink" Target="https://doi.org/10.1016/j.chembiol.2018.10.003" TargetMode="External"/><Relationship Id="rId41" Type="http://schemas.openxmlformats.org/officeDocument/2006/relationships/hyperlink" Target="https://doi.org/10.1093/cid/cis786" TargetMode="External"/><Relationship Id="rId54" Type="http://schemas.openxmlformats.org/officeDocument/2006/relationships/hyperlink" Target="https://doi.org/10.1016/j.chom.2014.11.003" TargetMode="External"/><Relationship Id="rId62" Type="http://schemas.openxmlformats.org/officeDocument/2006/relationships/hyperlink" Target="https://doi.org/10.1007/s12275-019-9268-3" TargetMode="External"/><Relationship Id="rId70" Type="http://schemas.openxmlformats.org/officeDocument/2006/relationships/hyperlink" Target="https://doi.org/10.1128/msphere.00283-21" TargetMode="External"/><Relationship Id="rId75" Type="http://schemas.openxmlformats.org/officeDocument/2006/relationships/hyperlink" Target="https://doi.org/10.1038/nm.4174" TargetMode="External"/><Relationship Id="rId83" Type="http://schemas.openxmlformats.org/officeDocument/2006/relationships/hyperlink" Target="https://doi.org/10.1038/s41467-019-10733-9" TargetMode="External"/><Relationship Id="rId88" Type="http://schemas.openxmlformats.org/officeDocument/2006/relationships/hyperlink" Target="https://doi.org/10.1128/aem.01541-09" TargetMode="External"/><Relationship Id="rId91" Type="http://schemas.openxmlformats.org/officeDocument/2006/relationships/hyperlink" Target="https://doi.org/10.1186/gb-2011-12-6-r60"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mib.2020.01.016" TargetMode="External"/><Relationship Id="rId23" Type="http://schemas.openxmlformats.org/officeDocument/2006/relationships/hyperlink" Target="https://doi.org/10.1128/msphere.00869-20" TargetMode="External"/><Relationship Id="rId28" Type="http://schemas.openxmlformats.org/officeDocument/2006/relationships/hyperlink" Target="https://doi.org/10.1128/mbio.00974-15" TargetMode="External"/><Relationship Id="rId36" Type="http://schemas.openxmlformats.org/officeDocument/2006/relationships/hyperlink" Target="https://doi.org/10.1128/iai.00960-19" TargetMode="External"/><Relationship Id="rId49" Type="http://schemas.openxmlformats.org/officeDocument/2006/relationships/hyperlink" Target="https://doi.org/10.1007/s00253-016-8006-6" TargetMode="External"/><Relationship Id="rId57" Type="http://schemas.openxmlformats.org/officeDocument/2006/relationships/hyperlink" Target="https://doi.org/10.4161/gmic.2.3.16333" TargetMode="External"/><Relationship Id="rId10" Type="http://schemas.openxmlformats.org/officeDocument/2006/relationships/hyperlink" Target="https://doi.org/10.1093/cid/ciab737" TargetMode="External"/><Relationship Id="rId31" Type="http://schemas.openxmlformats.org/officeDocument/2006/relationships/hyperlink" Target="https://doi.org/10.1128/mbio.00180-20" TargetMode="External"/><Relationship Id="rId44" Type="http://schemas.openxmlformats.org/officeDocument/2006/relationships/hyperlink" Target="https://doi.org/10.1101/2021.12.08.471880" TargetMode="External"/><Relationship Id="rId52" Type="http://schemas.openxmlformats.org/officeDocument/2006/relationships/hyperlink" Target="https://doi.org/10.1038/s41522-019-0087-4" TargetMode="External"/><Relationship Id="rId60" Type="http://schemas.openxmlformats.org/officeDocument/2006/relationships/hyperlink" Target="https://doi.org/10.1093/carcin/bgr256" TargetMode="External"/><Relationship Id="rId65" Type="http://schemas.openxmlformats.org/officeDocument/2006/relationships/hyperlink" Target="https://doi.org/10.1007/s10620-021-07131-x" TargetMode="External"/><Relationship Id="rId73" Type="http://schemas.openxmlformats.org/officeDocument/2006/relationships/hyperlink" Target="https://doi.org/10.1128/msphere.00629-21" TargetMode="External"/><Relationship Id="rId78" Type="http://schemas.openxmlformats.org/officeDocument/2006/relationships/hyperlink" Target="https://doi.org/10.1038/s41385-020-0296-4" TargetMode="External"/><Relationship Id="rId81" Type="http://schemas.openxmlformats.org/officeDocument/2006/relationships/hyperlink" Target="https://doi.org/10.1128/iai.02627-14" TargetMode="External"/><Relationship Id="rId86" Type="http://schemas.openxmlformats.org/officeDocument/2006/relationships/hyperlink" Target="https://doi.org/10.3791/54850" TargetMode="External"/><Relationship Id="rId94" Type="http://schemas.openxmlformats.org/officeDocument/2006/relationships/hyperlink" Target="https://doi.org/10.1016/j.cell.2006.08.043" TargetMode="External"/><Relationship Id="rId9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cid/cix1085" TargetMode="External"/><Relationship Id="rId13" Type="http://schemas.openxmlformats.org/officeDocument/2006/relationships/hyperlink" Target="https://doi.org/10.1038/s41564-018-0150-6" TargetMode="External"/><Relationship Id="rId18" Type="http://schemas.openxmlformats.org/officeDocument/2006/relationships/hyperlink" Target="https://doi.org/10.1016/j.anaerobe.2017.03.004" TargetMode="External"/><Relationship Id="rId39" Type="http://schemas.openxmlformats.org/officeDocument/2006/relationships/hyperlink" Target="https://doi.org/10.1053/j.gastro.2009.02.073" TargetMode="External"/><Relationship Id="rId34" Type="http://schemas.openxmlformats.org/officeDocument/2006/relationships/hyperlink" Target="https://doi.org/10.1086/519265" TargetMode="External"/><Relationship Id="rId50" Type="http://schemas.openxmlformats.org/officeDocument/2006/relationships/hyperlink" Target="https://doi.org/10.1016/j.mam.2017.06.002" TargetMode="External"/><Relationship Id="rId55" Type="http://schemas.openxmlformats.org/officeDocument/2006/relationships/hyperlink" Target="https://doi.org/10.3390/toxins8050153" TargetMode="External"/><Relationship Id="rId76" Type="http://schemas.openxmlformats.org/officeDocument/2006/relationships/hyperlink" Target="https://doi.org/10.1038/s41467-021-22302-0"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099/ijsem.0.003698" TargetMode="External"/><Relationship Id="rId92" Type="http://schemas.openxmlformats.org/officeDocument/2006/relationships/hyperlink" Target="https://doi.org/10.1111/j.2517-6161.1995.tb02031.x" TargetMode="External"/><Relationship Id="rId2" Type="http://schemas.openxmlformats.org/officeDocument/2006/relationships/styles" Target="styles.xml"/><Relationship Id="rId29" Type="http://schemas.openxmlformats.org/officeDocument/2006/relationships/hyperlink" Target="https://doi.org/10.1038/nmicrobiol.2016.108" TargetMode="External"/><Relationship Id="rId24" Type="http://schemas.openxmlformats.org/officeDocument/2006/relationships/hyperlink" Target="https://doi.org/10.3389/fmicb.2018.02897" TargetMode="External"/><Relationship Id="rId40" Type="http://schemas.openxmlformats.org/officeDocument/2006/relationships/hyperlink" Target="https://doi.org/10.1093/cid/civ254" TargetMode="External"/><Relationship Id="rId45" Type="http://schemas.openxmlformats.org/officeDocument/2006/relationships/hyperlink" Target="https://doi.org/10.1073/pnas.0914322107" TargetMode="External"/><Relationship Id="rId66" Type="http://schemas.openxmlformats.org/officeDocument/2006/relationships/hyperlink" Target="https://doi.org/10.3390/microorganisms6030075" TargetMode="External"/><Relationship Id="rId87" Type="http://schemas.openxmlformats.org/officeDocument/2006/relationships/hyperlink" Target="https://doi.org/10.1128/aem.01043-13" TargetMode="External"/><Relationship Id="rId61" Type="http://schemas.openxmlformats.org/officeDocument/2006/relationships/hyperlink" Target="https://doi.org/10.1038/s41396-019-0363-6" TargetMode="External"/><Relationship Id="rId82" Type="http://schemas.openxmlformats.org/officeDocument/2006/relationships/hyperlink" Target="https://doi.org/10.1038/s41598-020-64703-z" TargetMode="External"/><Relationship Id="rId19" Type="http://schemas.openxmlformats.org/officeDocument/2006/relationships/hyperlink" Target="https://doi.org/10.1371/journal.ppat.1010015" TargetMode="External"/><Relationship Id="rId14" Type="http://schemas.openxmlformats.org/officeDocument/2006/relationships/hyperlink" Target="https://doi.org/10.1038/s41467-019-14177-z" TargetMode="External"/><Relationship Id="rId30" Type="http://schemas.openxmlformats.org/officeDocument/2006/relationships/hyperlink" Target="https://doi.org/10.1186/s13073-016-0298-8" TargetMode="External"/><Relationship Id="rId35" Type="http://schemas.openxmlformats.org/officeDocument/2006/relationships/hyperlink" Target="https://doi.org/10.1093/infdis/jiy338" TargetMode="External"/><Relationship Id="rId56" Type="http://schemas.openxmlformats.org/officeDocument/2006/relationships/hyperlink" Target="https://doi.org/10.1371/journal.ppat.1002995" TargetMode="External"/><Relationship Id="rId77" Type="http://schemas.openxmlformats.org/officeDocument/2006/relationships/hyperlink" Target="https://doi.org/10.1128/jcm.02926-14" TargetMode="External"/><Relationship Id="rId100" Type="http://schemas.openxmlformats.org/officeDocument/2006/relationships/theme" Target="theme/theme1.xml"/><Relationship Id="rId8" Type="http://schemas.openxmlformats.org/officeDocument/2006/relationships/hyperlink" Target="https://doi.org/10.1056/nejmra0707500" TargetMode="External"/><Relationship Id="rId51" Type="http://schemas.openxmlformats.org/officeDocument/2006/relationships/hyperlink" Target="https://doi.org/10.1128/jb.00610-10" TargetMode="External"/><Relationship Id="rId72" Type="http://schemas.openxmlformats.org/officeDocument/2006/relationships/hyperlink" Target="https://doi.org/10.1007/s10096-005-1334-6" TargetMode="External"/><Relationship Id="rId93" Type="http://schemas.openxmlformats.org/officeDocument/2006/relationships/hyperlink" Target="https://doi.org/10.21105/joss.03073"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41</Pages>
  <Words>11026</Words>
  <Characters>62853</Characters>
  <Application>Microsoft Office Word</Application>
  <DocSecurity>0</DocSecurity>
  <Lines>523</Lines>
  <Paragraphs>147</Paragraphs>
  <ScaleCrop>false</ScaleCrop>
  <Company/>
  <LinksUpToDate>false</LinksUpToDate>
  <CharactersWithSpaces>73732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1</cp:revision>
  <dcterms:created xsi:type="dcterms:W3CDTF">2022-06-17T15:08:00Z</dcterms:created>
  <dcterms:modified xsi:type="dcterms:W3CDTF">2022-06-17T15:20:00Z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