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bf73aabfc4f0f0b9a786df1d6b09b19feeb724b"/>
    <w:p>
      <w:pPr>
        <w:pStyle w:val="Heading1"/>
      </w:pPr>
      <w:r>
        <w:t xml:space="preserve">Rarefaction is better than robust Aitchison PCA and other compositional data analysis methods at controlling for uneven sequencing effort</w:t>
      </w:r>
    </w:p>
    <w:p>
      <w:pPr>
        <w:pStyle w:val="FirstParagraph"/>
      </w:pPr>
      <w:r>
        <w:rPr>
          <w:b/>
          <w:bCs/>
        </w:rPr>
        <w:t xml:space="preserve">Running title:</w:t>
      </w:r>
      <w:r>
        <w:t xml:space="preserve"> </w:t>
      </w:r>
      <w:r>
        <w:t xml:space="preserve">Use rarefaction</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Amplicon sequencing typically results in a wide distribution in the number of sequences obtained from each sample. How best to account for this variation has been a persistent problem in the microbial ecology literature. Historically, rarefaction has been used in ecology and this practice was adopted by microbial ecologists. But rarefaction has been strongly criticized leading to the development of compositional data analysis and normalization methods. Therefore, I reassessed the benchmarking data that was generated by the developers of one such method, robust Aitchison PCA. I found numerous problems in the Python code that led to the support of robust Aitchison PCA. These problems extended to the creation of simulated datasets, implementation of machine learning methods, and choice of analysis parameters. Furthermore, the analysis of the simulated and case study datasets was done in a manner that was foreign to standard microbiome analyses. I corrected the problems in the original code, added datasets with smaller effect sizes, and expanded the collection of methods that purport to correct for uneven sequencing effort. Contrary to the claims of the original analysis, robust Aitchison PCA was not insensitive to uneven sequencing effort and did not perform as well as rarefaction. In fact, even using the benchmarking framework from the original analysis, rarefaction outperformed robust Aitchison PCA, other compositional data analysis methods, and other normalization methods. Rarefaction remains the preferred method of controlling for uneven sampling effort in amplicon sequence studies.</w:t>
      </w:r>
    </w:p>
    <w:bookmarkEnd w:id="20"/>
    <w:bookmarkStart w:id="21" w:name="importance"/>
    <w:p>
      <w:pPr>
        <w:pStyle w:val="Heading2"/>
      </w:pPr>
      <w:r>
        <w:t xml:space="preserve">Importance</w:t>
      </w:r>
    </w:p>
    <w:p>
      <w:pPr>
        <w:pStyle w:val="FirstParagraph"/>
      </w:pPr>
      <w:r>
        <w:t xml:space="preserve">Efforts to connect the structure of microbial communities with environmental processes and host health have captured widespread interest among scientists and the general public. The methods used to generate the sequencing data that are fundamental to these efforts result in wide variation in the number of sequences per sample. This variation and how to account for it can have detrimental effects on the ability to draw valid conclusions. Compositional data analysis methods including robust Aitchison PCA have grown in popularity for mitigating these effects and have been proposed as alternatives to rarefaction. In this study, I reviewed and fixed the code that was used to benchmark robust Aitchison PCA and expanded the analysis. With this improved and expanded analysis, I found that rarefaction was still superior to robust Aitchison PCA and other methods of controlling for uneven sequencing effort.</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attempts to pool equimolar amounts of DNA to generate libraries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sample.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“rarefying”</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often have a frequency of zero. These zero values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(i.e., Martino) proposed calculating CLR values for each sample after ignoring zero values followed by matrix completion using the OptSpace matrix completion algorithm. They called this method robust Aitchison principal components analysis (PCA)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“inadmissible”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 Because one cannot know the true difference between samples, a positive or negative result with experimental data cannot be interpreted. Second, when benchmarking tests are developed, researchers may inadvertently select tests that favor the method they are developing. This proved to be the case for the original paper that called rarefaction into question</w:t>
      </w:r>
      <w:r>
        <w:t xml:space="preserve"> </w:t>
      </w:r>
      <w:r>
        <w:t xml:space="preserve">(8, 25)</w:t>
      </w:r>
      <w:r>
        <w:t xml:space="preserve">. Third, the choice of how to simulate community data can inadvertently favor the method being developed. A popular aphorism states that</w:t>
      </w:r>
      <w:r>
        <w:t xml:space="preserve"> </w:t>
      </w:r>
      <w:r>
        <w:t xml:space="preserve">“all models are wrong, some are useful”</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 To mitigate against bias, it is necessary to use a comprehensive benchmarking test suite that allows one to compare diverse methods using inference methods that are commonly used by researchers.</w:t>
      </w:r>
    </w:p>
    <w:p>
      <w:pPr>
        <w:pStyle w:val="BodyText"/>
      </w:pPr>
      <w:r>
        <w:t xml:space="preserve">In my previous analyses advocating for rarefaction, I generated null community models and treatment groups with known effect sizes by creating taxon empirically-determined abundance distributions and sampling depths based on 12 published datasets</w:t>
      </w:r>
      <w:r>
        <w:t xml:space="preserve"> </w:t>
      </w:r>
      <w:r>
        <w:t xml:space="preserve">(4)</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the overall simulation framework involved simulating two treatment groups each represented by 100 communities for a total of 200 communities. Each community contained as many as 1,000 taxa. They stated that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was added to each relative abundance value to create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created an interesting opportunity to reassess the performance of RPCA and other CLR-based approaches relative to rarefaction. Although Martino used an interesting modelling approach, they did not compare RPCA to other CLR-based approaches or to rarefaction. Furthermore, they used benchmarking tests that did not reflect how researchers typically analyze microbial community data. The goal of the current study was to repeat the benchmarking of RPCA and other CLR-based methods relative to rarefaction using the modelling framework described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Martino’s code did not return the same number of sequences for each sample. Because one goal of the current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PCoA plots in Figure 1 are qualitatively similar to those in Figure 3 of Martino suggesting that my changes to the original code were superficial. The most notable difference to Martino’s version of the figure was that they inadvertently switched the labels of the axes and performed the One CLR transformation on features rather than samples (Supplementary Text). Replicating what Martino reported, the first two axes of the Bray-Curtis ordinations only explained a fraction of the total variation in the data while the RPCA ordinations explained all the variation. However, this was because RPCA is run by giving the algorithm a desired number of axes; in this case, 2 axes. Regardless,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 statistic to compare the ability of RPCA to differentiate treatment groups using raw counts or removing zero values prior to calculating the CLR (RCLR). Using the partially overlapping treatment groups they found that the RCLR pretreatment yielded larger F statistics than using raw counts. Repeating Martino’s PERMANOVA analysis, I was able to replicate their results when using RPCA (Figure 2). However, by generating 10 replicate datasets (Martino only performed one), I observed considerable variation across replicates for the F statistics calculated using RPCA with raw counts. Unfortunately, Martino did not make any comparisons to other methods of calculating distances. When I calculated Euclidean distances using other CLR and DeSeq2 transformations and Bray-Curtis distances using raw counts and normalized data, all resulted in small F statistics. I suspected that the RPCA data generated relatively large F statistics because the Euclidean distances calculated using RPCA was only done with the first two axes. This would have removed a considerable amount of variation that was embedded in the third and higher axes. The result would be elevated F statistics. To test this hypothesis, I performed PCoA on Bray-Curtis distances, calculated Euclidean distances using the first two axes of the resulting PCoA, and subjected those distances to PERMANOVA (see</w:t>
      </w:r>
      <w:r>
        <w:t xml:space="preserve"> </w:t>
      </w:r>
      <w:r>
        <w:t xml:space="preserve">“Bray-Curtis PCoA”</w:t>
      </w:r>
      <w:r>
        <w:t xml:space="preserve"> </w:t>
      </w:r>
      <w:r>
        <w:t xml:space="preserve">data in the Euclidean distance section of Figure 2). The calculated F statistics were even larger than those generated by RPCA. This suggested that RPCA may make communities appear more similar than they are when differences are more pronounced in higher axes. Regardless of the relative scale of the F statistics, the replicates for all approaches yielded significant P-values except for those generated using RPCA with raw counts.</w:t>
      </w:r>
    </w:p>
    <w:bookmarkEnd w:id="24"/>
    <w:bookmarkStart w:id="25" w:name="X8315bed185eb4d432e98118486a4d3f6a096d6e"/>
    <w:p>
      <w:pPr>
        <w:pStyle w:val="Heading3"/>
      </w:pPr>
      <w:r>
        <w:t xml:space="preserve">Comparison of simulated communities using K-nearest neighbors (KNN) Classification</w:t>
      </w:r>
    </w:p>
    <w:p>
      <w:pPr>
        <w:pStyle w:val="FirstParagraph"/>
      </w:pPr>
      <w:r>
        <w:t xml:space="preserve">In addition to comparing PERMANOVA F statistics, Martino used KNN classification to distinguish between the two partially overlapping treatment groups. Although Martino’s text indicated they used 40% of the samples in the training set and 60% in the testing set (i.e., a 40:60 cross validation split), their code indicated that the design was actually the opposite with 60% of the samples in the training set and the remaining in the testing set (Supplemental Text); a 60:40 split is more conventional. To execute the KNN classification, Martino used the first two axes calculated from RPCA using raw counts and RCLR transformed data as the input to their KNN classification.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“Raw + RPCA”</w:t>
      </w:r>
      <w:r>
        <w:t xml:space="preserve"> </w:t>
      </w:r>
      <w:r>
        <w:t xml:space="preserve">in Figure 2). I was able to replicate Martino’s result showing that using RCLR transformed counts as input to RPCA yielded higher accuracy than using raw counts.</w:t>
      </w:r>
    </w:p>
    <w:p>
      <w:pPr>
        <w:pStyle w:val="BodyText"/>
      </w:pPr>
      <w:r>
        <w:t xml:space="preserve">Next I sought to place the RPCA results in context with other methods (Figure 2). I generated Euclidean distance matrices using other CLR methods and DeSeq2. I also generated Bray-Curtis distance matrices using the raw counts and CSS and SRS Normalization. These methods all yielded similar results, likely because all of samples in the simulations had the same sequencing depth. Compared to these other approaches, RPCA varied the most by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repeated the search for the optimal value of K using a more conventional 80:20 split,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with the simulated data (Figure S1).</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to decrease the effect size, I identified a number of incongruities between Martino’s written description in their paper and in their code. This limited my ability to reuse their code to simulate greater overlap between the treatment groups (Supplemental Text).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parameter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benchmarking data that is more indicative of what is commonly observed with empirical data than what was observed by Martino (Figure 3).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(Figure 4).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(Figure S2). From the revised simulations, it is evident that the performance of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used two published datasets as case studies to evaluate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The sponge dataset had 133 healthy and 85 stressed samples and the sleep apnea dataset had 96 air treated and 93 IHH treated samples (Figure 5).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(CRC) dataset included 261 subjects with healthy colons and 229 subjects with screen relevant colonic neoplasias (Figure 5). The sponge, sleep apnea, and colorectal cancer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 Supplementary Text.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removal of sequences for the Bray-Curtis and weighted UniFrac distance calculations prior to subsampling that weren’t removed from the RPCA analysis because sequences were missing from the trees; (iii) they performed 9 rather than the 10 random subsamples of the datasets when generating balanced designs of the data sets (10 was described in the manuscript); (iv) running RPCA with a rank of 3 for the sleep apnea dataset rather than 2 as specified in the manuscript; (v) significant problems in the training and testing of the KNN classification to the data including the selection of the hyperparameter, lack of balance design in the stratifications, and only performing a single iteration; and (vi) only using two PCoA axes rather than the actual Bray-Curtis and weighted UniFrac distances in the KNN classification. The following analyses used the remedies as described in the Supplementary Text.</w:t>
      </w:r>
    </w:p>
    <w:p>
      <w:pPr>
        <w:pStyle w:val="BodyText"/>
      </w:pPr>
      <w:r>
        <w:t xml:space="preserve">Similar to the analysis of the simulated datasets, pairwise Euclidean distances were calculated using 2 or 3 RPCA axes, Nudge, One, and Zero CLR transformed data, PCA and DeSeq2 transformed raw counts, raw counts, relative abundance data, single subsampling, rarefaction, and based on the first two PCoA axes using Bray-Curtis distances. Pairwise Bray-Curtis distances were calculated using raw counts, relative abundance data, SRS and CSS normalized data, single subsampling, and rarefaction. Pairwise weighted UniFrac distances were calculated using raw counts, SRS, single subsampling, and rarefaction; the calculation of weighted UniFrac distances includes converting raw counts to relative abundances</w:t>
      </w:r>
      <w:r>
        <w:t xml:space="preserve"> </w:t>
      </w:r>
      <w:r>
        <w:t xml:space="preserve">(29)</w:t>
      </w:r>
      <w:r>
        <w:t xml:space="preserv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peculiar since PERMANOVA is not sensitive to unbalanced sampling. When I used all of the samples available and performed the PERMANOVA analysis, the only dataset and methods that did not yield a significant result was for the colorectal cancer dataset using RPCA with 2 or 3 axes (P = 0.09 and 0.06, respectively). A second peculiar choice was to subsample the number of sequences to 1,000 sequences per sample when calculating Bray-Curtis distances but to use all of the sequences with RPCA. They could have increased the number of sequences by more than ten-fold without adversely impacting the number of samples in their analysis (Figure 5). Acceptable thresholds could have been 11,879 sequences for the sleep apnea dataset, 13,755 sequences for the sponge dataset, and 10,439 sequences for the colorectal cancer dataset. Overall, using the higher sequence count thresholds did not drastically alter the results of the analyses; however, it typically resulted in larger PERMANOVA F statistics (Figure 6).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(Figure 7).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significant more frequently. With the exception of Zero CLR and using Euclidean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 Supplementary Text on all three datasets with each of the methods for correcting for uneven sampling effort (Figure 8). Rather than using their strategy of using a fixed number of nearest neighbors, I repeatedly fit the hyperparameter for the number of neighbors (i.e., K) using 80:20 training and testing splits. Overall, using the higher sequence count threshold did not dramatically alter the results of the analyses; however, it typically resulted in higher accuracy to classify samples into the treatment groups for the sleep apnea dataset, which had fewer samples (Figure 6). For the remainder of this analysis, I will describe the results using the larger number of sequences.</w:t>
      </w:r>
    </w:p>
    <w:p>
      <w:pPr>
        <w:pStyle w:val="BodyText"/>
      </w:pPr>
      <w:r>
        <w:t xml:space="preserve">Similar to the PERMANOVA analysis, my KNN classification results largely replicated those observed for the sleep apnea and sponge datasets by Martino.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was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performing method was using raw abundances as input to RPCA with two axes (accuracy = 0.88). With the sleep apnea dataset the CLR-based methods and DeSeq2 transformed data outperformed the RPCA methods, which outperformed the other Euclidean-distance methods; accuracies calculated using KNN with Bray-Curtis distances performed similar to the RPCA-based methods. Finally, with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“RPCA alleviated the clustering by sequencing depth both qualitatively and quantitatively”</w:t>
      </w:r>
      <w:r>
        <w:t xml:space="preserve">. However, in the analysis presented in their Supplementary Materials, the ordinations still showed clustering by sampling depth for RPCA. Furthermore, the Jaccard and Bray-Curtis distances were not calculated using rarefaction or even a single subsampling, which are the typical strategies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(Figure 9). Raw counts, relative abundances, RPCA-based distances, CLR-transformed counts, DeSeq2, and CSS normalized data yielded significant differences between the number of sequences per sample. Those methods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null or true difference between treatment groups in a real dataset cannot be established. The simulation approach described by Martino offered a novel approach to studying the performance of various methods for controlling uneven sampling effort. Unfortunately, as implemented in the original study,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 Since a researcher is unlikely to know the effect size before conducting their analysis, it would be most prudent to select methods with the most power.</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 comparison that made their new method appear considerably better than a method that no one else has used in a published microbiome analysis. Second, they used KNN as a classification tool rather than using logistic regression or random forest. KNN is simply not used for classifying microbiome data. Compounding the problem of using KNN was that they did so based on distances from the first two or three axes of a PCoA using a Bray-Curtis or weighted UniFrac distance matrices rather than directly using the ecological distances themselves. The effect was a loss of information stored in higher dimensions. Even with the limitations of KNN (e.g., requirement of balanced design), the other methods outperformed RPCA.</w:t>
      </w:r>
    </w:p>
    <w:p>
      <w:pPr>
        <w:pStyle w:val="BodyText"/>
      </w:pPr>
      <w:r>
        <w:t xml:space="preserve">There are several limitations inherent in RPCA that would still limit its use even if its performance were better. First, there is no guidance on selecting the number of axes one should use with RPCA. Martino used 2 axes with their simulated and sponges dataset and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“P-hacking”</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those data show that the RPCA ordination also clustered by sequencing depth. Unfortunately, they did not rarefy the Jaccard or Bray-Curtis distances to a common number of sequences as one would do in a real analysis. I replicated this analysis, but with a larger number of sequences per sample using simulated and real datasets, and using a two-factor PERMANOVA analysis. These results (Figure 9)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is that distances are based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“deicode_benchmarking”</w:t>
      </w:r>
      <w:r>
        <w:t xml:space="preserve"> </w:t>
      </w:r>
      <w:r>
        <w:t xml:space="preserve">within repository for the current analysis (https://github.com/SchlossLab/Schloss_RPCA_mSystems_2026).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Martino’s simulation code was written in R as described in the Results section. The code I generated used functions from base R and the tidyverse metapackage. The script that implemented the simulation is available in the repository as workflow/scripts/simulations.R. Similar to Martino’s original Python implementation, the simulation code took as input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Because the trees that were included with the benchmarking repository did not contain all of the sequences contained within the OTU tables, I generated new trees. The OTU identifiers in the count data were the DNA sequences. I aligned the sequences to the NR v138.2 SILVA reference alignment</w:t>
      </w:r>
      <w:r>
        <w:t xml:space="preserve"> </w:t>
      </w:r>
      <w:r>
        <w:t xml:space="preserve">(30, 31)</w:t>
      </w:r>
      <w:r>
        <w:t xml:space="preserve"> </w:t>
      </w:r>
      <w:r>
        <w:t xml:space="preserve">and calculated pairwise distances between sequences</w:t>
      </w:r>
      <w:r>
        <w:t xml:space="preserve"> </w:t>
      </w:r>
      <w:r>
        <w:t xml:space="preserve">(32)</w:t>
      </w:r>
      <w:r>
        <w:t xml:space="preserve">. These distances were used as input to generate traditional neighbor joining trees</w:t>
      </w:r>
      <w:r>
        <w:t xml:space="preserve"> </w:t>
      </w:r>
      <w:r>
        <w:t xml:space="preserve">(33)</w:t>
      </w:r>
      <w:r>
        <w:t xml:space="preserve">. The curated sequence data and metadata for the colorectal cancer dataset were obtained from a previous study where it was referred to as the</w:t>
      </w:r>
      <w:r>
        <w:t xml:space="preserve"> </w:t>
      </w:r>
      <w:r>
        <w:t xml:space="preserve">“Human”</w:t>
      </w:r>
      <w:r>
        <w:t xml:space="preserve"> </w:t>
      </w:r>
      <w:r>
        <w:t xml:space="preserve">dataset</w:t>
      </w:r>
      <w:r>
        <w:t xml:space="preserve"> </w:t>
      </w:r>
      <w:r>
        <w:t xml:space="preserve">(4)</w:t>
      </w:r>
      <w:r>
        <w:t xml:space="preserve">. Those data were generated by obtaining sequence data and metadata from the Sequence Read Archive. The sequence data was processed using the mothur software program</w:t>
      </w:r>
      <w:r>
        <w:t xml:space="preserve"> </w:t>
      </w:r>
      <w:r>
        <w:t xml:space="preserve">(34)</w:t>
      </w:r>
      <w:r>
        <w:t xml:space="preserve">. This included assembling the paired reads that covered the V4 region of the 16S rRNA gene using a quality score-aware method</w:t>
      </w:r>
      <w:r>
        <w:t xml:space="preserve"> </w:t>
      </w:r>
      <w:r>
        <w:t xml:space="preserve">(35)</w:t>
      </w:r>
      <w:r>
        <w:t xml:space="preserve">, aligning the assembled contig to a SILVA reference alignment</w:t>
      </w:r>
      <w:r>
        <w:t xml:space="preserve"> </w:t>
      </w:r>
      <w:r>
        <w:t xml:space="preserve">(30, 31)</w:t>
      </w:r>
      <w:r>
        <w:t xml:space="preserve">, pre-clustering to remove residual sequencing errors</w:t>
      </w:r>
      <w:r>
        <w:t xml:space="preserve"> </w:t>
      </w:r>
      <w:r>
        <w:t xml:space="preserve">(36)</w:t>
      </w:r>
      <w:r>
        <w:t xml:space="preserve"> </w:t>
      </w:r>
      <w:r>
        <w:t xml:space="preserve">chimera checking and removal</w:t>
      </w:r>
      <w:r>
        <w:t xml:space="preserve"> </w:t>
      </w:r>
      <w:r>
        <w:t xml:space="preserve">(37)</w:t>
      </w:r>
      <w:r>
        <w:t xml:space="preserve">, and clustering of sequences into OTUs using the OptiClust algorithm</w:t>
      </w:r>
      <w:r>
        <w:t xml:space="preserve"> </w:t>
      </w:r>
      <w:r>
        <w:t xml:space="preserve">(38)</w:t>
      </w:r>
      <w:r>
        <w:t xml:space="preserve">. OTUs were defined a group of sequences not more than than 3% different from each other. Representative sequences from each OTU were used to generate traditional neighbor joining trees as described for the sponges and sleep apnea datasets.</w:t>
      </w:r>
    </w:p>
    <w:bookmarkEnd w:id="35"/>
    <w:bookmarkStart w:id="36" w:name="X251eeaa0909877cea9d2eb29d6c13b91c9770ed"/>
    <w:p>
      <w:pPr>
        <w:pStyle w:val="Heading3"/>
      </w:pPr>
      <w:r>
        <w:t xml:space="preserve">Distance-based K-nearest neighbor (KNN) classification</w:t>
      </w:r>
    </w:p>
    <w:p>
      <w:pPr>
        <w:pStyle w:val="FirstParagraph"/>
      </w:pPr>
      <w:r>
        <w:t xml:space="preserve">Martino’s KNN classification analysis used the KNeighborsClassifier function from scikit-learn</w:t>
      </w:r>
      <w:r>
        <w:t xml:space="preserve"> </w:t>
      </w:r>
      <w:r>
        <w:t xml:space="preserve">(39)</w:t>
      </w:r>
      <w:r>
        <w:t xml:space="preserve">. Although that function could have taken a pre-computed distance matrix as input in the version of scikit-learn that Martino used (v.0.5.9), they gave the function the ordination results with the desired number of axes. I reimplemented an R-based version of the KNN classification method as workflow/scripts/test_train_knn.R. This method implemented the training-testing framework described by Topcuoglu et al.</w:t>
      </w:r>
      <w:r>
        <w:t xml:space="preserve"> </w:t>
      </w:r>
      <w:r>
        <w:t xml:space="preserve">(28)</w:t>
      </w:r>
      <w:r>
        <w:t xml:space="preserve"> </w:t>
      </w:r>
      <w:r>
        <w:t xml:space="preserve">to fit the number of neighbors hyperparameter (i.e., K). My R script took as input a distance matrix, a design file that assigned samples to treatment groups, the fractions of data to be assigned to the training and testing groups,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RPCA algorithm performed using gemelli (v.0.0.9) with 2, 3, 5, and 9 components</w:t>
      </w:r>
      <w:r>
        <w:t xml:space="preserve"> </w:t>
      </w:r>
      <w:r>
        <w:t xml:space="preserve">(23)</w:t>
      </w:r>
      <w:r>
        <w:t xml:space="preserve">; (iv) Zero CLR, which calculated the center log ratio (CLR) after imputing the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and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Euclidean and Bray-Curtis distance matrices</w:t>
      </w:r>
      <w:r>
        <w:t xml:space="preserve"> </w:t>
      </w:r>
      <w:r>
        <w:t xml:space="preserve">(40, 41)</w:t>
      </w:r>
      <w:r>
        <w:t xml:space="preserve">. Euclidean distances are not typically used in microbiome analyses because they inflate the similarity of communities. However, they are used with CLR transformed data resulting in so-called Aitchison distances. The OptSpace and RPCA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Bray-Curtis distances on those data. Bray-Curtis distances were calculated using raw counts, CSS and SRS normalized counts, relative abundances, and subsampled data using the vegdist function in vegan; rarefaction was performed using vegan’s avgdist function. The mothur package (v.1.48.5) was used to generate weighted UniFrac distances using raw counts, SRS normalized counts, subsampled data, and rarefaction</w:t>
      </w:r>
      <w:r>
        <w:t xml:space="preserve"> </w:t>
      </w:r>
      <w:r>
        <w:t xml:space="preserve">(29)</w:t>
      </w:r>
      <w:r>
        <w:t xml:space="preserve">; the mothur version produced the same distances as those from qiime2 using raw counts, but facilitates the calculation of distances using subsampling and rarefaction. The weighted UniFrac algorithm calculates relative abundances from the inputted counts and is not amenable to non-count data such as CSS normalized counts.</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(40, 42)</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(40)</w:t>
      </w:r>
      <w:r>
        <w:t xml:space="preserve"> </w:t>
      </w:r>
      <w:r>
        <w:t xml:space="preserve">to test the model, Distance ~ Treatment + Sequencing Depth + Treatment x Sequencing Depth. Although this model tested for a treatment effect, it’s P-value was biased downward. This was because every sample was artificially duplicated, which made each treatment look more similar to itself than it really was, leading to reduced the intra-treatment variation. The result was a larger F statistic and smaller P-value for the treatment effect. My analysis of this simulation only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https://github.com/SchlossLab/Schloss_RPCA_mSystems_2026.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quarto (v.1.4.550), and reticulate (v.1.43.0).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 No generative artificial intelligence tools were intentionally used in this study or in the preparation of this manuscript.</w:t>
      </w:r>
    </w:p>
    <w:p>
      <w:r>
        <w:br w:type="page"/>
      </w:r>
    </w:p>
    <w:bookmarkEnd w:id="43"/>
    <w:bookmarkStart w:id="128" w:name="references"/>
    <w:p>
      <w:pPr>
        <w:pStyle w:val="Heading2"/>
      </w:pPr>
      <w:r>
        <w:t xml:space="preserve">References</w:t>
      </w:r>
    </w:p>
    <w:bookmarkStart w:id="127"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Lozupone2007"/>
    <w:p>
      <w:pPr>
        <w:pStyle w:val="Bibliography"/>
      </w:pPr>
      <w:r>
        <w:t xml:space="preserve">29.</w:t>
      </w:r>
      <w:r>
        <w:t xml:space="preserve"> </w:t>
      </w:r>
      <w:r>
        <w:t xml:space="preserve">	</w:t>
      </w:r>
      <w:r>
        <w:rPr>
          <w:b/>
          <w:bCs/>
        </w:rPr>
        <w:t xml:space="preserve">Lozupone CA</w:t>
      </w:r>
      <w:r>
        <w:t xml:space="preserve">,</w:t>
      </w:r>
      <w:r>
        <w:t xml:space="preserve"> </w:t>
      </w:r>
      <w:r>
        <w:rPr>
          <w:b/>
          <w:bCs/>
        </w:rPr>
        <w:t xml:space="preserve">Hamady M</w:t>
      </w:r>
      <w:r>
        <w:t xml:space="preserve">,</w:t>
      </w:r>
      <w:r>
        <w:t xml:space="preserve"> </w:t>
      </w:r>
      <w:r>
        <w:rPr>
          <w:b/>
          <w:bCs/>
        </w:rPr>
        <w:t xml:space="preserve">Kelley ST</w:t>
      </w:r>
      <w:r>
        <w:t xml:space="preserve">,</w:t>
      </w:r>
      <w:r>
        <w:t xml:space="preserve"> </w:t>
      </w:r>
      <w:r>
        <w:rPr>
          <w:b/>
          <w:bCs/>
        </w:rPr>
        <w:t xml:space="preserve">Knight R</w:t>
      </w:r>
      <w:r>
        <w:t xml:space="preserve">. 2007. Quantitative and qualitative beta diversity measures lead to different insights into factors that structure microbial communities. Applied and Environmental Microbiology</w:t>
      </w:r>
      <w:r>
        <w:t xml:space="preserve"> </w:t>
      </w:r>
      <w:r>
        <w:rPr>
          <w:b/>
          <w:bCs/>
        </w:rPr>
        <w:t xml:space="preserve">73</w:t>
      </w:r>
      <w:r>
        <w:t xml:space="preserve">:1576–1585. doi:</w:t>
      </w:r>
      <w:hyperlink r:id="rId100">
        <w:r>
          <w:rPr>
            <w:rStyle w:val="Hyperlink"/>
          </w:rPr>
          <w:t xml:space="preserve">10.1128/aem.01996-06</w:t>
        </w:r>
      </w:hyperlink>
      <w:r>
        <w:t xml:space="preserve">.</w:t>
      </w:r>
    </w:p>
    <w:bookmarkEnd w:id="101"/>
    <w:bookmarkStart w:id="103" w:name="ref-Schloss2009b"/>
    <w:p>
      <w:pPr>
        <w:pStyle w:val="Bibliography"/>
      </w:pPr>
      <w:r>
        <w:t xml:space="preserve">30.</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2">
        <w:r>
          <w:rPr>
            <w:rStyle w:val="Hyperlink"/>
          </w:rPr>
          <w:t xml:space="preserve">10.1371/journal.pone.0008230</w:t>
        </w:r>
      </w:hyperlink>
      <w:r>
        <w:t xml:space="preserve">.</w:t>
      </w:r>
    </w:p>
    <w:bookmarkEnd w:id="103"/>
    <w:bookmarkStart w:id="105" w:name="ref-Pruesse2007"/>
    <w:p>
      <w:pPr>
        <w:pStyle w:val="Bibliography"/>
      </w:pPr>
      <w:r>
        <w:t xml:space="preserve">31.</w:t>
      </w:r>
      <w:r>
        <w:t xml:space="preserve"> </w:t>
      </w:r>
      <w:r>
        <w:t xml:space="preserve">	</w:t>
      </w:r>
      <w:r>
        <w:rPr>
          <w:b/>
          <w:bCs/>
        </w:rPr>
        <w:t xml:space="preserve">Pruesse E</w:t>
      </w:r>
      <w:r>
        <w:t xml:space="preserve">,</w:t>
      </w:r>
      <w:r>
        <w:t xml:space="preserve"> </w:t>
      </w:r>
      <w:r>
        <w:rPr>
          <w:b/>
          <w:bCs/>
        </w:rPr>
        <w:t xml:space="preserve">Quast C</w:t>
      </w:r>
      <w:r>
        <w:t xml:space="preserve">,</w:t>
      </w:r>
      <w:r>
        <w:t xml:space="preserve"> </w:t>
      </w:r>
      <w:r>
        <w:rPr>
          <w:b/>
          <w:bCs/>
        </w:rPr>
        <w:t xml:space="preserve">Knittel K</w:t>
      </w:r>
      <w:r>
        <w:t xml:space="preserve">,</w:t>
      </w:r>
      <w:r>
        <w:t xml:space="preserve"> </w:t>
      </w:r>
      <w:r>
        <w:rPr>
          <w:b/>
          <w:bCs/>
        </w:rPr>
        <w:t xml:space="preserve">Fuchs BM</w:t>
      </w:r>
      <w:r>
        <w:t xml:space="preserve">,</w:t>
      </w:r>
      <w:r>
        <w:t xml:space="preserve"> </w:t>
      </w:r>
      <w:r>
        <w:rPr>
          <w:b/>
          <w:bCs/>
        </w:rPr>
        <w:t xml:space="preserve">Ludwig W</w:t>
      </w:r>
      <w:r>
        <w:t xml:space="preserve">,</w:t>
      </w:r>
      <w:r>
        <w:t xml:space="preserve"> </w:t>
      </w:r>
      <w:r>
        <w:rPr>
          <w:b/>
          <w:bCs/>
        </w:rPr>
        <w:t xml:space="preserve">Peplies J</w:t>
      </w:r>
      <w:r>
        <w:t xml:space="preserve">,</w:t>
      </w:r>
      <w:r>
        <w:t xml:space="preserve"> </w:t>
      </w:r>
      <w:r>
        <w:rPr>
          <w:b/>
          <w:bCs/>
        </w:rPr>
        <w:t xml:space="preserve">Glockner FO</w:t>
      </w:r>
      <w:r>
        <w:t xml:space="preserve">. 2007. SILVA: A comprehensive online resource for quality checked and aligned ribosomal RNA sequence data compatible with ARB. Nucleic Acids Research</w:t>
      </w:r>
      <w:r>
        <w:t xml:space="preserve"> </w:t>
      </w:r>
      <w:r>
        <w:rPr>
          <w:b/>
          <w:bCs/>
        </w:rPr>
        <w:t xml:space="preserve">35</w:t>
      </w:r>
      <w:r>
        <w:t xml:space="preserve">:7188–7196. doi:</w:t>
      </w:r>
      <w:hyperlink r:id="rId104">
        <w:r>
          <w:rPr>
            <w:rStyle w:val="Hyperlink"/>
          </w:rPr>
          <w:t xml:space="preserve">10.1093/nar/gkm864</w:t>
        </w:r>
      </w:hyperlink>
      <w:r>
        <w:t xml:space="preserve">.</w:t>
      </w:r>
    </w:p>
    <w:bookmarkEnd w:id="105"/>
    <w:bookmarkStart w:id="107" w:name="ref-Schloss2010"/>
    <w:p>
      <w:pPr>
        <w:pStyle w:val="Bibliography"/>
      </w:pPr>
      <w:r>
        <w:t xml:space="preserve">32.</w:t>
      </w:r>
      <w:r>
        <w:t xml:space="preserve"> </w:t>
      </w:r>
      <w:r>
        <w:t xml:space="preserve">	</w:t>
      </w:r>
      <w:r>
        <w:rPr>
          <w:b/>
          <w:bCs/>
        </w:rPr>
        <w:t xml:space="preserve">Schloss PD</w:t>
      </w:r>
      <w:r>
        <w:t xml:space="preserve">. 2010. The effects of alignment quality, distance calculation method, sequence filtering, and region on the analysis of 16S rRNA gene-based studies. PLoS Computational Biology</w:t>
      </w:r>
      <w:r>
        <w:t xml:space="preserve"> </w:t>
      </w:r>
      <w:r>
        <w:rPr>
          <w:b/>
          <w:bCs/>
        </w:rPr>
        <w:t xml:space="preserve">6</w:t>
      </w:r>
      <w:r>
        <w:t xml:space="preserve">:e1000844. doi:</w:t>
      </w:r>
      <w:hyperlink r:id="rId106">
        <w:r>
          <w:rPr>
            <w:rStyle w:val="Hyperlink"/>
          </w:rPr>
          <w:t xml:space="preserve">10.1371/journal.pcbi.1000844</w:t>
        </w:r>
      </w:hyperlink>
      <w:r>
        <w:t xml:space="preserve">.</w:t>
      </w:r>
    </w:p>
    <w:bookmarkEnd w:id="107"/>
    <w:bookmarkStart w:id="109" w:name="ref-Sheneman2006"/>
    <w:p>
      <w:pPr>
        <w:pStyle w:val="Bibliography"/>
      </w:pPr>
      <w:r>
        <w:t xml:space="preserve">33.</w:t>
      </w:r>
      <w:r>
        <w:t xml:space="preserve"> </w:t>
      </w:r>
      <w:r>
        <w:t xml:space="preserve">	</w:t>
      </w:r>
      <w:r>
        <w:rPr>
          <w:b/>
          <w:bCs/>
        </w:rPr>
        <w:t xml:space="preserve">Sheneman L</w:t>
      </w:r>
      <w:r>
        <w:t xml:space="preserve">,</w:t>
      </w:r>
      <w:r>
        <w:t xml:space="preserve"> </w:t>
      </w:r>
      <w:r>
        <w:rPr>
          <w:b/>
          <w:bCs/>
        </w:rPr>
        <w:t xml:space="preserve">Evans J</w:t>
      </w:r>
      <w:r>
        <w:t xml:space="preserve">,</w:t>
      </w:r>
      <w:r>
        <w:t xml:space="preserve"> </w:t>
      </w:r>
      <w:r>
        <w:rPr>
          <w:b/>
          <w:bCs/>
        </w:rPr>
        <w:t xml:space="preserve">Foster JA</w:t>
      </w:r>
      <w:r>
        <w:t xml:space="preserve">. 2006. Clearcut: A fast implementation of relaxed neighbor joining. Bioinformatics</w:t>
      </w:r>
      <w:r>
        <w:t xml:space="preserve"> </w:t>
      </w:r>
      <w:r>
        <w:rPr>
          <w:b/>
          <w:bCs/>
        </w:rPr>
        <w:t xml:space="preserve">22</w:t>
      </w:r>
      <w:r>
        <w:t xml:space="preserve">:2823–2824. doi:</w:t>
      </w:r>
      <w:hyperlink r:id="rId108">
        <w:r>
          <w:rPr>
            <w:rStyle w:val="Hyperlink"/>
          </w:rPr>
          <w:t xml:space="preserve">10.1093/bioinformatics/btl478</w:t>
        </w:r>
      </w:hyperlink>
      <w:r>
        <w:t xml:space="preserve">.</w:t>
      </w:r>
    </w:p>
    <w:bookmarkEnd w:id="109"/>
    <w:bookmarkStart w:id="111" w:name="ref-Schloss2009a"/>
    <w:p>
      <w:pPr>
        <w:pStyle w:val="Bibliography"/>
      </w:pPr>
      <w:r>
        <w:t xml:space="preserve">34.</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10">
        <w:r>
          <w:rPr>
            <w:rStyle w:val="Hyperlink"/>
          </w:rPr>
          <w:t xml:space="preserve">10.1128/aem.01541-09</w:t>
        </w:r>
      </w:hyperlink>
      <w:r>
        <w:t xml:space="preserve">.</w:t>
      </w:r>
    </w:p>
    <w:bookmarkEnd w:id="111"/>
    <w:bookmarkStart w:id="113" w:name="ref-Kozich2013"/>
    <w:p>
      <w:pPr>
        <w:pStyle w:val="Bibliography"/>
      </w:pPr>
      <w:r>
        <w:t xml:space="preserve">35.</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12">
        <w:r>
          <w:rPr>
            <w:rStyle w:val="Hyperlink"/>
          </w:rPr>
          <w:t xml:space="preserve">10.1128/aem.01043-13</w:t>
        </w:r>
      </w:hyperlink>
      <w:r>
        <w:t xml:space="preserve">.</w:t>
      </w:r>
    </w:p>
    <w:bookmarkEnd w:id="113"/>
    <w:bookmarkStart w:id="115" w:name="ref-Schloss2011"/>
    <w:p>
      <w:pPr>
        <w:pStyle w:val="Bibliography"/>
      </w:pPr>
      <w:r>
        <w:t xml:space="preserve">36.</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14">
        <w:r>
          <w:rPr>
            <w:rStyle w:val="Hyperlink"/>
          </w:rPr>
          <w:t xml:space="preserve">10.1371/journal.pone.0027310</w:t>
        </w:r>
      </w:hyperlink>
      <w:r>
        <w:t xml:space="preserve">.</w:t>
      </w:r>
    </w:p>
    <w:bookmarkEnd w:id="115"/>
    <w:bookmarkStart w:id="117" w:name="ref-Edgar2011"/>
    <w:p>
      <w:pPr>
        <w:pStyle w:val="Bibliography"/>
      </w:pPr>
      <w:r>
        <w:t xml:space="preserve">37.</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16">
        <w:r>
          <w:rPr>
            <w:rStyle w:val="Hyperlink"/>
          </w:rPr>
          <w:t xml:space="preserve">10.1093/bioinformatics/btr381</w:t>
        </w:r>
      </w:hyperlink>
      <w:r>
        <w:t xml:space="preserve">.</w:t>
      </w:r>
    </w:p>
    <w:bookmarkEnd w:id="117"/>
    <w:bookmarkStart w:id="119" w:name="ref-Westcott2017"/>
    <w:p>
      <w:pPr>
        <w:pStyle w:val="Bibliography"/>
      </w:pPr>
      <w:r>
        <w:t xml:space="preserve">38.</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8">
        <w:r>
          <w:rPr>
            <w:rStyle w:val="Hyperlink"/>
          </w:rPr>
          <w:t xml:space="preserve">10.1128/mspheredirect.00073-17</w:t>
        </w:r>
      </w:hyperlink>
      <w:r>
        <w:t xml:space="preserve">.</w:t>
      </w:r>
    </w:p>
    <w:bookmarkEnd w:id="119"/>
    <w:bookmarkStart w:id="120" w:name="ref-Pedregosa2011"/>
    <w:p>
      <w:pPr>
        <w:pStyle w:val="Bibliography"/>
      </w:pPr>
      <w:r>
        <w:t xml:space="preserve">39.</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20"/>
    <w:bookmarkStart w:id="122" w:name="ref-Dixon2003"/>
    <w:p>
      <w:pPr>
        <w:pStyle w:val="Bibliography"/>
      </w:pPr>
      <w:r>
        <w:t xml:space="preserve">40.</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21">
        <w:r>
          <w:rPr>
            <w:rStyle w:val="Hyperlink"/>
          </w:rPr>
          <w:t xml:space="preserve">10.1111/j.1654-1103.2003.tb02228.x</w:t>
        </w:r>
      </w:hyperlink>
      <w:r>
        <w:t xml:space="preserve">.</w:t>
      </w:r>
    </w:p>
    <w:bookmarkEnd w:id="122"/>
    <w:bookmarkStart w:id="124" w:name="ref-Magurran2004"/>
    <w:p>
      <w:pPr>
        <w:pStyle w:val="Bibliography"/>
      </w:pPr>
      <w:r>
        <w:t xml:space="preserve">41.</w:t>
      </w:r>
      <w:r>
        <w:t xml:space="preserve"> </w:t>
      </w:r>
      <w:r>
        <w:t xml:space="preserve">	</w:t>
      </w:r>
      <w:r>
        <w:rPr>
          <w:b/>
          <w:bCs/>
        </w:rPr>
        <w:t xml:space="preserve">Magurran AE</w:t>
      </w:r>
      <w:r>
        <w:t xml:space="preserve">. 2004.</w:t>
      </w:r>
      <w:r>
        <w:t xml:space="preserve"> </w:t>
      </w:r>
      <w:hyperlink r:id="rId123">
        <w:r>
          <w:rPr>
            <w:rStyle w:val="Hyperlink"/>
          </w:rPr>
          <w:t xml:space="preserve">Measuring biological diversity</w:t>
        </w:r>
      </w:hyperlink>
      <w:r>
        <w:t xml:space="preserve">. Wiley.</w:t>
      </w:r>
    </w:p>
    <w:bookmarkEnd w:id="124"/>
    <w:bookmarkStart w:id="126" w:name="ref-Anderson2001"/>
    <w:p>
      <w:pPr>
        <w:pStyle w:val="Bibliography"/>
      </w:pPr>
      <w:r>
        <w:t xml:space="preserve">42.</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25">
        <w:r>
          <w:rPr>
            <w:rStyle w:val="Hyperlink"/>
          </w:rPr>
          <w:t xml:space="preserve">10.1111/j.1442-9993.2001.01070.pp.x</w:t>
        </w:r>
      </w:hyperlink>
      <w:r>
        <w:t xml:space="preserve">.</w:t>
      </w:r>
    </w:p>
    <w:bookmarkEnd w:id="126"/>
    <w:bookmarkEnd w:id="127"/>
    <w:p>
      <w:r>
        <w:br w:type="page"/>
      </w:r>
    </w:p>
    <w:p>
      <w:pPr>
        <w:pStyle w:val="BodyText"/>
      </w:pPr>
      <w:r>
        <w:rPr>
          <w:b/>
          <w:bCs/>
        </w:rPr>
        <w:t xml:space="preserve">Figure 1. Rerunning the original Martino code in my computational environment produced qualitatively similar heatmaps (A) and ordination diagrams (B) to what they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“Overlap”</w:t>
      </w:r>
      <w:r>
        <w:t xml:space="preserve">). The red and blue bars on the left edge of the heatmaps in panel A indicate the treatment group that each sample belonged to. The heatmaps display the One CLR transformation of sequence counts. The PCoA diagrams in panel B were generated using Bray-Curtis distances. The numbers on the axes of each ordination diagram indicate the percent of the total variation that each axis explained.</w:t>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pPr>
        <w:pStyle w:val="BodyText"/>
      </w:pPr>
      <w:r>
        <w:rPr>
          <w:b/>
          <w:bCs/>
        </w:rPr>
        <w:t xml:space="preserve">Figure 3. Heatmaps (A) and ordinations (B)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in the heatmaps of panel A.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(P=0.50) using Bray-Curtis distances and significant for the positive control (P=0.001) and non-significant for the overlap dataset (P=0.11) and negative (P=0.49) control using RPCA.</w:t>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colorectal cancer dataset.</w:t>
      </w:r>
    </w:p>
    <w:p>
      <w:pPr>
        <w:pStyle w:val="BodyText"/>
      </w:pPr>
      <w:r>
        <w:rPr>
          <w:b/>
          <w:bCs/>
        </w:rPr>
        <w:t xml:space="preserve">Figure 6. Increasing the minimum number of sequences per sample from 1,000 to more than 10,000 resulted in larger PERMANOVA F statistics and KNN accuracies.</w:t>
      </w:r>
      <w:r>
        <w:t xml:space="preserve"> </w:t>
      </w:r>
      <w:r>
        <w:t xml:space="preserve">Calculation of the difference in F statistic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colorectal cancer dataset. Because 10 iterations of the sample subsampling were performed we measured the difference in accuracy for each iteration. Each point represents the median difference and the confidence intervals represent the range. The vertical gray lines indicate where the F statistic or accuracy was not different between using 1,000 sequences and the number of sequences indicated for that dataset in the legend.</w:t>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numbers in each tile indicate the number of subsamplings that yielded a P-value less than 0.05. The blue tiles without numbers indicate those conditions where all 10 subsamplings yielded a significant result.</w:t>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White cells without a number had no falsely significant P-values. Data are not provided for the simulations analyzed with Weighted UniFrac distances since there were no trees. Synthetic versions of each dataset were generated where each sample was subsampled to 5,000 and 10,000 sequences, combined, processed, and analyzed by a two-factor PERMANOVA. Each simulation was repeated 10 times.</w:t>
      </w:r>
    </w:p>
    <w:bookmarkEnd w:id="128"/>
    <w:bookmarkStart w:id="129" w:name="supplemental-figures"/>
    <w:p>
      <w:pPr>
        <w:pStyle w:val="Heading2"/>
      </w:pPr>
      <w:r>
        <w:t xml:space="preserve">Supplemental Figures</w:t>
      </w:r>
    </w:p>
    <w:p>
      <w:pPr>
        <w:pStyle w:val="FirstParagraph"/>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p>
      <w:pPr>
        <w:pStyle w:val="BodyText"/>
      </w:pPr>
      <w:r>
        <w:rPr>
          <w:b/>
          <w:bCs/>
        </w:rPr>
        <w:t xml:space="preserve">Figure S2.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www.jstor.org/stable/2400321" TargetMode="External" /><Relationship Type="http://schemas.openxmlformats.org/officeDocument/2006/relationships/hyperlink" Id="rId123"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l478" TargetMode="External" /><Relationship Type="http://schemas.openxmlformats.org/officeDocument/2006/relationships/hyperlink" Id="rId116"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4" Target="https://doi.org/10.1093/nar/gkm864" TargetMode="External" /><Relationship Type="http://schemas.openxmlformats.org/officeDocument/2006/relationships/hyperlink" Id="rId125" Target="https://doi.org/10.1111/j.1442-9993.2001.01070.pp.x" TargetMode="External" /><Relationship Type="http://schemas.openxmlformats.org/officeDocument/2006/relationships/hyperlink" Id="rId121" Target="https://doi.org/10.1111/j.1654-1103.2003.tb02228.x" TargetMode="External" /><Relationship Type="http://schemas.openxmlformats.org/officeDocument/2006/relationships/hyperlink" Id="rId112" Target="https://doi.org/10.1128/aem.01043-13" TargetMode="External" /><Relationship Type="http://schemas.openxmlformats.org/officeDocument/2006/relationships/hyperlink" Id="rId110" Target="https://doi.org/10.1128/aem.01541-09" TargetMode="External" /><Relationship Type="http://schemas.openxmlformats.org/officeDocument/2006/relationships/hyperlink" Id="rId100" Target="https://doi.org/10.1128/aem.01996-06"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8"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6"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2" Target="https://doi.org/10.1371/journal.pone.0008230" TargetMode="External" /><Relationship Type="http://schemas.openxmlformats.org/officeDocument/2006/relationships/hyperlink" Id="rId114"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23"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l478" TargetMode="External" /><Relationship Type="http://schemas.openxmlformats.org/officeDocument/2006/relationships/hyperlink" Id="rId116"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4" Target="https://doi.org/10.1093/nar/gkm864" TargetMode="External" /><Relationship Type="http://schemas.openxmlformats.org/officeDocument/2006/relationships/hyperlink" Id="rId125" Target="https://doi.org/10.1111/j.1442-9993.2001.01070.pp.x" TargetMode="External" /><Relationship Type="http://schemas.openxmlformats.org/officeDocument/2006/relationships/hyperlink" Id="rId121" Target="https://doi.org/10.1111/j.1654-1103.2003.tb02228.x" TargetMode="External" /><Relationship Type="http://schemas.openxmlformats.org/officeDocument/2006/relationships/hyperlink" Id="rId112" Target="https://doi.org/10.1128/aem.01043-13" TargetMode="External" /><Relationship Type="http://schemas.openxmlformats.org/officeDocument/2006/relationships/hyperlink" Id="rId110" Target="https://doi.org/10.1128/aem.01541-09" TargetMode="External" /><Relationship Type="http://schemas.openxmlformats.org/officeDocument/2006/relationships/hyperlink" Id="rId100" Target="https://doi.org/10.1128/aem.01996-06"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8"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6"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2" Target="https://doi.org/10.1371/journal.pone.0008230" TargetMode="External" /><Relationship Type="http://schemas.openxmlformats.org/officeDocument/2006/relationships/hyperlink" Id="rId114"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2026-07-16T18:20:13Z</dcterms:created>
  <dcterms:modified xsi:type="dcterms:W3CDTF">2026-07-16T18:20:13Z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