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43.png" ContentType="image/png"/>
  <Override PartName="/word/media/rId49.png" ContentType="image/png"/>
  <Override PartName="/word/media/rId40.png" ContentType="image/png"/>
  <Override PartName="/word/media/rId46.png" ContentType="image/png"/>
  <Override PartName="/word/media/rId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Martino made a git-based repository available on GitHub that includes the actual benchmarking code written in Python and the data used in their analysis (https://github.com/cameronmartino/deicode-benchmarking); the code and data from that repository are included in the repository for the current analysis (https://github.com/SchlossLab/Schloss_RPCA_XXXXXX_2024). To maintain a connection to the original simulations and implement a broader set of tests, several changes were necessary in the implementation of Martino’s code. First, because one goal of this study was to assess the impact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considered the positive and negative controls with 4,000 sequences, my implementation of their simulations and subsequent tests incorporated the sequencing depths of 1,000, 2,000, and 10,000 that were used in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expected, the mean accuracy for classifying the treatment groups in the negative control model across each depth, transformation, and distance calculation was 0.50 (sd = 0.0085). Furthermore, the mean accuracy for classifying samples in the positive control was 0.99 (sd = 0.0086).</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33.00 (IQR=21.00 to 41.00). When I instead performed 1,000 80-20 splits on the full and training datasets, the median optimal number of neighbors was 58.00 (IQR=42.00 to 65.00).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it was not possible to easily differentiate between the methods, I created treatment groups that were more similar than those simulated by Martino. Unfortunately, in the process of modifying their code, I identified a number of incongruities between Martino’s written description and their code that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 study that used a murine model of sleep apnea where mice were given air or intermittent hypoxia and hypercapnia (IHH) [</w:t>
      </w:r>
      <w:r>
        <w:rPr>
          <w:b/>
          <w:bCs/>
        </w:rPr>
        <w:t xml:space="preserve">XXXXX</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for both studies were relatively large and could easily be differentiated by the first two PCoA axes. Similar to the results from the simulations, I wondered whether a difference was observed between the methods when there was a smaller effect size and when there was better control for differences in effect sizes. Therefore, I added a third dataset from a study that explored associations between the microbiome and colorectal cancer [</w:t>
      </w:r>
      <w:r>
        <w:rPr>
          <w:b/>
          <w:bCs/>
        </w:rPr>
        <w:t xml:space="preserve">XXXXX</w:t>
      </w:r>
      <w:r>
        <w:t xml:space="preserve">]. The differences between the two treatment groups were not so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they provided in their GitHub repository, I discovered several problems in the analysis that Martino and colleagues performed with the case study data.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performing 9 rather than 10 random subsamples of the datasets when generating balanced designs;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details to these problems are described in the</w:t>
      </w:r>
      <w:r>
        <w:t xml:space="preserve"> </w:t>
      </w:r>
      <w:r>
        <w:rPr>
          <w:b/>
          <w:bCs/>
        </w:rPr>
        <w:t xml:space="preserve">Supplementary Text</w:t>
      </w:r>
      <w:r>
        <w:t xml:space="preserve">. The following analyses uese the solutions that are described in that text.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performed PERMANOVA to test whether the average beta-diversity was significantly different between the two treatment groups within each of the three case studies. In separate analyses, each sample was either subsampled to 1,000 sequences or to a higher threshold based on the identification of natural breaks in the data (</w:t>
      </w:r>
      <w:r>
        <w:rPr>
          <w:b/>
          <w:bCs/>
        </w:rPr>
        <w:t xml:space="preserve">Figure 5</w:t>
      </w:r>
      <w:r>
        <w:t xml:space="preserve">). These were 11879 sequences for the sleep apnea dataset, 13755 sequences for the sponges dataset, and 10439 sequences for the CRC dataset. Pairwise euclidean distances were calculated based on using 2 or 3 RPCA axes, Nudge, One, and Zero CLR transformed data,</w:t>
      </w:r>
      <w:r>
        <w:t xml:space="preserve"> </w:t>
      </w:r>
      <w:r>
        <w:rPr>
          <w:b/>
          <w:bCs/>
        </w:rPr>
        <w:t xml:space="preserve">OptSpace</w:t>
      </w:r>
      <w:r>
        <w:t xml:space="preserve"> </w:t>
      </w:r>
      <w:r>
        <w:t xml:space="preserve">and DeSeq2 transformed data, raw counts, relative abundance data, a single subsampling, with rarefaction, and based on the first two PCoA axes using Bray-Curtis distances. Pairwise Bray-Curtis distances were calcualted using raw counts, relative abundance data, SRS and CSS normalized data, a single subsampling, and with rarefaction.</w:t>
      </w:r>
    </w:p>
    <w:p>
      <w:pPr>
        <w:numPr>
          <w:ilvl w:val="0"/>
          <w:numId w:val="1001"/>
        </w:numPr>
      </w:pPr>
      <w:r>
        <w:t xml:space="preserve">RPCA was compared to Bray-Curtis and weighted UniFrac distances</w:t>
      </w:r>
      <w:r>
        <w:t xml:space="preserve"> </w:t>
      </w:r>
      <w:r>
        <w:t xml:space="preserve">Analysis compared F statistics, which again are flawed, since so much noise was removed</w:t>
      </w:r>
    </w:p>
    <w:p>
      <w:pPr>
        <w:pStyle w:val="Compact"/>
        <w:numPr>
          <w:ilvl w:val="1"/>
          <w:numId w:val="1002"/>
        </w:numPr>
      </w:pPr>
      <w:r>
        <w:t xml:space="preserve">Sleep Apnea data analysis used three axes rather than two like the Sponge dataset</w:t>
      </w:r>
    </w:p>
    <w:p>
      <w:pPr>
        <w:numPr>
          <w:ilvl w:val="0"/>
          <w:numId w:val="1001"/>
        </w:numPr>
      </w:pPr>
      <w:r>
        <w:t xml:space="preserve">RPCA not able to detect differences in CRC dataset</w:t>
      </w:r>
    </w:p>
    <w:p>
      <w:pPr>
        <w:pStyle w:val="Compact"/>
        <w:numPr>
          <w:ilvl w:val="1"/>
          <w:numId w:val="1003"/>
        </w:numPr>
      </w:pPr>
      <w:r>
        <w:t xml:space="preserve">For BC and wU, euclidean distances were calculated from first two PCoA axes and used as input to PERMANOVA</w:t>
      </w:r>
    </w:p>
    <w:p>
      <w:pPr>
        <w:pStyle w:val="Compact"/>
        <w:numPr>
          <w:ilvl w:val="1"/>
          <w:numId w:val="1003"/>
        </w:numPr>
      </w:pPr>
      <w:r>
        <w:t xml:space="preserve">when using RPCA all of the sequences in each sample were used but only 1,000 sequences per sample were used with the Bray-Curtis and weighted UniFrac distances (</w:t>
      </w:r>
      <w:r>
        <w:rPr>
          <w:b/>
          <w:bCs/>
        </w:rPr>
        <w:t xml:space="preserve">Supplementary Text</w:t>
      </w:r>
      <w:r>
        <w:t xml:space="preserve">).</w:t>
      </w:r>
    </w:p>
    <w:bookmarkEnd w:id="28"/>
    <w:bookmarkStart w:id="29" w:name="X89329465b068f28d56d02a6771da4ca182cbd3e"/>
    <w:p>
      <w:pPr>
        <w:pStyle w:val="Heading3"/>
      </w:pPr>
      <w:r>
        <w:t xml:space="preserve">KNN classification of case study datasets</w:t>
      </w:r>
    </w:p>
    <w:p>
      <w:pPr>
        <w:pStyle w:val="Compact"/>
        <w:numPr>
          <w:ilvl w:val="0"/>
          <w:numId w:val="1004"/>
        </w:numPr>
      </w:pPr>
      <w:r>
        <w:t xml:space="preserve">Used 1st 2 axes of PCoA of Bray-Curtis distances to calculate euclidean distances, which were then fed into kNN. Why not use the original Bray-Curtis distance matrix?</w:t>
      </w:r>
      <w:r>
        <w:t xml:space="preserve"> </w:t>
      </w:r>
    </w:p>
    <w:p>
      <w:pPr>
        <w:pStyle w:val="Compact"/>
        <w:numPr>
          <w:ilvl w:val="0"/>
          <w:numId w:val="1004"/>
        </w:numPr>
      </w:pPr>
      <w:r>
        <w:t xml:space="preserve">I rewrote knn algorithm to use any distance matrix and to use 100 x 80:20 splits with search for optimal k value</w:t>
      </w:r>
    </w:p>
    <w:p>
      <w:pPr>
        <w:pStyle w:val="Compact"/>
        <w:numPr>
          <w:ilvl w:val="0"/>
          <w:numId w:val="1004"/>
        </w:numPr>
      </w:pPr>
      <w:r>
        <w:t xml:space="preserve">Bray-Curtis was similar to better than RPCA for each dataset; other compositional methods performed at least as well as RPCA and better than Bray-Curtis for Sleep Apnea dataset</w:t>
      </w:r>
    </w:p>
    <w:bookmarkEnd w:id="29"/>
    <w:bookmarkStart w:id="30" w:name="Xf0954c2286c6531201863608c794bbea5b44ece"/>
    <w:p>
      <w:pPr>
        <w:pStyle w:val="Heading3"/>
      </w:pPr>
      <w:r>
        <w:t xml:space="preserve">Sampling depth experiment with simulated and experimental data</w:t>
      </w:r>
    </w:p>
    <w:p>
      <w:pPr>
        <w:pStyle w:val="Compact"/>
        <w:numPr>
          <w:ilvl w:val="0"/>
          <w:numId w:val="1005"/>
        </w:numPr>
      </w:pPr>
      <w:r>
        <w:t xml:space="preserve">Buried in M&amp;M was the description of an analysis and its results where Martino et al. compared the clustering of samples in an ordination where samples were duplicated and subsampled to 500 and 100 sequences per sample. They calculated distances using Jaccard, Bray-Curtis, and RPCA. They found that</w:t>
      </w:r>
      <w:r>
        <w:t xml:space="preserve"> </w:t>
      </w:r>
      <w:r>
        <w:t xml:space="preserve">“</w:t>
      </w:r>
      <w:r>
        <w:t xml:space="preserve">RPCA alleviated the clustering by sequencing depth both qualitatively and quantitatively</w:t>
      </w:r>
      <w:r>
        <w:t xml:space="preserve">”</w:t>
      </w:r>
    </w:p>
    <w:p>
      <w:pPr>
        <w:pStyle w:val="Compact"/>
        <w:numPr>
          <w:ilvl w:val="1"/>
          <w:numId w:val="1006"/>
        </w:numPr>
      </w:pPr>
      <w:r>
        <w:t xml:space="preserve">The ordinations still showed clustering by sampling depth</w:t>
      </w:r>
    </w:p>
    <w:p>
      <w:pPr>
        <w:pStyle w:val="Compact"/>
        <w:numPr>
          <w:ilvl w:val="1"/>
          <w:numId w:val="1006"/>
        </w:numPr>
      </w:pPr>
      <w:r>
        <w:t xml:space="preserve">The Jaccard and Bray-Curtis distances were not calculated using rarefaction.</w:t>
      </w:r>
    </w:p>
    <w:p>
      <w:pPr>
        <w:pStyle w:val="Compact"/>
        <w:numPr>
          <w:ilvl w:val="0"/>
          <w:numId w:val="1005"/>
        </w:numPr>
      </w:pPr>
      <w:r>
        <w:t xml:space="preserve">Repeated analysis withe the simulated and experimental data by using 5000 and 10000 sequences per sample</w:t>
      </w:r>
    </w:p>
    <w:p>
      <w:pPr>
        <w:pStyle w:val="Compact"/>
        <w:numPr>
          <w:ilvl w:val="0"/>
          <w:numId w:val="1005"/>
        </w:numPr>
      </w:pPr>
      <w:r>
        <w:t xml:space="preserve">Analyzed distances usign PERMANOVA accounting for sampling depth -&gt; Rarefaction was only method that could reliably control for the uneven sampling effort</w:t>
      </w:r>
    </w:p>
    <w:bookmarkEnd w:id="30"/>
    <w:bookmarkEnd w:id="31"/>
    <w:bookmarkStart w:id="32" w:name="discussion"/>
    <w:p>
      <w:pPr>
        <w:pStyle w:val="Heading2"/>
      </w:pPr>
      <w:r>
        <w:t xml:space="preserve">Discussion</w:t>
      </w:r>
    </w:p>
    <w:p>
      <w:pPr>
        <w:pStyle w:val="Compact"/>
        <w:numPr>
          <w:ilvl w:val="0"/>
          <w:numId w:val="1007"/>
        </w:numPr>
      </w:pPr>
      <w:r>
        <w:t xml:space="preserve">Overall method problems</w:t>
      </w:r>
    </w:p>
    <w:p>
      <w:pPr>
        <w:pStyle w:val="Compact"/>
        <w:numPr>
          <w:ilvl w:val="1"/>
          <w:numId w:val="1008"/>
        </w:numPr>
      </w:pPr>
      <w:r>
        <w:t xml:space="preserve">Choice of number of partitions/axes seems arbitrary/no guidance. Controls and sponges used 2, sleep apnea used 3. Default is 3</w:t>
      </w:r>
    </w:p>
    <w:p>
      <w:pPr>
        <w:pStyle w:val="Compact"/>
        <w:numPr>
          <w:ilvl w:val="1"/>
          <w:numId w:val="1008"/>
        </w:numPr>
      </w:pPr>
      <w:r>
        <w:t xml:space="preserve">auto_rpca available within recent implementation but has since been deprecated</w:t>
      </w:r>
    </w:p>
    <w:p>
      <w:pPr>
        <w:pStyle w:val="Compact"/>
        <w:numPr>
          <w:ilvl w:val="1"/>
          <w:numId w:val="1008"/>
        </w:numPr>
      </w:pPr>
      <w:r>
        <w:t xml:space="preserve">Authors acknowledged that RPCA doesn’t work on time series datasets</w:t>
      </w:r>
    </w:p>
    <w:p>
      <w:pPr>
        <w:pStyle w:val="Compact"/>
        <w:numPr>
          <w:ilvl w:val="0"/>
          <w:numId w:val="1007"/>
        </w:numPr>
      </w:pPr>
      <w:r>
        <w:t xml:space="preserve">Benchmarking should use methods that are commonly used in the field. KNN was interesting, but not relevant. Who is using raw with matrix completion?</w:t>
      </w:r>
    </w:p>
    <w:p>
      <w:pPr>
        <w:pStyle w:val="Compact"/>
        <w:numPr>
          <w:ilvl w:val="0"/>
          <w:numId w:val="1007"/>
        </w:numPr>
      </w:pPr>
      <w:r>
        <w:t xml:space="preserve">Statistical modeling approach is appealing for building communities and treatment groups and nicely complements results found using simulations based on observed sequencing counts and sequencing depths</w:t>
      </w:r>
    </w:p>
    <w:p>
      <w:pPr>
        <w:pStyle w:val="Compact"/>
        <w:numPr>
          <w:ilvl w:val="0"/>
          <w:numId w:val="1007"/>
        </w:numPr>
      </w:pPr>
      <w:r>
        <w:t xml:space="preserve">Comment on problematic coding practices</w:t>
      </w:r>
    </w:p>
    <w:p>
      <w:pPr>
        <w:pStyle w:val="Compact"/>
        <w:numPr>
          <w:ilvl w:val="0"/>
          <w:numId w:val="1007"/>
        </w:numPr>
      </w:pPr>
      <w:r>
        <w:t xml:space="preserve">Use rarefaction</w:t>
      </w:r>
    </w:p>
    <w:bookmarkEnd w:id="32"/>
    <w:bookmarkStart w:id="33" w:name="materials-methods"/>
    <w:p>
      <w:pPr>
        <w:pStyle w:val="Heading2"/>
      </w:pPr>
      <w:r>
        <w:t xml:space="preserve">Materials &amp; Methods</w:t>
      </w:r>
    </w:p>
    <w:p>
      <w:pPr>
        <w:numPr>
          <w:ilvl w:val="0"/>
          <w:numId w:val="1009"/>
        </w:numPr>
      </w:pPr>
      <w:r>
        <w:t xml:space="preserve">Deicode benchmarking data and code</w:t>
      </w:r>
    </w:p>
    <w:p>
      <w:pPr>
        <w:numPr>
          <w:ilvl w:val="0"/>
          <w:numId w:val="1009"/>
        </w:numPr>
      </w:pPr>
      <w:r>
        <w:t xml:space="preserve">KNN analysis</w:t>
      </w:r>
    </w:p>
    <w:p>
      <w:pPr>
        <w:numPr>
          <w:ilvl w:val="0"/>
          <w:numId w:val="1009"/>
        </w:numPr>
      </w:pPr>
      <w:r>
        <w:t xml:space="preserve">Description of Sampling depth experiment</w:t>
      </w:r>
    </w:p>
    <w:p>
      <w:pPr>
        <w:pStyle w:val="Compact"/>
        <w:numPr>
          <w:ilvl w:val="1"/>
          <w:numId w:val="1010"/>
        </w:numPr>
      </w:pPr>
      <w:r>
        <w:t xml:space="preserve">adonis2 model</w:t>
      </w:r>
    </w:p>
    <w:p>
      <w:pPr>
        <w:numPr>
          <w:ilvl w:val="0"/>
          <w:numId w:val="1009"/>
        </w:numPr>
      </w:pPr>
      <w:r>
        <w:t xml:space="preserve">Workflow</w:t>
      </w:r>
    </w:p>
    <w:p>
      <w:pPr>
        <w:pStyle w:val="Compact"/>
        <w:numPr>
          <w:ilvl w:val="1"/>
          <w:numId w:val="1011"/>
        </w:numPr>
      </w:pPr>
      <w:r>
        <w:t xml:space="preserve">Snakemake</w:t>
      </w:r>
    </w:p>
    <w:p>
      <w:pPr>
        <w:pStyle w:val="Compact"/>
        <w:numPr>
          <w:ilvl w:val="1"/>
          <w:numId w:val="1011"/>
        </w:numPr>
      </w:pPr>
      <w:r>
        <w:t xml:space="preserve">Conda - Software versions</w:t>
      </w:r>
    </w:p>
    <w:p>
      <w:pPr>
        <w:pStyle w:val="Compact"/>
        <w:numPr>
          <w:ilvl w:val="1"/>
          <w:numId w:val="1011"/>
        </w:numPr>
      </w:pPr>
      <w:r>
        <w:t xml:space="preserve">GitHub</w:t>
      </w:r>
    </w:p>
    <w:bookmarkEnd w:id="33"/>
    <w:bookmarkStart w:id="34" w:name="acknowledgements"/>
    <w:p>
      <w:pPr>
        <w:pStyle w:val="Heading2"/>
      </w:pPr>
      <w:r>
        <w:t xml:space="preserve">Acknowledgements</w:t>
      </w:r>
    </w:p>
    <w:p>
      <w:pPr>
        <w:pStyle w:val="Compact"/>
        <w:numPr>
          <w:ilvl w:val="0"/>
          <w:numId w:val="1012"/>
        </w:numPr>
      </w:pPr>
      <w:r>
        <w:t xml:space="preserve">Thanks for making code publicly accessible!</w:t>
      </w:r>
    </w:p>
    <w:p>
      <w:pPr>
        <w:pStyle w:val="Compact"/>
        <w:numPr>
          <w:ilvl w:val="0"/>
          <w:numId w:val="1012"/>
        </w:numPr>
      </w:pPr>
      <w:r>
        <w:t xml:space="preserve">Funding agencies</w:t>
      </w:r>
    </w:p>
    <w:p>
      <w:r>
        <w:br w:type="page"/>
      </w:r>
    </w:p>
    <w:bookmarkEnd w:id="34"/>
    <w:bookmarkStart w:id="55" w:name="references"/>
    <w:p>
      <w:pPr>
        <w:pStyle w:val="Heading2"/>
      </w:pPr>
      <w:r>
        <w:t xml:space="preserve">References</w:t>
      </w:r>
    </w:p>
    <w:bookmarkStart w:id="39" w:name="refs"/>
    <w:bookmarkStart w:id="36"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35">
        <w:r>
          <w:rPr>
            <w:rStyle w:val="Hyperlink"/>
          </w:rPr>
          <w:t xml:space="preserve">10.1128/msphere.00355-23</w:t>
        </w:r>
      </w:hyperlink>
      <w:r>
        <w:t xml:space="preserve">.</w:t>
      </w:r>
    </w:p>
    <w:bookmarkEnd w:id="36"/>
    <w:bookmarkStart w:id="38"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37">
        <w:r>
          <w:rPr>
            <w:rStyle w:val="Hyperlink"/>
          </w:rPr>
          <w:t xml:space="preserve">10.1128/msphere.00354-23</w:t>
        </w:r>
      </w:hyperlink>
      <w:r>
        <w:t xml:space="preserve">.</w:t>
      </w:r>
    </w:p>
    <w:bookmarkEnd w:id="38"/>
    <w:bookmarkEnd w:id="39"/>
    <w:p>
      <w:r>
        <w:br w:type="page"/>
      </w:r>
    </w:p>
    <w:p>
      <w:pPr>
        <w:pStyle w:val="BodyText"/>
      </w:pPr>
      <w:r>
        <w:drawing>
          <wp:inline>
            <wp:extent cx="4267200" cy="4267200"/>
            <wp:effectExtent b="0" l="0" r="0" t="0"/>
            <wp:docPr descr="" title="" id="41" name="Picture"/>
            <a:graphic>
              <a:graphicData uri="http://schemas.openxmlformats.org/drawingml/2006/picture">
                <pic:pic>
                  <pic:nvPicPr>
                    <pic:cNvPr descr="../figures/heatmap_pcoa_martino.png" id="42" name="Picture"/>
                    <pic:cNvPicPr>
                      <a:picLocks noChangeArrowheads="1" noChangeAspect="1"/>
                    </pic:cNvPicPr>
                  </pic:nvPicPr>
                  <pic:blipFill>
                    <a:blip r:embed="rId4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Graphical representation of an example dataset comparing communities simulated using code adapted from Martino when 4,000 sequences were sampled from each sample.</w:t>
      </w:r>
      <w:r>
        <w:t xml:space="preserve"> </w:t>
      </w:r>
      <w:r>
        <w:t xml:space="preserve">This figure is analogous to Figure 3D of Martino with the inclusion of additional data from simulations where samples were shared between the two treatment groups and PCoA diagrams using Bray-Curtis distances in addition to RPCA. Heatmaps display the OCLR transformation of sequence counts.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44" name="Picture"/>
            <a:graphic>
              <a:graphicData uri="http://schemas.openxmlformats.org/drawingml/2006/picture">
                <pic:pic>
                  <pic:nvPicPr>
                    <pic:cNvPr descr="../figures/fst_knn_martino.png" id="45" name="Picture"/>
                    <pic:cNvPicPr>
                      <a:picLocks noChangeArrowheads="1" noChangeAspect="1"/>
                    </pic:cNvPicPr>
                  </pic:nvPicPr>
                  <pic:blipFill>
                    <a:blip r:embed="rId4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Comparison of RPCA’s performance relative to other methods of comparing communities when using PERMANOVA and KNN classification to distinguish between overlapping treatment groups.</w:t>
      </w:r>
      <w:r>
        <w:t xml:space="preserve"> </w:t>
      </w:r>
      <w:r>
        <w:t xml:space="preserve">This figure is analogous to Figure 3BC of Martino with the inclusion of results when using additional data transformations, Bray-Curtis distances, and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47" name="Picture"/>
            <a:graphic>
              <a:graphicData uri="http://schemas.openxmlformats.org/drawingml/2006/picture">
                <pic:pic>
                  <pic:nvPicPr>
                    <pic:cNvPr descr="../figures/heatmap_pcoa_pds.png" id="48" name="Picture"/>
                    <pic:cNvPicPr>
                      <a:picLocks noChangeArrowheads="1" noChangeAspect="1"/>
                    </pic:cNvPicPr>
                  </pic:nvPicPr>
                  <pic:blipFill>
                    <a:blip r:embed="rId4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are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0" name="Picture"/>
            <a:graphic>
              <a:graphicData uri="http://schemas.openxmlformats.org/drawingml/2006/picture">
                <pic:pic>
                  <pic:nvPicPr>
                    <pic:cNvPr descr="../figures/fst_knn_pds.png" id="51" name="Picture"/>
                    <pic:cNvPicPr>
                      <a:picLocks noChangeArrowheads="1" noChangeAspect="1"/>
                    </pic:cNvPicPr>
                  </pic:nvPicPr>
                  <pic:blipFill>
                    <a:blip r:embed="rId4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Comparison of RPCA’s performance relative to other methods of comparing communities when using PERMANOVA and KNN classification with revised simulation approach to distinguish between similar treatment groups.</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53" name="Picture"/>
            <a:graphic>
              <a:graphicData uri="http://schemas.openxmlformats.org/drawingml/2006/picture">
                <pic:pic>
                  <pic:nvPicPr>
                    <pic:cNvPr descr="../figures/cs_seq_depth.png" id="54" name="Picture"/>
                    <pic:cNvPicPr>
                      <a:picLocks noChangeArrowheads="1" noChangeAspect="1"/>
                    </pic:cNvPicPr>
                  </pic:nvPicPr>
                  <pic:blipFill>
                    <a:blip r:embed="rId5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Comparison of the number of samples and variation in sequencing depth used in the three case studies.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bookmarkEnd w:id="55"/>
    <w:bookmarkStart w:id="62" w:name="supplemental-figures"/>
    <w:p>
      <w:pPr>
        <w:pStyle w:val="Heading2"/>
      </w:pPr>
      <w:r>
        <w:t xml:space="preserve">Supplemental Figures</w:t>
      </w:r>
    </w:p>
    <w:p>
      <w:pPr>
        <w:pStyle w:val="FirstParagraph"/>
      </w:pPr>
      <w:r>
        <w:drawing>
          <wp:inline>
            <wp:extent cx="5334000" cy="3810000"/>
            <wp:effectExtent b="0" l="0" r="0" t="0"/>
            <wp:docPr descr="" title="" id="57" name="Picture"/>
            <a:graphic>
              <a:graphicData uri="http://schemas.openxmlformats.org/drawingml/2006/picture">
                <pic:pic>
                  <pic:nvPicPr>
                    <pic:cNvPr descr="../figures/knn_methods_martino.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Differences in KNN classification accuracy for distinguishing between overlapping treatment groups using different approaches to optimize the number of neighbors was negligible</w:t>
      </w:r>
      <w:r>
        <w:t xml:space="preserve">. 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w:t>
      </w:r>
    </w:p>
    <w:p>
      <w:r>
        <w:br w:type="page"/>
      </w:r>
    </w:p>
    <w:p>
      <w:pPr>
        <w:pStyle w:val="BodyText"/>
      </w:pPr>
      <w:r>
        <w:drawing>
          <wp:inline>
            <wp:extent cx="5334000" cy="3810000"/>
            <wp:effectExtent b="0" l="0" r="0" t="0"/>
            <wp:docPr descr="" title="" id="60" name="Picture"/>
            <a:graphic>
              <a:graphicData uri="http://schemas.openxmlformats.org/drawingml/2006/picture">
                <pic:pic>
                  <pic:nvPicPr>
                    <pic:cNvPr descr="../figures/knn_methods_pds.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S2. Differences in KNN classification accuracy for distinguishing between overlapping treatment groups using the revised simulation data by different approaches to optimize the number of neighbors was negligible</w:t>
      </w:r>
      <w:r>
        <w:t xml:space="preserve">. 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2025-06-05T15:40:42Z</dcterms:created>
  <dcterms:modified xsi:type="dcterms:W3CDTF">2025-06-05T15:40:42Z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