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43.png" ContentType="image/png"/>
  <Override PartName="/word/media/rId49.png" ContentType="image/png"/>
  <Override PartName="/word/media/rId64.png" ContentType="image/png"/>
  <Override PartName="/word/media/rId61.png" ContentType="image/png"/>
  <Override PartName="/word/media/rId40.png" ContentType="image/png"/>
  <Override PartName="/word/media/rId46.png" ContentType="image/png"/>
  <Override PartName="/word/media/rId58.png" ContentType="image/png"/>
  <Override PartName="/word/media/rId68.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Martino made a git-based repository available on GitHub that includes the actual benchmarking code written in Python and the data used in their analysis (https://github.com/cameronmartino/deicode-benchmarking); the code and data from that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(https://github.com/SchlossLab/Schloss_RPCA_mSystems_2025). To maintain a connection to the original simulations and implement a broader set of tests, several changes were necessary in the implementation of Martino’s code. First, because one goal of this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 (IQR=21 to 41). When I instead performed 1,000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 study that used a murine model of sleep apnea where mice were given air or intermittent hypoxia and hypercapnia (IHH) [</w:t>
      </w:r>
      <w:r>
        <w:rPr>
          <w:b/>
          <w:bCs/>
        </w:rPr>
        <w:t xml:space="preserve">XXXXX</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 [</w:t>
      </w:r>
      <w:r>
        <w:rPr>
          <w:b/>
          <w:bCs/>
        </w:rPr>
        <w:t xml:space="preserve">XXXXX</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when generating balanced designs of the data sets, they performed 9 rather than the 10 random subsamples of the datasets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based on using 2 or 3 RPCA axes, Nudge, One, and Zero CLR transformed data, OptSpace and DeSeq2 transformed data, raw counts, relative abundance data, a single subsampling, with rarefaction, and based on the first two PCoA axes using Bray-Curtis distances. Pairwise Bray-Curtis distances were calculated using raw counts, relative abundance data, SRS and CSS normalized data, a single subsampling, and with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odd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odd choice was to subsample the number of sequences to 1,000 sequences per sample when calculating Bray-Curtis distances and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more frequently significant. With the exception of Zero CLR and using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using cross validation training and testing datasets.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is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Within the sleep apnea dataset the CLR-based methods and DeSeq2 transformed data outperformed the RPCA methods, which outperformed the other Euclidean-distance methods; accuracies calculated using KNN with Bray-Curtis distances performed similar to the RPCA-based methods. Finally, within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original analysis presented in their supplementary materials, the ordinations still showed clustering by sampling depth for RPCA. Furthermore, the Jaccard and Bray-Curtis distances were not calculated using rarefaction, which is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Results using simulated and real datasets can complement each other in studies evaluating bioinformatics tools when the true difference between treatment groups cannot be known.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with a smaller effect size there was more variation in the power to detect differences and classification accuracy. Under more nuanced conditions RPCA was no better than rarefaction and was often worse.</w:t>
      </w:r>
    </w:p>
    <w:p>
      <w:pPr>
        <w:pStyle w:val="BodyText"/>
      </w:pPr>
      <w:r>
        <w:t xml:space="preserve">Martino also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w:t>
      </w:r>
      <w:r>
        <w:t xml:space="preserve"> </w:t>
      </w:r>
      <w:r>
        <w:t xml:space="preserve">“</w:t>
      </w:r>
      <w:r>
        <w:t xml:space="preserve">straw man</w:t>
      </w:r>
      <w:r>
        <w:t xml:space="preserve">”</w:t>
      </w:r>
      <w:r>
        <w:t xml:space="preserve"> </w:t>
      </w:r>
      <w:r>
        <w:t xml:space="preserve">comparison that made their new method appear considerably better than a method that no one would think to use. Second, they used of KNN as a classification tool rather than using logistic regression or random forest. I am unaware of other studies that have used KNN with microbiome data. When they used KNN they did so based on distances from the first two or three axes of a PCoA using a Bray-Curtis distance matrix rather than the Bray-Curtis distances themselves. The effect was a loss of information stored in higher dimensions. Even with the limitations of KNN (e.g., requirement of balanced design, distances), RPCA was outperformed by the other methods.</w:t>
      </w:r>
    </w:p>
    <w:p>
      <w:pPr>
        <w:pStyle w:val="BodyText"/>
      </w:pPr>
      <w:r>
        <w:t xml:space="preserve">Even if RPCA’s performance were better, there are several limitations inherent in the method. First, there is no guidance on selecting the number of axes one should use with RPCA. They used 2 axes with their simulated data and with the sponges dataset and used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(aka,</w:t>
      </w:r>
      <w:r>
        <w:t xml:space="preserve"> </w:t>
      </w:r>
      <w:r>
        <w:t xml:space="preserve">“</w:t>
      </w:r>
      <w:r>
        <w:t xml:space="preserve">P-hacking</w:t>
      </w:r>
      <w:r>
        <w:t xml:space="preserve">”</w:t>
      </w:r>
      <w:r>
        <w:t xml:space="preserve">). Second, as Martino indicated the method does not perform well with time series data or where there is considerable variation between the samples. This is likely when effect sizes between treatment groups are small.</w:t>
      </w:r>
    </w:p>
    <w:p>
      <w:pPr>
        <w:pStyle w:val="BodyText"/>
      </w:pPr>
      <w:r>
        <w:t xml:space="preserve">Martino made the claim that Aitchison distances calculated using RPCA are insensitive to uneven sequencing effort. The only data they provide to support this claim was found in their paper’s</w:t>
      </w:r>
      <w:r>
        <w:t xml:space="preserve"> </w:t>
      </w:r>
      <w:r>
        <w:t xml:space="preserve">“</w:t>
      </w:r>
      <w:r>
        <w:t xml:space="preserve">Materials and Methods</w:t>
      </w:r>
      <w:r>
        <w:t xml:space="preserve">”</w:t>
      </w:r>
      <w:r>
        <w:t xml:space="preserve"> </w:t>
      </w:r>
      <w:r>
        <w:t xml:space="preserve">section, which references their supplemental Figure 3 and supplemental Table 2. Yet, their figure shows that the RPCA ordination still clusters by sequencing depth. Unfortunately, they did not rarefy the Jaccard or Bray-Curtis distances to a common number of sequences as one would do in a real analysis. I replicated this analysis, but with a larger number of sequences per sample, with the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rPr>
          <w:b/>
          <w:bCs/>
        </w:rPr>
        <w:t xml:space="preserve">[XXXXXXX; XXXXXXX]</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include basing an analysis on a large number of iterations (e.g. 100 or 1,000) rather than only one. Until it is possible to obtain a uniform number of sequence reads per sample, rarefaction should be used to control for uneven sampling effort.</w:t>
      </w:r>
    </w:p>
    <w:bookmarkEnd w:id="32"/>
    <w:bookmarkStart w:id="33" w:name="materials-methods"/>
    <w:p>
      <w:pPr>
        <w:pStyle w:val="Heading2"/>
      </w:pPr>
      <w:r>
        <w:t xml:space="preserve">Materials &amp; Methods</w:t>
      </w:r>
    </w:p>
    <w:p>
      <w:pPr>
        <w:numPr>
          <w:ilvl w:val="0"/>
          <w:numId w:val="1001"/>
        </w:numPr>
      </w:pPr>
      <w:r>
        <w:t xml:space="preserve">Deicode benchmarking data and code</w:t>
      </w:r>
    </w:p>
    <w:p>
      <w:pPr>
        <w:numPr>
          <w:ilvl w:val="0"/>
          <w:numId w:val="1001"/>
        </w:numPr>
      </w:pPr>
      <w:r>
        <w:t xml:space="preserve">KNN analysis</w:t>
      </w:r>
    </w:p>
    <w:p>
      <w:pPr>
        <w:numPr>
          <w:ilvl w:val="0"/>
          <w:numId w:val="1001"/>
        </w:numPr>
      </w:pPr>
      <w:r>
        <w:t xml:space="preserve">Description of Sampling depth experiment</w:t>
      </w:r>
    </w:p>
    <w:p>
      <w:pPr>
        <w:pStyle w:val="Compact"/>
        <w:numPr>
          <w:ilvl w:val="1"/>
          <w:numId w:val="1002"/>
        </w:numPr>
      </w:pPr>
      <w:r>
        <w:t xml:space="preserve">adonis2 model</w:t>
      </w:r>
    </w:p>
    <w:p>
      <w:pPr>
        <w:numPr>
          <w:ilvl w:val="0"/>
          <w:numId w:val="1001"/>
        </w:numPr>
      </w:pPr>
      <w:r>
        <w:t xml:space="preserve">Workflow</w:t>
      </w:r>
    </w:p>
    <w:p>
      <w:pPr>
        <w:pStyle w:val="Compact"/>
        <w:numPr>
          <w:ilvl w:val="1"/>
          <w:numId w:val="1003"/>
        </w:numPr>
      </w:pPr>
      <w:r>
        <w:t xml:space="preserve">Snakemake</w:t>
      </w:r>
    </w:p>
    <w:p>
      <w:pPr>
        <w:pStyle w:val="Compact"/>
        <w:numPr>
          <w:ilvl w:val="1"/>
          <w:numId w:val="1003"/>
        </w:numPr>
      </w:pPr>
      <w:r>
        <w:t xml:space="preserve">Conda - Software versions</w:t>
      </w:r>
    </w:p>
    <w:p>
      <w:pPr>
        <w:pStyle w:val="Compact"/>
        <w:numPr>
          <w:ilvl w:val="1"/>
          <w:numId w:val="1003"/>
        </w:numPr>
      </w:pPr>
      <w:r>
        <w:t xml:space="preserve">GitHub</w:t>
      </w:r>
    </w:p>
    <w:bookmarkEnd w:id="33"/>
    <w:bookmarkStart w:id="34" w:name="acknowledgements"/>
    <w:p>
      <w:pPr>
        <w:pStyle w:val="Heading2"/>
      </w:pPr>
      <w:r>
        <w:t xml:space="preserve">Acknowledgements</w:t>
      </w:r>
    </w:p>
    <w:p>
      <w:pPr>
        <w:pStyle w:val="Compact"/>
        <w:numPr>
          <w:ilvl w:val="0"/>
          <w:numId w:val="1004"/>
        </w:numPr>
      </w:pPr>
      <w:r>
        <w:t xml:space="preserve">Thanks for making code publicly accessible!</w:t>
      </w:r>
    </w:p>
    <w:p>
      <w:pPr>
        <w:pStyle w:val="Compact"/>
        <w:numPr>
          <w:ilvl w:val="0"/>
          <w:numId w:val="1004"/>
        </w:numPr>
      </w:pPr>
      <w:r>
        <w:t xml:space="preserve">Funding agencies</w:t>
      </w:r>
    </w:p>
    <w:p>
      <w:r>
        <w:br w:type="page"/>
      </w:r>
    </w:p>
    <w:bookmarkEnd w:id="34"/>
    <w:bookmarkStart w:id="67" w:name="references"/>
    <w:p>
      <w:pPr>
        <w:pStyle w:val="Heading2"/>
      </w:pPr>
      <w:r>
        <w:t xml:space="preserve">References</w:t>
      </w:r>
    </w:p>
    <w:bookmarkStart w:id="39" w:name="refs"/>
    <w:bookmarkStart w:id="36"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35">
        <w:r>
          <w:rPr>
            <w:rStyle w:val="Hyperlink"/>
          </w:rPr>
          <w:t xml:space="preserve">10.1128/msphere.00355-23</w:t>
        </w:r>
      </w:hyperlink>
      <w:r>
        <w:t xml:space="preserve">.</w:t>
      </w:r>
    </w:p>
    <w:bookmarkEnd w:id="36"/>
    <w:bookmarkStart w:id="38"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37">
        <w:r>
          <w:rPr>
            <w:rStyle w:val="Hyperlink"/>
          </w:rPr>
          <w:t xml:space="preserve">10.1128/msphere.00354-23</w:t>
        </w:r>
      </w:hyperlink>
      <w:r>
        <w:t xml:space="preserve">.</w:t>
      </w:r>
    </w:p>
    <w:bookmarkEnd w:id="38"/>
    <w:bookmarkEnd w:id="39"/>
    <w:p>
      <w:r>
        <w:br w:type="page"/>
      </w:r>
    </w:p>
    <w:p>
      <w:pPr>
        <w:pStyle w:val="BodyText"/>
      </w:pPr>
      <w:r>
        <w:drawing>
          <wp:inline>
            <wp:extent cx="4267200" cy="4267200"/>
            <wp:effectExtent b="0" l="0" r="0" t="0"/>
            <wp:docPr descr="" title="" id="41" name="Picture"/>
            <a:graphic>
              <a:graphicData uri="http://schemas.openxmlformats.org/drawingml/2006/picture">
                <pic:pic>
                  <pic:nvPicPr>
                    <pic:cNvPr descr="../figures/heatmap_pcoa_martino.png" id="42" name="Picture"/>
                    <pic:cNvPicPr>
                      <a:picLocks noChangeArrowheads="1" noChangeAspect="1"/>
                    </pic:cNvPicPr>
                  </pic:nvPicPr>
                  <pic:blipFill>
                    <a:blip r:embed="rId40"/>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OCLR transformation of sequence counts. In addition to the RPCA output, I also provide the PCoA diagrams using Bray-Curtis distances.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44" name="Picture"/>
            <a:graphic>
              <a:graphicData uri="http://schemas.openxmlformats.org/drawingml/2006/picture">
                <pic:pic>
                  <pic:nvPicPr>
                    <pic:cNvPr descr="../figures/fst_knn_martino.png" id="45" name="Picture"/>
                    <pic:cNvPicPr>
                      <a:picLocks noChangeArrowheads="1" noChangeAspect="1"/>
                    </pic:cNvPicPr>
                  </pic:nvPicPr>
                  <pic:blipFill>
                    <a:blip r:embed="rId43"/>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47" name="Picture"/>
            <a:graphic>
              <a:graphicData uri="http://schemas.openxmlformats.org/drawingml/2006/picture">
                <pic:pic>
                  <pic:nvPicPr>
                    <pic:cNvPr descr="../figures/heatmap_pcoa_pds.png" id="48" name="Picture"/>
                    <pic:cNvPicPr>
                      <a:picLocks noChangeArrowheads="1" noChangeAspect="1"/>
                    </pic:cNvPicPr>
                  </pic:nvPicPr>
                  <pic:blipFill>
                    <a:blip r:embed="rId46"/>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0" name="Picture"/>
            <a:graphic>
              <a:graphicData uri="http://schemas.openxmlformats.org/drawingml/2006/picture">
                <pic:pic>
                  <pic:nvPicPr>
                    <pic:cNvPr descr="../figures/fst_knn_pds.png" id="51" name="Picture"/>
                    <pic:cNvPicPr>
                      <a:picLocks noChangeArrowheads="1" noChangeAspect="1"/>
                    </pic:cNvPicPr>
                  </pic:nvPicPr>
                  <pic:blipFill>
                    <a:blip r:embed="rId49"/>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53" name="Picture"/>
            <a:graphic>
              <a:graphicData uri="http://schemas.openxmlformats.org/drawingml/2006/picture">
                <pic:pic>
                  <pic:nvPicPr>
                    <pic:cNvPr descr="../figures/cs_seq_depth.png" id="54" name="Picture"/>
                    <pic:cNvPicPr>
                      <a:picLocks noChangeArrowheads="1" noChangeAspect="1"/>
                    </pic:cNvPicPr>
                  </pic:nvPicPr>
                  <pic:blipFill>
                    <a:blip r:embed="rId52"/>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5334000" cy="4572000"/>
            <wp:effectExtent b="0" l="0" r="0" t="0"/>
            <wp:docPr descr="" title="" id="56" name="Picture"/>
            <a:graphic>
              <a:graphicData uri="http://schemas.openxmlformats.org/drawingml/2006/picture">
                <pic:pic>
                  <pic:nvPicPr>
                    <pic:cNvPr descr="../figures/fst_knn_depth_diff_cs.png" id="57" name="Picture"/>
                    <pic:cNvPicPr>
                      <a:picLocks noChangeArrowheads="1" noChangeAspect="1"/>
                    </pic:cNvPicPr>
                  </pic:nvPicPr>
                  <pic:blipFill>
                    <a:blip r:embed="rId55"/>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difference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59" name="Picture"/>
            <a:graphic>
              <a:graphicData uri="http://schemas.openxmlformats.org/drawingml/2006/picture">
                <pic:pic>
                  <pic:nvPicPr>
                    <pic:cNvPr descr="../figures/heatmap_permanova_sig_cs.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 in the tile indicates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62" name="Picture"/>
            <a:graphic>
              <a:graphicData uri="http://schemas.openxmlformats.org/drawingml/2006/picture">
                <pic:pic>
                  <pic:nvPicPr>
                    <pic:cNvPr descr="../figures/heatmap_knn_cs.png" id="63" name="Picture"/>
                    <pic:cNvPicPr>
                      <a:picLocks noChangeArrowheads="1" noChangeAspect="1"/>
                    </pic:cNvPicPr>
                  </pic:nvPicPr>
                  <pic:blipFill>
                    <a:blip r:embed="rId61"/>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65" name="Picture"/>
            <a:graphic>
              <a:graphicData uri="http://schemas.openxmlformats.org/drawingml/2006/picture">
                <pic:pic>
                  <pic:nvPicPr>
                    <pic:cNvPr descr="../figures/heatmap_depth_sig.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67"/>
    <w:bookmarkStart w:id="74" w:name="supplemental-figures"/>
    <w:p>
      <w:pPr>
        <w:pStyle w:val="Heading2"/>
      </w:pPr>
      <w:r>
        <w:t xml:space="preserve">Supplemental Figures</w:t>
      </w:r>
    </w:p>
    <w:p>
      <w:pPr>
        <w:pStyle w:val="FirstParagraph"/>
      </w:pPr>
      <w:r>
        <w:drawing>
          <wp:inline>
            <wp:extent cx="5334000" cy="3810000"/>
            <wp:effectExtent b="0" l="0" r="0" t="0"/>
            <wp:docPr descr="" title="" id="69" name="Picture"/>
            <a:graphic>
              <a:graphicData uri="http://schemas.openxmlformats.org/drawingml/2006/picture">
                <pic:pic>
                  <pic:nvPicPr>
                    <pic:cNvPr descr="../figures/knn_methods_martino.png" id="70" name="Picture"/>
                    <pic:cNvPicPr>
                      <a:picLocks noChangeArrowheads="1" noChangeAspect="1"/>
                    </pic:cNvPicPr>
                  </pic:nvPicPr>
                  <pic:blipFill>
                    <a:blip r:embed="rId6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p>
      <w:r>
        <w:br w:type="page"/>
      </w:r>
    </w:p>
    <w:p>
      <w:pPr>
        <w:pStyle w:val="BodyText"/>
      </w:pPr>
      <w:r>
        <w:drawing>
          <wp:inline>
            <wp:extent cx="5334000" cy="3810000"/>
            <wp:effectExtent b="0" l="0" r="0" t="0"/>
            <wp:docPr descr="" title="" id="72" name="Picture"/>
            <a:graphic>
              <a:graphicData uri="http://schemas.openxmlformats.org/drawingml/2006/picture">
                <pic:pic>
                  <pic:nvPicPr>
                    <pic:cNvPr descr="../figures/knn_methods_pds.png" id="73" name="Picture"/>
                    <pic:cNvPicPr>
                      <a:picLocks noChangeArrowheads="1" noChangeAspect="1"/>
                    </pic:cNvPicPr>
                  </pic:nvPicPr>
                  <pic:blipFill>
                    <a:blip r:embed="rId7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1128/msphere.00354-23" TargetMode="External" /><Relationship Type="http://schemas.openxmlformats.org/officeDocument/2006/relationships/hyperlink" Id="rId35"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2025-11-06T21:24:54Z</dcterms:created>
  <dcterms:modified xsi:type="dcterms:W3CDTF">2025-11-06T21:24:54Z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