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37.png" ContentType="image/png"/>
  <Override PartName="/word/media/rId125.png" ContentType="image/png"/>
  <Override PartName="/word/media/rId131.png" ContentType="image/png"/>
  <Override PartName="/word/media/rId146.png" ContentType="image/png"/>
  <Override PartName="/word/media/rId143.png" ContentType="image/png"/>
  <Override PartName="/word/media/rId122.png" ContentType="image/png"/>
  <Override PartName="/word/media/rId128.png" ContentType="image/png"/>
  <Override PartName="/word/media/rId140.png" ContentType="image/png"/>
  <Override PartName="/word/media/rId150.png" ContentType="image/png"/>
  <Override PartName="/word/media/rId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lorem-ipsum"/>
    <w:p>
      <w:pPr>
        <w:pStyle w:val="Heading1"/>
      </w:pPr>
      <w:r>
        <w:t xml:space="preserve">Lorem ipsum</w:t>
      </w:r>
    </w:p>
    <w:p>
      <w:pPr>
        <w:pStyle w:val="FirstParagraph"/>
      </w:pPr>
      <w:r>
        <w:rPr>
          <w:b/>
          <w:bCs/>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A persistent challenge in amplicon and shotgun metagenomic sequencing of microbial communities is the variation in the number of reads obtained across samples</w:t>
      </w:r>
      <w:r>
        <w:t xml:space="preserve"> </w:t>
      </w:r>
      <w:r>
        <w:t xml:space="preserve">(e.g.,/ 1, 2, 3)</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w:t>
      </w:r>
      <w:r>
        <w:t xml:space="preserve"> </w:t>
      </w:r>
      <w:r>
        <w:t xml:space="preserve">(4)</w:t>
      </w:r>
      <w:r>
        <w:t xml:space="preserve">. This challenge is not unique to microbial ecologists and has long plagued landscape and animal ecologists</w:t>
      </w:r>
      <w:r>
        <w:t xml:space="preserve"> </w:t>
      </w:r>
      <w:r>
        <w:t xml:space="preserve">(5, 6)</w:t>
      </w:r>
      <w:r>
        <w:t xml:space="preserve">. The classical approach to control for uneven sampling has been rarefaction</w:t>
      </w:r>
      <w:r>
        <w:t xml:space="preserve"> </w:t>
      </w:r>
      <w:r>
        <w:t xml:space="preserve">(7)</w:t>
      </w:r>
      <w:r>
        <w:t xml:space="preserve">.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w:t>
      </w:r>
      <w:r>
        <w:t xml:space="preserve"> </w:t>
      </w:r>
      <w:r>
        <w:t xml:space="preserve">(4)</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w:t>
      </w:r>
      <w:r>
        <w:t xml:space="preserve"> </w:t>
      </w:r>
      <w:r>
        <w:t xml:space="preserve">(4, 8)</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w:t>
      </w:r>
      <w:r>
        <w:t xml:space="preserve"> </w:t>
      </w:r>
      <w:r>
        <w:t xml:space="preserve">(8, 9)</w:t>
      </w:r>
      <w:r>
        <w:t xml:space="preserve">. Numerous alternatives have been proposed including calculating the relative abundance of each taxon in a community so that they sum to 1 within a sample</w:t>
      </w:r>
      <w:r>
        <w:t xml:space="preserve"> </w:t>
      </w:r>
      <w:r>
        <w:t xml:space="preserve">(10)</w:t>
      </w:r>
      <w:r>
        <w:t xml:space="preserve">, using a single subsampling step</w:t>
      </w:r>
      <w:r>
        <w:t xml:space="preserve"> </w:t>
      </w:r>
      <w:r>
        <w:t xml:space="preserve">(11)</w:t>
      </w:r>
      <w:r>
        <w:t xml:space="preserve">, normalization of counts so that the total number of individuals sums to a user defined value</w:t>
      </w:r>
      <w:r>
        <w:t xml:space="preserve"> </w:t>
      </w:r>
      <w:r>
        <w:t xml:space="preserve">(12, 13)</w:t>
      </w:r>
      <w:r>
        <w:t xml:space="preserve">, transforming the data using methods commonly used for gene expression analysis</w:t>
      </w:r>
      <w:r>
        <w:t xml:space="preserve"> </w:t>
      </w:r>
      <w:r>
        <w:t xml:space="preserve">(8, 14)</w:t>
      </w:r>
      <w:r>
        <w:t xml:space="preserve">, use of estimators of diversity that can extrapolate beyond the number of observed individuals</w:t>
      </w:r>
      <w:r>
        <w:t xml:space="preserve"> </w:t>
      </w:r>
      <w:r>
        <w:t xml:space="preserve">(15–17)</w:t>
      </w:r>
      <w:r>
        <w:t xml:space="preserve">, and the use of compositional statistics based on a log ratio of taxon counts to a reference value</w:t>
      </w:r>
      <w:r>
        <w:t xml:space="preserve"> </w:t>
      </w:r>
      <w:r>
        <w:t xml:space="preserve">(10, 18–23)</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w:t>
      </w:r>
      <w:r>
        <w:t xml:space="preserve"> </w:t>
      </w:r>
      <w:r>
        <w:t xml:space="preserve">(10, 23)</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w:t>
      </w:r>
      <w:r>
        <w:t xml:space="preserve"> </w:t>
      </w:r>
      <w:r>
        <w:t xml:space="preserve">(24)</w:t>
      </w:r>
      <w:r>
        <w:t xml:space="preserve">. Aside from controlling for the compositional nature of sequence data, proponents of the Aitchison distance claim that the distances are insensitive to differences in sampling effort</w:t>
      </w:r>
      <w:r>
        <w:t xml:space="preserve"> </w:t>
      </w:r>
      <w:r>
        <w:t xml:space="preserve">(10, 23)</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One CLR), adding a pseudocount of 1 divided by the total number of individuals in the sample (i.e., Nudge CLR), and imputing zero values to be a random small value (i.e. Zero CLR)</w:t>
      </w:r>
      <w:r>
        <w:t xml:space="preserve"> </w:t>
      </w:r>
      <w:r>
        <w:t xml:space="preserve">(20–22)</w:t>
      </w:r>
      <w:r>
        <w:t xml:space="preserve">. As an alternative to these transformations, Martino et al.</w:t>
      </w:r>
      <w:r>
        <w:t xml:space="preserve"> </w:t>
      </w:r>
      <w:r>
        <w:t xml:space="preserve">(23)</w:t>
      </w:r>
      <w:r>
        <w:t xml:space="preserve"> </w:t>
      </w:r>
      <w:r>
        <w:t xml:space="preserve">(i.e., Martino) proposed calculating CLR values for each sample after ignoring zero values followed by matrix completion or robust principal components analysis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w:t>
      </w:r>
      <w:r>
        <w:t xml:space="preserve"> </w:t>
      </w:r>
      <w:r>
        <w:t xml:space="preserve">(4, 25)</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(8)</w:t>
      </w:r>
      <w:r>
        <w:t xml:space="preserve"> </w:t>
      </w:r>
      <w:r>
        <w:t xml:space="preserve">and the development of alternatives to rarefaction</w:t>
      </w:r>
      <w:r>
        <w:t xml:space="preserve"> </w:t>
      </w:r>
      <w:r>
        <w:t xml:space="preserve">(12–14, 20–23)</w:t>
      </w:r>
      <w:r>
        <w:t xml:space="preserve">, one might question why my results disagree so markedly with those of others. There are several possible reasons. First, researchers often propose new methods by demonstrating their method reveals new insights over old methods without objectively benchmarking the method</w:t>
      </w:r>
      <w:r>
        <w:t xml:space="preserve"> </w:t>
      </w:r>
      <w:r>
        <w:t xml:space="preserve">(13, 20)</w:t>
      </w:r>
      <w:r>
        <w:t xml:space="preserve">. Because one cannot know the true difference between samples, a positive or negative result with experimental data cannot be interpreted. Second, when benchmarking tests are developed, researchers may inadvertently select tests that favor the method they are developing. This was the case in my recent re-analysis of the original paper that called rarefaction into question</w:t>
      </w:r>
      <w:r>
        <w:t xml:space="preserve"> </w:t>
      </w:r>
      <w:r>
        <w:t xml:space="preserve">(8)</w:t>
      </w:r>
      <w:r>
        <w:t xml:space="preserve">. Therefore, it is necessary to use a comprehensive benchmarking test suite that allows one to compare diverse methods using inference methods that are commonly used by researchers. Third, the choice of how to simulate community data can inadvertently favor the method being developed. A popular aphorism states that</w:t>
      </w:r>
      <w:r>
        <w:t xml:space="preserve"> </w:t>
      </w:r>
      <w:r>
        <w:t xml:space="preserve">“</w:t>
      </w:r>
      <w:r>
        <w:t xml:space="preserve">all models are wrong, some are useful</w:t>
      </w:r>
      <w:r>
        <w:t xml:space="preserve">”</w:t>
      </w:r>
      <w:r>
        <w:t xml:space="preserve"> </w:t>
      </w:r>
      <w:r>
        <w:t xml:space="preserve">(26)</w:t>
      </w:r>
      <w:r>
        <w:t xml:space="preserve">. Similar to one’s choice of benchmarking tests, the modelling approach may favor some methods over others. For instance, I have critiqued how others have accounted for variation in sampling depth as being unlike what we see in experimental data</w:t>
      </w:r>
      <w:r>
        <w:t xml:space="preserve"> </w:t>
      </w:r>
      <w:r>
        <w:t xml:space="preserve">(25)</w:t>
      </w:r>
      <w:r>
        <w:t xml:space="preserve">.</w:t>
      </w:r>
    </w:p>
    <w:p>
      <w:pPr>
        <w:pStyle w:val="BodyText"/>
      </w:pPr>
      <w:r>
        <w:t xml:space="preserve">In my previous analyses advocating for rarefaction, I generated null community models and treatment groups with known effect sizes by creating taxon abundance distributions and sampling depths based on 12 published datasets</w:t>
      </w:r>
      <w:r>
        <w:t xml:space="preserve"> </w:t>
      </w:r>
      <w:r>
        <w:t xml:space="preserve">(4)</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w:t>
      </w:r>
      <w:r>
        <w:t xml:space="preserve"> </w:t>
      </w:r>
      <w:r>
        <w:t xml:space="preserve">(27)</w:t>
      </w:r>
      <w:r>
        <w:t xml:space="preserve">. As described in Martino, the overall simulation framework involved simulating two treatment groups each represented by 100 communities for a total of 200 communities. Each community contained as many as 1,000 taxa, which they referred to as features.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added to each relative abundance value to add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has created an interesting opportunity to reframe whether to use rarefaction and to reassess the performance of RPCA and other CLR-based approaches. Although Martino used an interesting modelling approach, they did not compare RPCA to other CLR-based approaches or to rarefaction. Furthermore, they used benchmarking tests that did not reflect how researchers typically analyze microbial community data. Therefore, the goal of the current study was to benchmark RPCA and other CLR-based methods relative to rarefaction using the modelling framework used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To maintain a connection to Martino’s original simulations and implement a broader set of tests, several changes were necessary in the implementation of Martino’s code. First, because one goal of this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principal coordinates analysis (PCoA) plots in</w:t>
      </w:r>
      <w:r>
        <w:t xml:space="preserve"> </w:t>
      </w:r>
      <w:r>
        <w:rPr>
          <w:b/>
          <w:bCs/>
        </w:rPr>
        <w:t xml:space="preserve">Figure 1</w:t>
      </w:r>
      <w:r>
        <w:t xml:space="preserve"> </w:t>
      </w:r>
      <w:r>
        <w:t xml:space="preserve">are qualitatively similar to those in Figure 3 of Martino. The most notable difference with Martino is that they inadvertently switched the labels of the axes and performed the One 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This was because RPCA is run by giving the algorithm a desired number of axes; in this case, 2 axes.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when using raw counts and when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was observed considerable variation across replicates for the F-statistics calculated using RPCA with raw counts. Unfortunately, Martino did not make any comparisons to other methods of calculating distances. Calculating Euclidean distance using other central log ratio and DeSeq2 transformations and Bray-Curtis distances using raw counts and CSS and SRS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 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F-statistics from PERMANOVA, Martino used KNN classification to distinguish between the two partially overlapping treatment groups. Although Martino’s text indicated they used 40% of the samples in the training set and 60% in the testing set (i.e., a 40:60 cross validation split), their code indicates it was actually the opposite with 60% of the samples in the training set and the remaining in the testing set (</w:t>
      </w:r>
      <w:r>
        <w:rPr>
          <w:b/>
          <w:bCs/>
        </w:rPr>
        <w:t xml:space="preserve">Supplemental Text</w:t>
      </w:r>
      <w:r>
        <w:t xml:space="preserve">).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generated Euclidean distance matrices using other central log ratio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 times</w:t>
      </w:r>
      <w:r>
        <w:t xml:space="preserve"> </w:t>
      </w:r>
      <w:r>
        <w:t xml:space="preserve">(28)</w:t>
      </w:r>
      <w:r>
        <w:t xml:space="preserve">. Across the various conditions, the median optimal number of neighbors was 33 (IQR=21 to 41). When I instead performed 100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and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which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RCLR and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and colleagues used two published datasets as case studies to evaluate RPCA and related methods. They evaluated RPCA relative to Bray-Curtis and weighted UniFrac distances using PERMANOVA, KNN, and ordinations. The two datasets were drawn from a natural study comparing healthy and stressed sponges</w:t>
      </w:r>
      <w:r>
        <w:t xml:space="preserve"> </w:t>
      </w:r>
      <w:r>
        <w:t xml:space="preserve">(1)</w:t>
      </w:r>
      <w:r>
        <w:t xml:space="preserve"> </w:t>
      </w:r>
      <w:r>
        <w:t xml:space="preserve">and from a study that used a murine model of sleep apnea where mice were given air or intermittent hypoxia and hypercapnia (IHH)</w:t>
      </w:r>
      <w:r>
        <w:t xml:space="preserve"> </w:t>
      </w:r>
      <w:r>
        <w:t xml:space="preserve">(2)</w:t>
      </w:r>
      <w:r>
        <w:t xml:space="preserve">. Both datasets were small relative to other papers published at the time. The sponge dataset had 133 healthy and 85 stressed samples and the sleep apnea dataset had 96 air treated and 93 IHH treated samples (</w:t>
      </w:r>
      <w:r>
        <w:rPr>
          <w:b/>
          <w:bCs/>
        </w:rPr>
        <w:t xml:space="preserve">Figure 5</w:t>
      </w:r>
      <w:r>
        <w:t xml:space="preserve">). Also,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w:t>
      </w:r>
      <w:r>
        <w:t xml:space="preserve"> </w:t>
      </w:r>
      <w:r>
        <w:t xml:space="preserve">(3)</w:t>
      </w:r>
      <w:r>
        <w:t xml:space="preserve">. The differences between healthy individuals and those with screen relevant colonic neoplasias were not obvious by PCoA and the study included more subjects. The colorectal cancer dataset included 261 subjects with healthy colons and 229 subjects with screen relevant colonic neoplasias (</w:t>
      </w:r>
      <w:r>
        <w:rPr>
          <w:b/>
          <w:bCs/>
        </w:rPr>
        <w:t xml:space="preserve">Figure 5</w:t>
      </w:r>
      <w:r>
        <w:t xml:space="preserve">). The three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when generating balanced designs of the data sets, they performed 9 rather than the 10 random subsamples of the datasets as was described in the manuscript;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not using the actual Bray-Curtis and weighted UniFrac distances or more PCoA axes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based on using 2 or 3 RPCA axes, Nudge, One, and Zero CLR transformed data, OptSpace and DeSeq2 transformed data, raw counts, relative abundance data, a single subsampling, with rarefaction, and based on the first two PCoA axes using Bray-Curtis distances. Pairwise Bray-Curtis distances were calculated using raw counts, relative abundance data, SRS and CSS normalized data, a single subsampling, and with rarefaction.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odd since PERMANOVA is not sensitive to unbalanced sampling. When I used all of the samples available and performed the PERMANOVA analysis, the only dataset and methods that did not yield a significant result was for the CRC dataset using RPCA with 2 or 3 axes (P = 0.11 and 0.07, respectively). A second odd choice was to subsample the number of sequences to 1,000 sequences per sample when calculating Bray-Curtis distances and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CRC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more frequently significant. With the exception of Zero CLR and using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using cross validation training and testing datasets.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w:t>
      </w:r>
    </w:p>
    <w:p>
      <w:pPr>
        <w:pStyle w:val="BodyText"/>
      </w:pPr>
      <w:r>
        <w:t xml:space="preserve">Similar to the PERMANOVA analysis, my KNN classification results largely replicated those observed for the sleep apnea and sponge datasets.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is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performer was using raw abundances as input to RPCA with two axes (accuracy = 0.88). Within the sleep apnea dataset the CLR-based methods and DeSeq2 transformed data outperformed the RPCA methods, which outperformed the other Euclidean-distance methods; accuracies calculated using KNN with Bray-Curtis distances performed similar to the RPCA-based methods. Finally, within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w:t>
      </w:r>
      <w:r>
        <w:t xml:space="preserve">RPCA alleviated the clustering by sequencing depth both qualitatively and quantitatively</w:t>
      </w:r>
      <w:r>
        <w:t xml:space="preserve">”</w:t>
      </w:r>
      <w:r>
        <w:t xml:space="preserve">. However, in the original analysis presented in their supplementary materials, the ordinations still showed clustering by sampling depth for RPCA. Furthermore, the Jaccard and Bray-Curtis distances were not calculated using rarefaction, which is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When evaluating bioinformatics tools, simulated datasets are useful when a true difference between treatment groups in a real dataset cannot be established. The simulation approach described by Martino offered a novel approach to studying the performance of various methods for controlling uneven sampling effort. Unfortunately,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which had a small effect size, there was more variation in the power to detect differences and classification accuracy. Under more nuanced conditions RPCA was no better than rarefaction and was often worse.</w:t>
      </w:r>
    </w:p>
    <w:p>
      <w:pPr>
        <w:pStyle w:val="BodyText"/>
      </w:pPr>
      <w:r>
        <w:t xml:space="preserve">Martino implemented methods for evaluating RPCA relative to other strategies of controlling for uneven sampling effort that would not normally be used in a typical microbiome analysis. First, Martino benchmarked RPCA by comparing the method’s performance using raw counts or RCLR-transformed data. Missing from their benchmarking was a comparison to Bray-Curtis or UniFrac distances or use of other methods of controlling for uneven sampling effort. The result was a</w:t>
      </w:r>
      <w:r>
        <w:t xml:space="preserve"> </w:t>
      </w:r>
      <w:r>
        <w:t xml:space="preserve">“</w:t>
      </w:r>
      <w:r>
        <w:t xml:space="preserve">straw man</w:t>
      </w:r>
      <w:r>
        <w:t xml:space="preserve">”</w:t>
      </w:r>
      <w:r>
        <w:t xml:space="preserve"> </w:t>
      </w:r>
      <w:r>
        <w:t xml:space="preserve">comparison that made their new method appear considerably better than a method that no one would think to use. Second, they used of KNN as a classification tool rather than using logistic regression or random forest. KNN is simply not used for classifying microbiome data. Compounding the problem of using KNN was that they did so based on distances from the first two or three axes of a PCoA using a Bray-Curtis distance matrix rather than directly using the Bray-Curtis distances themselves. The effect was a loss of information stored in higher dimensions. Even with the limitations of KNN (e.g., requirement of balanced design, distances), RPCA was outperformed by the other methods.</w:t>
      </w:r>
    </w:p>
    <w:p>
      <w:pPr>
        <w:pStyle w:val="BodyText"/>
      </w:pPr>
      <w:r>
        <w:t xml:space="preserve">Even if RPCA’s performance were better, there are several limitations inherent in the method. First, there is no guidance on selecting the number of axes one should use with RPCA. They used 2 axes with their simulated data and with the sponges dataset and used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(i.e.,</w:t>
      </w:r>
      <w:r>
        <w:t xml:space="preserve"> </w:t>
      </w:r>
      <w:r>
        <w:t xml:space="preserve">“</w:t>
      </w:r>
      <w:r>
        <w:t xml:space="preserve">P-hacking</w:t>
      </w:r>
      <w:r>
        <w:t xml:space="preserve">”</w:t>
      </w:r>
      <w:r>
        <w:t xml:space="preserve">). Second, as Martino indicated the method does not perform well with time series data or where there is considerable variation between the samples. This is likely when effect sizes between treatment groups are small as is typical in most microbiome analyses.</w:t>
      </w:r>
    </w:p>
    <w:p>
      <w:pPr>
        <w:pStyle w:val="BodyText"/>
      </w:pPr>
      <w:r>
        <w:t xml:space="preserve">Martino made the claim in their paper’s Discussion section that Aitchison distances calculated using RPCA are insensitive to uneven sequencing effort. The only data they provide to support this claim was found in their paper’s Materials and Methods section, which references their supplemental Figure 3 and supplemental Table 2. Yet, that figure shows that the RPCA ordination still clustered by sequencing depth. Unfortunately, they did not rarefy the Jaccard or Bray-Curtis distances to a common number of sequences as one would do in a real analysis. I replicated this analysis, but with a larger number of sequences per sample, with the simulated and real datasets, and using a two-factor PERMANOVA analysis. These results (</w:t>
      </w:r>
      <w:r>
        <w:rPr>
          <w:b/>
          <w:bCs/>
        </w:rPr>
        <w:t xml:space="preserve">Figure 9</w:t>
      </w:r>
      <w:r>
        <w:t xml:space="preserve">)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t xml:space="preserve">(4, 25)</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include basing an analysis on a large number of iterations (e.g. 100 or 1,000) rather than only one. Until it is possible to obtain a uniform number of sequence reads per sample, rarefaction should be used to control for uneven sampling effort.</w:t>
      </w:r>
    </w:p>
    <w:bookmarkEnd w:id="32"/>
    <w:bookmarkStart w:id="42" w:name="materials-methods"/>
    <w:p>
      <w:pPr>
        <w:pStyle w:val="Heading2"/>
      </w:pPr>
      <w:r>
        <w:t xml:space="preserve">Materials &amp; Methods</w:t>
      </w:r>
    </w:p>
    <w:bookmarkStart w:id="33" w:name="deicode-benchmarking-data-and-code"/>
    <w:p>
      <w:pPr>
        <w:pStyle w:val="Heading3"/>
      </w:pPr>
      <w:r>
        <w:t xml:space="preserve">Deicode benchmarking data and code</w:t>
      </w:r>
    </w:p>
    <w:p>
      <w:pPr>
        <w:pStyle w:val="FirstParagraph"/>
      </w:pPr>
      <w:r>
        <w:t xml:space="preserve">Martino made a git-based repository available on GitHub that includes the actual benchmarking code written in Python and the data used in their analysis (https://github.com/cameronmartino/deicode-benchmarking). Deicode was the original name of the package that implemented RPCA. That functionality is now available as part of the Gemelli package. The code and data from their benchmarking repository are included as the directory</w:t>
      </w:r>
      <w:r>
        <w:t xml:space="preserve"> </w:t>
      </w:r>
      <w:r>
        <w:t xml:space="preserve">“</w:t>
      </w:r>
      <w:r>
        <w:t xml:space="preserve">deicode_benchmarking</w:t>
      </w:r>
      <w:r>
        <w:t xml:space="preserve">”</w:t>
      </w:r>
      <w:r>
        <w:t xml:space="preserve"> </w:t>
      </w:r>
      <w:r>
        <w:t xml:space="preserve">within repository for the current analysis (https://github.com/SchlossLab/Schloss_RPCA_mSystems_2025). A conda virtual environment was created to mimic the versions of the tools used the original simulation. The environment file is available within the current project’s repository as workflow/envs/rpca.yml</w:t>
      </w:r>
    </w:p>
    <w:bookmarkEnd w:id="33"/>
    <w:bookmarkStart w:id="34" w:name="revised-simulation-code"/>
    <w:p>
      <w:pPr>
        <w:pStyle w:val="Heading3"/>
      </w:pPr>
      <w:r>
        <w:t xml:space="preserve">Revised simulation code</w:t>
      </w:r>
    </w:p>
    <w:p>
      <w:pPr>
        <w:pStyle w:val="FirstParagraph"/>
      </w:pPr>
      <w:r>
        <w:t xml:space="preserve">A revised version of Martino’s simulation code was written in R as described in the Results section. The code I generated uses functions from base R and the tidyverse metapackage. The script that implements the simulation is available in the repository as workflow/scripts/simulations.R. Similar to Martino’s original Python implementation, the simulation code takes the number of samples, OTUs, treatment groups, OTUs shared between the treatment groups, and sequences to generate the simulated communities. A driver script subsampled the data to the desired number of sequences and formatted the data for downstream analysis.</w:t>
      </w:r>
    </w:p>
    <w:bookmarkEnd w:id="34"/>
    <w:bookmarkStart w:id="35" w:name="case-study-data"/>
    <w:p>
      <w:pPr>
        <w:pStyle w:val="Heading3"/>
      </w:pPr>
      <w:r>
        <w:t xml:space="preserve">Case study data</w:t>
      </w:r>
    </w:p>
    <w:p>
      <w:pPr>
        <w:pStyle w:val="FirstParagraph"/>
      </w:pPr>
      <w:r>
        <w:t xml:space="preserve">The operational taxonomic unit (OTU) count data and metadata for the sponges and sleep apnea datasets were obtained from the Deicode benchmarking repository. The OTU count data and metadata for the colorectal cancer dataset were obtained from a previous study where it was referred to as the</w:t>
      </w:r>
      <w:r>
        <w:t xml:space="preserve"> </w:t>
      </w:r>
      <w:r>
        <w:t xml:space="preserve">“</w:t>
      </w:r>
      <w:r>
        <w:t xml:space="preserve">Human</w:t>
      </w:r>
      <w:r>
        <w:t xml:space="preserve">”</w:t>
      </w:r>
      <w:r>
        <w:t xml:space="preserve"> </w:t>
      </w:r>
      <w:r>
        <w:t xml:space="preserve">dataset. Those data were generated by obtaining sequence data and metadata from the Sequence Read Archive. The sequence data was processed using the mothur software program</w:t>
      </w:r>
      <w:r>
        <w:t xml:space="preserve"> </w:t>
      </w:r>
      <w:r>
        <w:t xml:space="preserve">(29)</w:t>
      </w:r>
      <w:r>
        <w:t xml:space="preserve">. This included assembling the paired reads that covered the V4 region of the 16S rRNA gene using a quality score-aware method</w:t>
      </w:r>
      <w:r>
        <w:t xml:space="preserve"> </w:t>
      </w:r>
      <w:r>
        <w:t xml:space="preserve">(30)</w:t>
      </w:r>
      <w:r>
        <w:t xml:space="preserve">, aligning the assembled contig to a SILVA reference alignment</w:t>
      </w:r>
      <w:r>
        <w:t xml:space="preserve"> </w:t>
      </w:r>
      <w:r>
        <w:t xml:space="preserve">(31, 32)</w:t>
      </w:r>
      <w:r>
        <w:t xml:space="preserve">, pre-clustering to remove residual sequencing errors</w:t>
      </w:r>
      <w:r>
        <w:t xml:space="preserve"> </w:t>
      </w:r>
      <w:r>
        <w:t xml:space="preserve">(33)</w:t>
      </w:r>
      <w:r>
        <w:t xml:space="preserve"> </w:t>
      </w:r>
      <w:r>
        <w:t xml:space="preserve">chimera checking and removal</w:t>
      </w:r>
      <w:r>
        <w:t xml:space="preserve"> </w:t>
      </w:r>
      <w:r>
        <w:t xml:space="preserve">(34)</w:t>
      </w:r>
      <w:r>
        <w:t xml:space="preserve">, and clustering of sequences into OTUs using the OptiClust algorithm</w:t>
      </w:r>
      <w:r>
        <w:t xml:space="preserve"> </w:t>
      </w:r>
      <w:r>
        <w:t xml:space="preserve">(35)</w:t>
      </w:r>
      <w:r>
        <w:t xml:space="preserve">; OTUs were defined a group of sequences not more than than 3% different from each other.</w:t>
      </w:r>
    </w:p>
    <w:bookmarkEnd w:id="35"/>
    <w:bookmarkStart w:id="36" w:name="X251eeaa0909877cea9d2eb29d6c13b91c9770ed"/>
    <w:p>
      <w:pPr>
        <w:pStyle w:val="Heading3"/>
      </w:pPr>
      <w:r>
        <w:t xml:space="preserve">Distance-based K Nearest Neighbor (KNN) classification</w:t>
      </w:r>
    </w:p>
    <w:p>
      <w:pPr>
        <w:pStyle w:val="FirstParagraph"/>
      </w:pPr>
      <w:r>
        <w:t xml:space="preserve">Martino’s KNN classification analysis used the KNeighborsClassifier function from scikit-learn</w:t>
      </w:r>
      <w:r>
        <w:t xml:space="preserve"> </w:t>
      </w:r>
      <w:r>
        <w:t xml:space="preserve">(36)</w:t>
      </w:r>
      <w:r>
        <w:t xml:space="preserve">. Although that function can take a pre-computed distance matrix as input, the default was used by Martino, which is to calculate the Euclidean distance between samples in an ordination. I reimplemented an R-based version of the KNN classification method as workflow/scripts/test_train_knn.R. This method implements the training-testing framework described by Topcuoglu et al.</w:t>
      </w:r>
      <w:r>
        <w:t xml:space="preserve"> </w:t>
      </w:r>
      <w:r>
        <w:t xml:space="preserve">(28)</w:t>
      </w:r>
      <w:r>
        <w:t xml:space="preserve"> </w:t>
      </w:r>
      <w:r>
        <w:t xml:space="preserve">to fit the number of neighbors hyperparameter (i.e., K). My R script takes as input a distance matrix, a design file that assigns samples to treatment groups, the fractions of data to be used for training and testing, the number of inner and outer loops, and the hyperparameter grid for fitting K.</w:t>
      </w:r>
    </w:p>
    <w:bookmarkEnd w:id="36"/>
    <w:bookmarkStart w:id="37" w:name="X3dbde2323508f838e7799124a243e175c600604"/>
    <w:p>
      <w:pPr>
        <w:pStyle w:val="Heading3"/>
      </w:pPr>
      <w:r>
        <w:t xml:space="preserve">Methods of controlling for uneven sampling effort</w:t>
      </w:r>
    </w:p>
    <w:p>
      <w:pPr>
        <w:pStyle w:val="FirstParagraph"/>
      </w:pPr>
      <w:r>
        <w:t xml:space="preserve">I evaluated twelve methods for controlling for uneven sampling effort. These included using: (i) raw counts, which were the number of sequences in each OTU; (ii) the OptSpace algorithm performed on raw counts as implemented in Deicode (v.0.1.5)</w:t>
      </w:r>
      <w:r>
        <w:t xml:space="preserve"> </w:t>
      </w:r>
      <w:r>
        <w:t xml:space="preserve">(23)</w:t>
      </w:r>
      <w:r>
        <w:t xml:space="preserve">; (iii) the full RCLR algorithm performed using Gemelli (v.0.0.9) with 2, 3, 5, and 9 components</w:t>
      </w:r>
      <w:r>
        <w:t xml:space="preserve"> </w:t>
      </w:r>
      <w:r>
        <w:t xml:space="preserve">(23)</w:t>
      </w:r>
      <w:r>
        <w:t xml:space="preserve">; (iv) Zero CLR, which calculated the center log ratio (CLR) after imputing teh of zero counts using the zCompositions (v.1.4.0.1) R package</w:t>
      </w:r>
      <w:r>
        <w:t xml:space="preserve"> </w:t>
      </w:r>
      <w:r>
        <w:t xml:space="preserve">(20)</w:t>
      </w:r>
      <w:r>
        <w:t xml:space="preserve">; (v) Nudge CLR, which calculated the CLR after adding a pseudo-count of 1 divided by the total number of sequences in a sample to the abundance of each OTU in the sample</w:t>
      </w:r>
      <w:r>
        <w:t xml:space="preserve"> </w:t>
      </w:r>
      <w:r>
        <w:t xml:space="preserve">(21, 22)</w:t>
      </w:r>
      <w:r>
        <w:t xml:space="preserve">; (vi) One CLR, which calculated the CLR after adding a pseudo-count of 1 to the abundance of all of the OTUs</w:t>
      </w:r>
      <w:r>
        <w:t xml:space="preserve"> </w:t>
      </w:r>
      <w:r>
        <w:t xml:space="preserve">(21, 22)</w:t>
      </w:r>
      <w:r>
        <w:t xml:space="preserve">; (vii) the DESeq2 R package (v.1.34.0), which was used to implement the variance stabilizing transformation to normalize the OTU counts</w:t>
      </w:r>
      <w:r>
        <w:t xml:space="preserve"> </w:t>
      </w:r>
      <w:r>
        <w:t xml:space="preserve">(8, 14)</w:t>
      </w:r>
      <w:r>
        <w:t xml:space="preserve">; (viii) the SRS R package (v.0.2.3), which was used to normalize OTU counts using the scaled ranked subsampling algorithm</w:t>
      </w:r>
      <w:r>
        <w:t xml:space="preserve"> </w:t>
      </w:r>
      <w:r>
        <w:t xml:space="preserve">(12)</w:t>
      </w:r>
      <w:r>
        <w:t xml:space="preserve">; (ix) the metagenomeSeq R package (v.1.36.0), which was used to normalize OTU accounts using the cumulative sum scaling (CSS) algorithm</w:t>
      </w:r>
      <w:r>
        <w:t xml:space="preserve"> </w:t>
      </w:r>
      <w:r>
        <w:t xml:space="preserve">(13)</w:t>
      </w:r>
      <w:r>
        <w:t xml:space="preserve">; (x) relative abundances, which were calculated as the abundance of each OTU in a sample divided by the total number of sequences in the sample; (xi) subsampling, which involved randomly selecting a specified number of sequences from each sample and removing any samples that had fewer than the desired number of sequences; (xii) rarefaction, which involved repeating subsampling 100 times and calculating a distance matrix after each iteration followed by calculating the mean distance matrix.</w:t>
      </w:r>
    </w:p>
    <w:bookmarkEnd w:id="37"/>
    <w:bookmarkStart w:id="38" w:name="Xc3e902d49a617bd15c39572934684a8a523d27e"/>
    <w:p>
      <w:pPr>
        <w:pStyle w:val="Heading3"/>
      </w:pPr>
      <w:r>
        <w:t xml:space="preserve">Methods for calculating distances between communities</w:t>
      </w:r>
    </w:p>
    <w:p>
      <w:pPr>
        <w:pStyle w:val="FirstParagraph"/>
      </w:pPr>
      <w:r>
        <w:t xml:space="preserve">The vegan R package (v.2.6_4) was used to calculate ecological distances matrices using the Euclidean and Bray-Curtis formulations</w:t>
      </w:r>
      <w:r>
        <w:t xml:space="preserve"> </w:t>
      </w:r>
      <w:r>
        <w:t xml:space="preserve">(37, 38)</w:t>
      </w:r>
      <w:r>
        <w:t xml:space="preserve">. Euclidean distances are not typically used in microbiome analyses because they inflate the similarity of communities. However, they are used with CLR transformed data resulting in so-called Aitchison distances. The OptSpace and RCLR algorithms outputted Euclidean distances directly from the Deicode and Gemelli software. Euclidean distances were calculated for raw counts, and data transformed by the CLR-based methods, DeSeq2, relative abundance, subsampling, and rarefaction using the vegdist function in vegan. Because OptSpace, CLR-based methods, and DeSeq2 outputted negative values, it was not possible to calculate the popular Bray-Curtis distances on those data. Bray-Curtis distances were calculated using raw counts, relative abundances, and subsampled data using the vegdist function in vegan; rarefaction was performed using vegan’s avgdist function.</w:t>
      </w:r>
    </w:p>
    <w:bookmarkEnd w:id="38"/>
    <w:bookmarkStart w:id="39" w:name="X4456033c6dbe494892dc46486582141939086ed"/>
    <w:p>
      <w:pPr>
        <w:pStyle w:val="Heading3"/>
      </w:pPr>
      <w:r>
        <w:t xml:space="preserve">Measuring effects of controlling for uneven sampling effort on performance of PERMANOVA</w:t>
      </w:r>
    </w:p>
    <w:p>
      <w:pPr>
        <w:pStyle w:val="FirstParagraph"/>
      </w:pPr>
      <w:r>
        <w:t xml:space="preserve">I used the adonis2 function from the vegan R package (v.2.6_4) to calculate the PERMANOVA F statistic for comparisons of treatment groups in the simulations and case studies</w:t>
      </w:r>
      <w:r>
        <w:t xml:space="preserve"> </w:t>
      </w:r>
      <w:r>
        <w:t xml:space="preserve">(37, 39)</w:t>
      </w:r>
      <w:r>
        <w:t xml:space="preserve">. Euclidean or Bray-Curtis distance matrices and a map indicating which group each sample belonged to were used as input to the function. Except for the simulation measuring the ability of the various methods to control the effects of sampling depth a single classification design was used in adonis2 to test the model, Distance ~ Treatment</w:t>
      </w:r>
    </w:p>
    <w:bookmarkEnd w:id="39"/>
    <w:bookmarkStart w:id="40" w:name="X40bdee276709fe371f20e272d4ef886bf20191e"/>
    <w:p>
      <w:pPr>
        <w:pStyle w:val="Heading3"/>
      </w:pPr>
      <w:r>
        <w:t xml:space="preserve">Measuring ability of various methods to limit the effects of sampling depth</w:t>
      </w:r>
    </w:p>
    <w:p>
      <w:pPr>
        <w:pStyle w:val="FirstParagraph"/>
      </w:pPr>
      <w:r>
        <w:t xml:space="preserve">Following the approach described by Martino to assess the sensitivity of the different methods to uneven sequencing I randomly sampled 5,000 and 10,000 sequences from each of the simulation and case study datasets. These data were pooled so that each sample was represented at each of the sequencing levels. A sequencing depth variable was added to the treatment group label. Each dataset was replicated 10 times with a different random number generator seed. To test the effects of sequencing depth, I used the adonis2 function from the vegan R package (v.2.6_4)</w:t>
      </w:r>
      <w:r>
        <w:t xml:space="preserve"> </w:t>
      </w:r>
      <w:r>
        <w:t xml:space="preserve">(37)</w:t>
      </w:r>
      <w:r>
        <w:t xml:space="preserve"> </w:t>
      </w:r>
      <w:r>
        <w:t xml:space="preserve">to test the model, Distance ~ Treatment + Sequencing Depth + Treatment x Sequencing Depth. Although this model tests for a treatment effect, it’s P-value was biased downward. This is because every sample was artificially duplicated, which makes each treatment look more similar to itself than it really is leading to reduced the intra-treatment variation. The result is a larger F statistic and smaller P-value for the treatment effect. My analysis of this simulation focused on the significance of the sequencing depth effect.</w:t>
      </w:r>
    </w:p>
    <w:bookmarkEnd w:id="40"/>
    <w:bookmarkStart w:id="41" w:name="data-availability"/>
    <w:p>
      <w:pPr>
        <w:pStyle w:val="Heading3"/>
      </w:pPr>
      <w:r>
        <w:t xml:space="preserve">Data availability</w:t>
      </w:r>
    </w:p>
    <w:p>
      <w:pPr>
        <w:pStyle w:val="FirstParagraph"/>
      </w:pPr>
      <w:r>
        <w:t xml:space="preserve">No new biological data were generated in this study. The entire codebase for my analysis is available as a GitHub repository at https://github.com/SchlossLab/Schloss_RPCA_mSystems_2025. The repository includes a copy of Martino’s benchmarking repository. My repository includes a Snakemake-based workflow (v.7.32.4) includes all of the steps in the analyses described in this manuscript. The workflow uses R (v.4.3.3) and Python (v.3.11.14) packages and code. Notable R packages not already indicated included tidyverse (v.2.0.0), data.table (v.1.14.8), ggh4x (v.0.2.6), ggtext (v.0.1.2), patchwork (v.1.1.3), and quarto (v.1.4.550), Notable Python packages not already indicated included matplotlib (v.3.8.1), numpy (v.1.12.1), pandas (v.2.1.3), scikit-bio (v.0.5.9), scikit-learn (v.1.3.2), and scipy (v.1.10.0).</w:t>
      </w:r>
    </w:p>
    <w:bookmarkEnd w:id="41"/>
    <w:bookmarkEnd w:id="42"/>
    <w:bookmarkStart w:id="43" w:name="acknowledgements"/>
    <w:p>
      <w:pPr>
        <w:pStyle w:val="Heading2"/>
      </w:pPr>
      <w:r>
        <w:t xml:space="preserve">Acknowledgements</w:t>
      </w:r>
    </w:p>
    <w:p>
      <w:pPr>
        <w:pStyle w:val="FirstParagraph"/>
      </w:pPr>
      <w:r>
        <w:t xml:space="preserve">I am grateful to the reviewers of the papers describing my previous analyses who raised the question of why I saw different results from other developers who had developed methods of controlling for uneven sampling effort. I appreciate that Martino and colleagues made their benchmarking code and data publicly accessible. This study would not have been possibly without their commendable transparency.</w:t>
      </w:r>
    </w:p>
    <w:p>
      <w:r>
        <w:br w:type="page"/>
      </w:r>
    </w:p>
    <w:bookmarkEnd w:id="43"/>
    <w:bookmarkStart w:id="149" w:name="references"/>
    <w:p>
      <w:pPr>
        <w:pStyle w:val="Heading2"/>
      </w:pPr>
      <w:r>
        <w:t xml:space="preserve">References</w:t>
      </w:r>
    </w:p>
    <w:bookmarkStart w:id="121" w:name="refs"/>
    <w:bookmarkStart w:id="45" w:name="ref-MoitinhoSilva2017"/>
    <w:p>
      <w:pPr>
        <w:pStyle w:val="Bibliography"/>
      </w:pPr>
      <w:r>
        <w:t xml:space="preserve">1.</w:t>
      </w:r>
      <w:r>
        <w:t xml:space="preserve"> </w:t>
      </w:r>
      <w:r>
        <w:t xml:space="preserve">	</w:t>
      </w:r>
      <w:r>
        <w:rPr>
          <w:b/>
          <w:bCs/>
        </w:rPr>
        <w:t xml:space="preserve">Moitinho-Silva L</w:t>
      </w:r>
      <w:r>
        <w:t xml:space="preserve">,</w:t>
      </w:r>
      <w:r>
        <w:t xml:space="preserve"> </w:t>
      </w:r>
      <w:r>
        <w:rPr>
          <w:b/>
          <w:bCs/>
        </w:rPr>
        <w:t xml:space="preserve">Nielsen S</w:t>
      </w:r>
      <w:r>
        <w:t xml:space="preserve">,</w:t>
      </w:r>
      <w:r>
        <w:t xml:space="preserve"> </w:t>
      </w:r>
      <w:r>
        <w:rPr>
          <w:b/>
          <w:bCs/>
        </w:rPr>
        <w:t xml:space="preserve">Amir A</w:t>
      </w:r>
      <w:r>
        <w:t xml:space="preserve">,</w:t>
      </w:r>
      <w:r>
        <w:t xml:space="preserve"> </w:t>
      </w:r>
      <w:r>
        <w:rPr>
          <w:b/>
          <w:bCs/>
        </w:rPr>
        <w:t xml:space="preserve">Gonzalez A</w:t>
      </w:r>
      <w:r>
        <w:t xml:space="preserve">,</w:t>
      </w:r>
      <w:r>
        <w:t xml:space="preserve"> </w:t>
      </w:r>
      <w:r>
        <w:rPr>
          <w:b/>
          <w:bCs/>
        </w:rPr>
        <w:t xml:space="preserve">Ackermann GL</w:t>
      </w:r>
      <w:r>
        <w:t xml:space="preserve">,</w:t>
      </w:r>
      <w:r>
        <w:t xml:space="preserve"> </w:t>
      </w:r>
      <w:r>
        <w:rPr>
          <w:b/>
          <w:bCs/>
        </w:rPr>
        <w:t xml:space="preserve">Cerrano C</w:t>
      </w:r>
      <w:r>
        <w:t xml:space="preserve">,</w:t>
      </w:r>
      <w:r>
        <w:t xml:space="preserve"> </w:t>
      </w:r>
      <w:r>
        <w:rPr>
          <w:b/>
          <w:bCs/>
        </w:rPr>
        <w:t xml:space="preserve">Astudillo-Garcia C</w:t>
      </w:r>
      <w:r>
        <w:t xml:space="preserve">,</w:t>
      </w:r>
      <w:r>
        <w:t xml:space="preserve"> </w:t>
      </w:r>
      <w:r>
        <w:rPr>
          <w:b/>
          <w:bCs/>
        </w:rPr>
        <w:t xml:space="preserve">Easson C</w:t>
      </w:r>
      <w:r>
        <w:t xml:space="preserve">,</w:t>
      </w:r>
      <w:r>
        <w:t xml:space="preserve"> </w:t>
      </w:r>
      <w:r>
        <w:rPr>
          <w:b/>
          <w:bCs/>
        </w:rPr>
        <w:t xml:space="preserve">Sipkema D</w:t>
      </w:r>
      <w:r>
        <w:t xml:space="preserve">,</w:t>
      </w:r>
      <w:r>
        <w:t xml:space="preserve"> </w:t>
      </w:r>
      <w:r>
        <w:rPr>
          <w:b/>
          <w:bCs/>
        </w:rPr>
        <w:t xml:space="preserve">Liu F</w:t>
      </w:r>
      <w:r>
        <w:t xml:space="preserve">,</w:t>
      </w:r>
      <w:r>
        <w:t xml:space="preserve"> </w:t>
      </w:r>
      <w:r>
        <w:rPr>
          <w:b/>
          <w:bCs/>
        </w:rPr>
        <w:t xml:space="preserve">Steinert G</w:t>
      </w:r>
      <w:r>
        <w:t xml:space="preserve">,</w:t>
      </w:r>
      <w:r>
        <w:t xml:space="preserve"> </w:t>
      </w:r>
      <w:r>
        <w:rPr>
          <w:b/>
          <w:bCs/>
        </w:rPr>
        <w:t xml:space="preserve">Kotoulas G</w:t>
      </w:r>
      <w:r>
        <w:t xml:space="preserve">,</w:t>
      </w:r>
      <w:r>
        <w:t xml:space="preserve"> </w:t>
      </w:r>
      <w:r>
        <w:rPr>
          <w:b/>
          <w:bCs/>
        </w:rPr>
        <w:t xml:space="preserve">McCormack GP</w:t>
      </w:r>
      <w:r>
        <w:t xml:space="preserve">,</w:t>
      </w:r>
      <w:r>
        <w:t xml:space="preserve"> </w:t>
      </w:r>
      <w:r>
        <w:rPr>
          <w:b/>
          <w:bCs/>
        </w:rPr>
        <w:t xml:space="preserve">Feng G</w:t>
      </w:r>
      <w:r>
        <w:t xml:space="preserve">,</w:t>
      </w:r>
      <w:r>
        <w:t xml:space="preserve"> </w:t>
      </w:r>
      <w:r>
        <w:rPr>
          <w:b/>
          <w:bCs/>
        </w:rPr>
        <w:t xml:space="preserve">Bell JJ</w:t>
      </w:r>
      <w:r>
        <w:t xml:space="preserve">,</w:t>
      </w:r>
      <w:r>
        <w:t xml:space="preserve"> </w:t>
      </w:r>
      <w:r>
        <w:rPr>
          <w:b/>
          <w:bCs/>
        </w:rPr>
        <w:t xml:space="preserve">Vicente J</w:t>
      </w:r>
      <w:r>
        <w:t xml:space="preserve">,</w:t>
      </w:r>
      <w:r>
        <w:t xml:space="preserve"> </w:t>
      </w:r>
      <w:r>
        <w:rPr>
          <w:b/>
          <w:bCs/>
        </w:rPr>
        <w:t xml:space="preserve">Björk JR</w:t>
      </w:r>
      <w:r>
        <w:t xml:space="preserve">,</w:t>
      </w:r>
      <w:r>
        <w:t xml:space="preserve"> </w:t>
      </w:r>
      <w:r>
        <w:rPr>
          <w:b/>
          <w:bCs/>
        </w:rPr>
        <w:t xml:space="preserve">Montoya JM</w:t>
      </w:r>
      <w:r>
        <w:t xml:space="preserve">,</w:t>
      </w:r>
      <w:r>
        <w:t xml:space="preserve"> </w:t>
      </w:r>
      <w:r>
        <w:rPr>
          <w:b/>
          <w:bCs/>
        </w:rPr>
        <w:t xml:space="preserve">Olson JB</w:t>
      </w:r>
      <w:r>
        <w:t xml:space="preserve">,</w:t>
      </w:r>
      <w:r>
        <w:t xml:space="preserve"> </w:t>
      </w:r>
      <w:r>
        <w:rPr>
          <w:b/>
          <w:bCs/>
        </w:rPr>
        <w:t xml:space="preserve">Reveillaud J</w:t>
      </w:r>
      <w:r>
        <w:t xml:space="preserve">,</w:t>
      </w:r>
      <w:r>
        <w:t xml:space="preserve"> </w:t>
      </w:r>
      <w:r>
        <w:rPr>
          <w:b/>
          <w:bCs/>
        </w:rPr>
        <w:t xml:space="preserve">Steindler L</w:t>
      </w:r>
      <w:r>
        <w:t xml:space="preserve">,</w:t>
      </w:r>
      <w:r>
        <w:t xml:space="preserve"> </w:t>
      </w:r>
      <w:r>
        <w:rPr>
          <w:b/>
          <w:bCs/>
        </w:rPr>
        <w:t xml:space="preserve">Pineda M-C</w:t>
      </w:r>
      <w:r>
        <w:t xml:space="preserve">,</w:t>
      </w:r>
      <w:r>
        <w:t xml:space="preserve"> </w:t>
      </w:r>
      <w:r>
        <w:rPr>
          <w:b/>
          <w:bCs/>
        </w:rPr>
        <w:t xml:space="preserve">Marra MV</w:t>
      </w:r>
      <w:r>
        <w:t xml:space="preserve">,</w:t>
      </w:r>
      <w:r>
        <w:t xml:space="preserve"> </w:t>
      </w:r>
      <w:r>
        <w:rPr>
          <w:b/>
          <w:bCs/>
        </w:rPr>
        <w:t xml:space="preserve">Ilan M</w:t>
      </w:r>
      <w:r>
        <w:t xml:space="preserve">,</w:t>
      </w:r>
      <w:r>
        <w:t xml:space="preserve"> </w:t>
      </w:r>
      <w:r>
        <w:rPr>
          <w:b/>
          <w:bCs/>
        </w:rPr>
        <w:t xml:space="preserve">Taylor MW</w:t>
      </w:r>
      <w:r>
        <w:t xml:space="preserve">,</w:t>
      </w:r>
      <w:r>
        <w:t xml:space="preserve"> </w:t>
      </w:r>
      <w:r>
        <w:rPr>
          <w:b/>
          <w:bCs/>
        </w:rPr>
        <w:t xml:space="preserve">Polymenakou P</w:t>
      </w:r>
      <w:r>
        <w:t xml:space="preserve">,</w:t>
      </w:r>
      <w:r>
        <w:t xml:space="preserve"> </w:t>
      </w:r>
      <w:r>
        <w:rPr>
          <w:b/>
          <w:bCs/>
        </w:rPr>
        <w:t xml:space="preserve">Erwin PM</w:t>
      </w:r>
      <w:r>
        <w:t xml:space="preserve">,</w:t>
      </w:r>
      <w:r>
        <w:t xml:space="preserve"> </w:t>
      </w:r>
      <w:r>
        <w:rPr>
          <w:b/>
          <w:bCs/>
        </w:rPr>
        <w:t xml:space="preserve">Schupp PJ</w:t>
      </w:r>
      <w:r>
        <w:t xml:space="preserve">,</w:t>
      </w:r>
      <w:r>
        <w:t xml:space="preserve"> </w:t>
      </w:r>
      <w:r>
        <w:rPr>
          <w:b/>
          <w:bCs/>
        </w:rPr>
        <w:t xml:space="preserve">Simister RL</w:t>
      </w:r>
      <w:r>
        <w:t xml:space="preserve">,</w:t>
      </w:r>
      <w:r>
        <w:t xml:space="preserve"> </w:t>
      </w:r>
      <w:r>
        <w:rPr>
          <w:b/>
          <w:bCs/>
        </w:rPr>
        <w:t xml:space="preserve">Knight R</w:t>
      </w:r>
      <w:r>
        <w:t xml:space="preserve">,</w:t>
      </w:r>
      <w:r>
        <w:t xml:space="preserve"> </w:t>
      </w:r>
      <w:r>
        <w:rPr>
          <w:b/>
          <w:bCs/>
        </w:rPr>
        <w:t xml:space="preserve">Thacker RW</w:t>
      </w:r>
      <w:r>
        <w:t xml:space="preserve">,</w:t>
      </w:r>
      <w:r>
        <w:t xml:space="preserve"> </w:t>
      </w:r>
      <w:r>
        <w:rPr>
          <w:b/>
          <w:bCs/>
        </w:rPr>
        <w:t xml:space="preserve">Costa R</w:t>
      </w:r>
      <w:r>
        <w:t xml:space="preserve">,</w:t>
      </w:r>
      <w:r>
        <w:t xml:space="preserve"> </w:t>
      </w:r>
      <w:r>
        <w:rPr>
          <w:b/>
          <w:bCs/>
        </w:rPr>
        <w:t xml:space="preserve">Hill RT</w:t>
      </w:r>
      <w:r>
        <w:t xml:space="preserve">,</w:t>
      </w:r>
      <w:r>
        <w:t xml:space="preserve"> </w:t>
      </w:r>
      <w:r>
        <w:rPr>
          <w:b/>
          <w:bCs/>
        </w:rPr>
        <w:t xml:space="preserve">Lopez-Legentil S</w:t>
      </w:r>
      <w:r>
        <w:t xml:space="preserve">,</w:t>
      </w:r>
      <w:r>
        <w:t xml:space="preserve"> </w:t>
      </w:r>
      <w:r>
        <w:rPr>
          <w:b/>
          <w:bCs/>
        </w:rPr>
        <w:t xml:space="preserve">Dailianis T</w:t>
      </w:r>
      <w:r>
        <w:t xml:space="preserve">,</w:t>
      </w:r>
      <w:r>
        <w:t xml:space="preserve"> </w:t>
      </w:r>
      <w:r>
        <w:rPr>
          <w:b/>
          <w:bCs/>
        </w:rPr>
        <w:t xml:space="preserve">Ravasi T</w:t>
      </w:r>
      <w:r>
        <w:t xml:space="preserve">,</w:t>
      </w:r>
      <w:r>
        <w:t xml:space="preserve"> </w:t>
      </w:r>
      <w:r>
        <w:rPr>
          <w:b/>
          <w:bCs/>
        </w:rPr>
        <w:t xml:space="preserve">Hentschel U</w:t>
      </w:r>
      <w:r>
        <w:t xml:space="preserve">,</w:t>
      </w:r>
      <w:r>
        <w:t xml:space="preserve"> </w:t>
      </w:r>
      <w:r>
        <w:rPr>
          <w:b/>
          <w:bCs/>
        </w:rPr>
        <w:t xml:space="preserve">Li Z</w:t>
      </w:r>
      <w:r>
        <w:t xml:space="preserve">,</w:t>
      </w:r>
      <w:r>
        <w:t xml:space="preserve"> </w:t>
      </w:r>
      <w:r>
        <w:rPr>
          <w:b/>
          <w:bCs/>
        </w:rPr>
        <w:t xml:space="preserve">Webster NS</w:t>
      </w:r>
      <w:r>
        <w:t xml:space="preserve">,</w:t>
      </w:r>
      <w:r>
        <w:t xml:space="preserve"> </w:t>
      </w:r>
      <w:r>
        <w:rPr>
          <w:b/>
          <w:bCs/>
        </w:rPr>
        <w:t xml:space="preserve">Thomas T</w:t>
      </w:r>
      <w:r>
        <w:t xml:space="preserve">. 2017. The sponge microbiome project. GigaScience</w:t>
      </w:r>
      <w:r>
        <w:t xml:space="preserve"> </w:t>
      </w:r>
      <w:r>
        <w:rPr>
          <w:b/>
          <w:bCs/>
        </w:rPr>
        <w:t xml:space="preserve">6</w:t>
      </w:r>
      <w:r>
        <w:t xml:space="preserve">. doi:</w:t>
      </w:r>
      <w:hyperlink r:id="rId44">
        <w:r>
          <w:rPr>
            <w:rStyle w:val="Hyperlink"/>
          </w:rPr>
          <w:t xml:space="preserve">10.1093/gigascience/gix077</w:t>
        </w:r>
      </w:hyperlink>
      <w:r>
        <w:t xml:space="preserve">.</w:t>
      </w:r>
    </w:p>
    <w:bookmarkEnd w:id="45"/>
    <w:bookmarkStart w:id="47" w:name="ref-Tripathi2018"/>
    <w:p>
      <w:pPr>
        <w:pStyle w:val="Bibliography"/>
      </w:pPr>
      <w:r>
        <w:t xml:space="preserve">2.</w:t>
      </w:r>
      <w:r>
        <w:t xml:space="preserve"> </w:t>
      </w:r>
      <w:r>
        <w:t xml:space="preserve">	</w:t>
      </w:r>
      <w:r>
        <w:rPr>
          <w:b/>
          <w:bCs/>
        </w:rPr>
        <w:t xml:space="preserve">Tripathi A</w:t>
      </w:r>
      <w:r>
        <w:t xml:space="preserve">,</w:t>
      </w:r>
      <w:r>
        <w:t xml:space="preserve"> </w:t>
      </w:r>
      <w:r>
        <w:rPr>
          <w:b/>
          <w:bCs/>
        </w:rPr>
        <w:t xml:space="preserve">Melnik AV</w:t>
      </w:r>
      <w:r>
        <w:t xml:space="preserve">,</w:t>
      </w:r>
      <w:r>
        <w:t xml:space="preserve"> </w:t>
      </w:r>
      <w:r>
        <w:rPr>
          <w:b/>
          <w:bCs/>
        </w:rPr>
        <w:t xml:space="preserve">Xue J</w:t>
      </w:r>
      <w:r>
        <w:t xml:space="preserve">,</w:t>
      </w:r>
      <w:r>
        <w:t xml:space="preserve"> </w:t>
      </w:r>
      <w:r>
        <w:rPr>
          <w:b/>
          <w:bCs/>
        </w:rPr>
        <w:t xml:space="preserve">Poulsen O</w:t>
      </w:r>
      <w:r>
        <w:t xml:space="preserve">,</w:t>
      </w:r>
      <w:r>
        <w:t xml:space="preserve"> </w:t>
      </w:r>
      <w:r>
        <w:rPr>
          <w:b/>
          <w:bCs/>
        </w:rPr>
        <w:t xml:space="preserve">Meehan MJ</w:t>
      </w:r>
      <w:r>
        <w:t xml:space="preserve">,</w:t>
      </w:r>
      <w:r>
        <w:t xml:space="preserve"> </w:t>
      </w:r>
      <w:r>
        <w:rPr>
          <w:b/>
          <w:bCs/>
        </w:rPr>
        <w:t xml:space="preserve">Humphrey G</w:t>
      </w:r>
      <w:r>
        <w:t xml:space="preserve">,</w:t>
      </w:r>
      <w:r>
        <w:t xml:space="preserve"> </w:t>
      </w:r>
      <w:r>
        <w:rPr>
          <w:b/>
          <w:bCs/>
        </w:rPr>
        <w:t xml:space="preserve">Jiang L</w:t>
      </w:r>
      <w:r>
        <w:t xml:space="preserve">,</w:t>
      </w:r>
      <w:r>
        <w:t xml:space="preserve"> </w:t>
      </w:r>
      <w:r>
        <w:rPr>
          <w:b/>
          <w:bCs/>
        </w:rPr>
        <w:t xml:space="preserve">Ackermann G</w:t>
      </w:r>
      <w:r>
        <w:t xml:space="preserve">,</w:t>
      </w:r>
      <w:r>
        <w:t xml:space="preserve"> </w:t>
      </w:r>
      <w:r>
        <w:rPr>
          <w:b/>
          <w:bCs/>
        </w:rPr>
        <w:t xml:space="preserve">McDonald D</w:t>
      </w:r>
      <w:r>
        <w:t xml:space="preserve">,</w:t>
      </w:r>
      <w:r>
        <w:t xml:space="preserve"> </w:t>
      </w:r>
      <w:r>
        <w:rPr>
          <w:b/>
          <w:bCs/>
        </w:rPr>
        <w:t xml:space="preserve">Zhou D</w:t>
      </w:r>
      <w:r>
        <w:t xml:space="preserve">,</w:t>
      </w:r>
      <w:r>
        <w:t xml:space="preserve"> </w:t>
      </w:r>
      <w:r>
        <w:rPr>
          <w:b/>
          <w:bCs/>
        </w:rPr>
        <w:t xml:space="preserve">Knight R</w:t>
      </w:r>
      <w:r>
        <w:t xml:space="preserve">,</w:t>
      </w:r>
      <w:r>
        <w:t xml:space="preserve"> </w:t>
      </w:r>
      <w:r>
        <w:rPr>
          <w:b/>
          <w:bCs/>
        </w:rPr>
        <w:t xml:space="preserve">Dorrestein PC</w:t>
      </w:r>
      <w:r>
        <w:t xml:space="preserve">,</w:t>
      </w:r>
      <w:r>
        <w:t xml:space="preserve"> </w:t>
      </w:r>
      <w:r>
        <w:rPr>
          <w:b/>
          <w:bCs/>
        </w:rPr>
        <w:t xml:space="preserve">Haddad GG</w:t>
      </w:r>
      <w:r>
        <w:t xml:space="preserve">. 2018. Intermittent hypoxia and hypercapnia, a hallmark of obstructive sleep apnea, alters the gut microbiome and metabolome. mSystems</w:t>
      </w:r>
      <w:r>
        <w:t xml:space="preserve"> </w:t>
      </w:r>
      <w:r>
        <w:rPr>
          <w:b/>
          <w:bCs/>
        </w:rPr>
        <w:t xml:space="preserve">3</w:t>
      </w:r>
      <w:r>
        <w:t xml:space="preserve">. doi:</w:t>
      </w:r>
      <w:hyperlink r:id="rId46">
        <w:r>
          <w:rPr>
            <w:rStyle w:val="Hyperlink"/>
          </w:rPr>
          <w:t xml:space="preserve">10.1128/msystems.00020-18</w:t>
        </w:r>
      </w:hyperlink>
      <w:r>
        <w:t xml:space="preserve">.</w:t>
      </w:r>
    </w:p>
    <w:bookmarkEnd w:id="47"/>
    <w:bookmarkStart w:id="49" w:name="ref-Baxter2016"/>
    <w:p>
      <w:pPr>
        <w:pStyle w:val="Bibliography"/>
      </w:pPr>
      <w:r>
        <w:t xml:space="preserve">3.</w:t>
      </w:r>
      <w:r>
        <w:t xml:space="preserve"> </w:t>
      </w:r>
      <w:r>
        <w:t xml:space="preserve">	</w:t>
      </w:r>
      <w:r>
        <w:rPr>
          <w:b/>
          <w:bCs/>
        </w:rPr>
        <w:t xml:space="preserve">Baxter NT</w:t>
      </w:r>
      <w:r>
        <w:t xml:space="preserve">,</w:t>
      </w:r>
      <w:r>
        <w:t xml:space="preserve"> </w:t>
      </w:r>
      <w:r>
        <w:rPr>
          <w:b/>
          <w:bCs/>
        </w:rPr>
        <w:t xml:space="preserve">Ruffin MT</w:t>
      </w:r>
      <w:r>
        <w:t xml:space="preserve">,</w:t>
      </w:r>
      <w:r>
        <w:t xml:space="preserve"> </w:t>
      </w:r>
      <w:r>
        <w:rPr>
          <w:b/>
          <w:bCs/>
        </w:rPr>
        <w:t xml:space="preserve">Rogers MAM</w:t>
      </w:r>
      <w:r>
        <w:t xml:space="preserve">,</w:t>
      </w:r>
      <w:r>
        <w:t xml:space="preserve"> </w:t>
      </w:r>
      <w:r>
        <w:rPr>
          <w:b/>
          <w:bCs/>
        </w:rPr>
        <w:t xml:space="preserve">Schloss PD</w:t>
      </w:r>
      <w:r>
        <w:t xml:space="preserve">. 2016. Microbiota-based model improves the sensitivity of fecal immunochemical test for detecting colonic lesions. Genome Medicine</w:t>
      </w:r>
      <w:r>
        <w:t xml:space="preserve"> </w:t>
      </w:r>
      <w:r>
        <w:rPr>
          <w:b/>
          <w:bCs/>
        </w:rPr>
        <w:t xml:space="preserve">8</w:t>
      </w:r>
      <w:r>
        <w:t xml:space="preserve">. doi:</w:t>
      </w:r>
      <w:hyperlink r:id="rId48">
        <w:r>
          <w:rPr>
            <w:rStyle w:val="Hyperlink"/>
          </w:rPr>
          <w:t xml:space="preserve">10.1186/s13073-016-0290-3</w:t>
        </w:r>
      </w:hyperlink>
      <w:r>
        <w:t xml:space="preserve">.</w:t>
      </w:r>
    </w:p>
    <w:bookmarkEnd w:id="49"/>
    <w:bookmarkStart w:id="51" w:name="ref-Schloss2024b"/>
    <w:p>
      <w:pPr>
        <w:pStyle w:val="Bibliography"/>
      </w:pPr>
      <w:r>
        <w:t xml:space="preserve">4.</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50">
        <w:r>
          <w:rPr>
            <w:rStyle w:val="Hyperlink"/>
          </w:rPr>
          <w:t xml:space="preserve">10.1128/msphere.00354-23</w:t>
        </w:r>
      </w:hyperlink>
      <w:r>
        <w:t xml:space="preserve">.</w:t>
      </w:r>
    </w:p>
    <w:bookmarkEnd w:id="51"/>
    <w:bookmarkStart w:id="53" w:name="ref-Sanders1968"/>
    <w:p>
      <w:pPr>
        <w:pStyle w:val="Bibliography"/>
      </w:pPr>
      <w:r>
        <w:t xml:space="preserve">5.</w:t>
      </w:r>
      <w:r>
        <w:t xml:space="preserve"> </w:t>
      </w:r>
      <w:r>
        <w:t xml:space="preserve">	</w:t>
      </w:r>
      <w:r>
        <w:rPr>
          <w:b/>
          <w:bCs/>
        </w:rPr>
        <w:t xml:space="preserve">Sanders HL</w:t>
      </w:r>
      <w:r>
        <w:t xml:space="preserve">. 1968. Marine benthic diversity: A comparative study. The American Naturalist</w:t>
      </w:r>
      <w:r>
        <w:t xml:space="preserve"> </w:t>
      </w:r>
      <w:r>
        <w:rPr>
          <w:b/>
          <w:bCs/>
        </w:rPr>
        <w:t xml:space="preserve">102</w:t>
      </w:r>
      <w:r>
        <w:t xml:space="preserve">:243–282. doi:</w:t>
      </w:r>
      <w:hyperlink r:id="rId52">
        <w:r>
          <w:rPr>
            <w:rStyle w:val="Hyperlink"/>
          </w:rPr>
          <w:t xml:space="preserve">10.1086/282541</w:t>
        </w:r>
      </w:hyperlink>
      <w:r>
        <w:t xml:space="preserve">.</w:t>
      </w:r>
    </w:p>
    <w:bookmarkEnd w:id="53"/>
    <w:bookmarkStart w:id="55" w:name="ref-Hurlbert1971"/>
    <w:p>
      <w:pPr>
        <w:pStyle w:val="Bibliography"/>
      </w:pPr>
      <w:r>
        <w:t xml:space="preserve">6.</w:t>
      </w:r>
      <w:r>
        <w:t xml:space="preserve"> </w:t>
      </w:r>
      <w:r>
        <w:t xml:space="preserve">	</w:t>
      </w:r>
      <w:r>
        <w:rPr>
          <w:b/>
          <w:bCs/>
        </w:rPr>
        <w:t xml:space="preserve">Hurlbert SH</w:t>
      </w:r>
      <w:r>
        <w:t xml:space="preserve">. 1971. The nonconcept of species diversity: A critique and alternative parameters. Ecology</w:t>
      </w:r>
      <w:r>
        <w:t xml:space="preserve"> </w:t>
      </w:r>
      <w:r>
        <w:rPr>
          <w:b/>
          <w:bCs/>
        </w:rPr>
        <w:t xml:space="preserve">52</w:t>
      </w:r>
      <w:r>
        <w:t xml:space="preserve">:577–586. doi:</w:t>
      </w:r>
      <w:hyperlink r:id="rId54">
        <w:r>
          <w:rPr>
            <w:rStyle w:val="Hyperlink"/>
          </w:rPr>
          <w:t xml:space="preserve">10.2307/1934145</w:t>
        </w:r>
      </w:hyperlink>
      <w:r>
        <w:t xml:space="preserve">.</w:t>
      </w:r>
    </w:p>
    <w:bookmarkEnd w:id="55"/>
    <w:bookmarkStart w:id="57" w:name="ref-Tipper1979"/>
    <w:p>
      <w:pPr>
        <w:pStyle w:val="Bibliography"/>
      </w:pPr>
      <w:r>
        <w:t xml:space="preserve">7.</w:t>
      </w:r>
      <w:r>
        <w:t xml:space="preserve"> </w:t>
      </w:r>
      <w:r>
        <w:t xml:space="preserve">	</w:t>
      </w:r>
      <w:r>
        <w:rPr>
          <w:b/>
          <w:bCs/>
        </w:rPr>
        <w:t xml:space="preserve">Tipper JC</w:t>
      </w:r>
      <w:r>
        <w:t xml:space="preserve">. 1979.</w:t>
      </w:r>
      <w:r>
        <w:t xml:space="preserve"> </w:t>
      </w:r>
      <w:hyperlink r:id="rId56">
        <w:r>
          <w:rPr>
            <w:rStyle w:val="Hyperlink"/>
          </w:rPr>
          <w:t xml:space="preserve">Rarefaction and rarefiction: The use and abuse of a method in paleoecology</w:t>
        </w:r>
      </w:hyperlink>
      <w:r>
        <w:t xml:space="preserve">. Paleobiology</w:t>
      </w:r>
      <w:r>
        <w:t xml:space="preserve"> </w:t>
      </w:r>
      <w:r>
        <w:rPr>
          <w:b/>
          <w:bCs/>
        </w:rPr>
        <w:t xml:space="preserve">5</w:t>
      </w:r>
      <w:r>
        <w:t xml:space="preserve">:423–434.</w:t>
      </w:r>
    </w:p>
    <w:bookmarkEnd w:id="57"/>
    <w:bookmarkStart w:id="59" w:name="ref-McMurdie2014"/>
    <w:p>
      <w:pPr>
        <w:pStyle w:val="Bibliography"/>
      </w:pPr>
      <w:r>
        <w:t xml:space="preserve">8.</w:t>
      </w:r>
      <w:r>
        <w:t xml:space="preserve"> </w:t>
      </w:r>
      <w:r>
        <w:t xml:space="preserve">	</w:t>
      </w:r>
      <w:r>
        <w:rPr>
          <w:b/>
          <w:bCs/>
        </w:rPr>
        <w:t xml:space="preserve">McMurdie PJ</w:t>
      </w:r>
      <w:r>
        <w:t xml:space="preserve">,</w:t>
      </w:r>
      <w:r>
        <w:t xml:space="preserve"> </w:t>
      </w:r>
      <w:r>
        <w:rPr>
          <w:b/>
          <w:bCs/>
        </w:rPr>
        <w:t xml:space="preserve">Holmes S</w:t>
      </w:r>
      <w:r>
        <w:t xml:space="preserve">. 2014. Waste not, want not: Why rarefying microbiome data is inadmissible.</w:t>
      </w:r>
      <w:r>
        <w:t xml:space="preserve"> </w:t>
      </w:r>
      <w:r>
        <w:t xml:space="preserve">PLoS</w:t>
      </w:r>
      <w:r>
        <w:t xml:space="preserve"> </w:t>
      </w:r>
      <w:r>
        <w:t xml:space="preserve">Computational Biology</w:t>
      </w:r>
      <w:r>
        <w:t xml:space="preserve"> </w:t>
      </w:r>
      <w:r>
        <w:rPr>
          <w:b/>
          <w:bCs/>
        </w:rPr>
        <w:t xml:space="preserve">10</w:t>
      </w:r>
      <w:r>
        <w:t xml:space="preserve">:e1003531. doi:</w:t>
      </w:r>
      <w:hyperlink r:id="rId58">
        <w:r>
          <w:rPr>
            <w:rStyle w:val="Hyperlink"/>
          </w:rPr>
          <w:t xml:space="preserve">10.1371/journal.pcbi.1003531</w:t>
        </w:r>
      </w:hyperlink>
      <w:r>
        <w:t xml:space="preserve">.</w:t>
      </w:r>
    </w:p>
    <w:bookmarkEnd w:id="59"/>
    <w:bookmarkStart w:id="61" w:name="ref-Willis2019"/>
    <w:p>
      <w:pPr>
        <w:pStyle w:val="Bibliography"/>
      </w:pPr>
      <w:r>
        <w:t xml:space="preserve">9.</w:t>
      </w:r>
      <w:r>
        <w:t xml:space="preserve"> </w:t>
      </w:r>
      <w:r>
        <w:t xml:space="preserve">	</w:t>
      </w:r>
      <w:r>
        <w:rPr>
          <w:b/>
          <w:bCs/>
        </w:rPr>
        <w:t xml:space="preserve">Willis AD</w:t>
      </w:r>
      <w:r>
        <w:t xml:space="preserve">. 2019. Rarefaction, alpha diversity, and statistics. Frontiers in Microbiology</w:t>
      </w:r>
      <w:r>
        <w:t xml:space="preserve"> </w:t>
      </w:r>
      <w:r>
        <w:rPr>
          <w:b/>
          <w:bCs/>
        </w:rPr>
        <w:t xml:space="preserve">10</w:t>
      </w:r>
      <w:r>
        <w:t xml:space="preserve">:2407. doi:</w:t>
      </w:r>
      <w:hyperlink r:id="rId60">
        <w:r>
          <w:rPr>
            <w:rStyle w:val="Hyperlink"/>
          </w:rPr>
          <w:t xml:space="preserve">10.3389/fmicb.2019.02407</w:t>
        </w:r>
      </w:hyperlink>
      <w:r>
        <w:t xml:space="preserve">.</w:t>
      </w:r>
    </w:p>
    <w:bookmarkEnd w:id="61"/>
    <w:bookmarkStart w:id="63" w:name="ref-Gloor2017"/>
    <w:p>
      <w:pPr>
        <w:pStyle w:val="Bibliography"/>
      </w:pPr>
      <w:r>
        <w:t xml:space="preserve">10.</w:t>
      </w:r>
      <w:r>
        <w:t xml:space="preserve"> </w:t>
      </w:r>
      <w:r>
        <w:t xml:space="preserve">	</w:t>
      </w:r>
      <w:r>
        <w:rPr>
          <w:b/>
          <w:bCs/>
        </w:rPr>
        <w:t xml:space="preserve">Gloor GB</w:t>
      </w:r>
      <w:r>
        <w:t xml:space="preserve">,</w:t>
      </w:r>
      <w:r>
        <w:t xml:space="preserve"> </w:t>
      </w:r>
      <w:r>
        <w:rPr>
          <w:b/>
          <w:bCs/>
        </w:rPr>
        <w:t xml:space="preserve">Macklaim JM</w:t>
      </w:r>
      <w:r>
        <w:t xml:space="preserve">,</w:t>
      </w:r>
      <w:r>
        <w:t xml:space="preserve"> </w:t>
      </w:r>
      <w:r>
        <w:rPr>
          <w:b/>
          <w:bCs/>
        </w:rPr>
        <w:t xml:space="preserve">Pawlowsky-Glahn V</w:t>
      </w:r>
      <w:r>
        <w:t xml:space="preserve">,</w:t>
      </w:r>
      <w:r>
        <w:t xml:space="preserve"> </w:t>
      </w:r>
      <w:r>
        <w:rPr>
          <w:b/>
          <w:bCs/>
        </w:rPr>
        <w:t xml:space="preserve">Egozcue JJ</w:t>
      </w:r>
      <w:r>
        <w:t xml:space="preserve">. 2017. Microbiome datasets are compositional: And this is not optional. Frontiers in Microbiology</w:t>
      </w:r>
      <w:r>
        <w:t xml:space="preserve"> </w:t>
      </w:r>
      <w:r>
        <w:rPr>
          <w:b/>
          <w:bCs/>
        </w:rPr>
        <w:t xml:space="preserve">8</w:t>
      </w:r>
      <w:r>
        <w:t xml:space="preserve">. doi:</w:t>
      </w:r>
      <w:hyperlink r:id="rId62">
        <w:r>
          <w:rPr>
            <w:rStyle w:val="Hyperlink"/>
          </w:rPr>
          <w:t xml:space="preserve">10.3389/fmicb.2017.02224</w:t>
        </w:r>
      </w:hyperlink>
      <w:r>
        <w:t xml:space="preserve">.</w:t>
      </w:r>
    </w:p>
    <w:bookmarkEnd w:id="63"/>
    <w:bookmarkStart w:id="65" w:name="ref-Weiss2017"/>
    <w:p>
      <w:pPr>
        <w:pStyle w:val="Bibliography"/>
      </w:pPr>
      <w:r>
        <w:t xml:space="preserve">11.</w:t>
      </w:r>
      <w:r>
        <w:t xml:space="preserve"> </w:t>
      </w:r>
      <w:r>
        <w:t xml:space="preserve">	</w:t>
      </w:r>
      <w:r>
        <w:rPr>
          <w:b/>
          <w:bCs/>
        </w:rPr>
        <w:t xml:space="preserve">Weiss S</w:t>
      </w:r>
      <w:r>
        <w:t xml:space="preserve">,</w:t>
      </w:r>
      <w:r>
        <w:t xml:space="preserve"> </w:t>
      </w:r>
      <w:r>
        <w:rPr>
          <w:b/>
          <w:bCs/>
        </w:rPr>
        <w:t xml:space="preserve">Xu ZZ</w:t>
      </w:r>
      <w:r>
        <w:t xml:space="preserve">,</w:t>
      </w:r>
      <w:r>
        <w:t xml:space="preserve"> </w:t>
      </w:r>
      <w:r>
        <w:rPr>
          <w:b/>
          <w:bCs/>
        </w:rPr>
        <w:t xml:space="preserve">Peddada S</w:t>
      </w:r>
      <w:r>
        <w:t xml:space="preserve">,</w:t>
      </w:r>
      <w:r>
        <w:t xml:space="preserve"> </w:t>
      </w:r>
      <w:r>
        <w:rPr>
          <w:b/>
          <w:bCs/>
        </w:rPr>
        <w:t xml:space="preserve">Amir A</w:t>
      </w:r>
      <w:r>
        <w:t xml:space="preserve">,</w:t>
      </w:r>
      <w:r>
        <w:t xml:space="preserve"> </w:t>
      </w:r>
      <w:r>
        <w:rPr>
          <w:b/>
          <w:bCs/>
        </w:rPr>
        <w:t xml:space="preserve">Bittinger K</w:t>
      </w:r>
      <w:r>
        <w:t xml:space="preserve">,</w:t>
      </w:r>
      <w:r>
        <w:t xml:space="preserve"> </w:t>
      </w:r>
      <w:r>
        <w:rPr>
          <w:b/>
          <w:bCs/>
        </w:rPr>
        <w:t xml:space="preserve">Gonzalez A</w:t>
      </w:r>
      <w:r>
        <w:t xml:space="preserve">,</w:t>
      </w:r>
      <w:r>
        <w:t xml:space="preserve"> </w:t>
      </w:r>
      <w:r>
        <w:rPr>
          <w:b/>
          <w:bCs/>
        </w:rPr>
        <w:t xml:space="preserve">Lozupone C</w:t>
      </w:r>
      <w:r>
        <w:t xml:space="preserve">,</w:t>
      </w:r>
      <w:r>
        <w:t xml:space="preserve"> </w:t>
      </w:r>
      <w:r>
        <w:rPr>
          <w:b/>
          <w:bCs/>
        </w:rPr>
        <w:t xml:space="preserve">Zaneveld JR</w:t>
      </w:r>
      <w:r>
        <w:t xml:space="preserve">,</w:t>
      </w:r>
      <w:r>
        <w:t xml:space="preserve"> </w:t>
      </w:r>
      <w:r>
        <w:rPr>
          <w:b/>
          <w:bCs/>
        </w:rPr>
        <w:t xml:space="preserve">Vázquez-Baeza Y</w:t>
      </w:r>
      <w:r>
        <w:t xml:space="preserve">,</w:t>
      </w:r>
      <w:r>
        <w:t xml:space="preserve"> </w:t>
      </w:r>
      <w:r>
        <w:rPr>
          <w:b/>
          <w:bCs/>
        </w:rPr>
        <w:t xml:space="preserve">Birmingham A</w:t>
      </w:r>
      <w:r>
        <w:t xml:space="preserve">,</w:t>
      </w:r>
      <w:r>
        <w:t xml:space="preserve"> </w:t>
      </w:r>
      <w:r>
        <w:rPr>
          <w:b/>
          <w:bCs/>
        </w:rPr>
        <w:t xml:space="preserve">Hyde ER</w:t>
      </w:r>
      <w:r>
        <w:t xml:space="preserve">,</w:t>
      </w:r>
      <w:r>
        <w:t xml:space="preserve"> </w:t>
      </w:r>
      <w:r>
        <w:rPr>
          <w:b/>
          <w:bCs/>
        </w:rPr>
        <w:t xml:space="preserve">Knight R</w:t>
      </w:r>
      <w:r>
        <w:t xml:space="preserve">. 2017. Normalization and microbial differential abundance strategies depend upon data characteristics. Microbiome</w:t>
      </w:r>
      <w:r>
        <w:t xml:space="preserve"> </w:t>
      </w:r>
      <w:r>
        <w:rPr>
          <w:b/>
          <w:bCs/>
        </w:rPr>
        <w:t xml:space="preserve">5</w:t>
      </w:r>
      <w:r>
        <w:t xml:space="preserve">. doi:</w:t>
      </w:r>
      <w:hyperlink r:id="rId64">
        <w:r>
          <w:rPr>
            <w:rStyle w:val="Hyperlink"/>
          </w:rPr>
          <w:t xml:space="preserve">10.1186/s40168-017-0237-y</w:t>
        </w:r>
      </w:hyperlink>
      <w:r>
        <w:t xml:space="preserve">.</w:t>
      </w:r>
    </w:p>
    <w:bookmarkEnd w:id="65"/>
    <w:bookmarkStart w:id="67" w:name="ref-Beule2020"/>
    <w:p>
      <w:pPr>
        <w:pStyle w:val="Bibliography"/>
      </w:pPr>
      <w:r>
        <w:t xml:space="preserve">12.</w:t>
      </w:r>
      <w:r>
        <w:t xml:space="preserve"> </w:t>
      </w:r>
      <w:r>
        <w:t xml:space="preserve">	</w:t>
      </w:r>
      <w:r>
        <w:rPr>
          <w:b/>
          <w:bCs/>
        </w:rPr>
        <w:t xml:space="preserve">Beule L</w:t>
      </w:r>
      <w:r>
        <w:t xml:space="preserve">,</w:t>
      </w:r>
      <w:r>
        <w:t xml:space="preserve"> </w:t>
      </w:r>
      <w:r>
        <w:rPr>
          <w:b/>
          <w:bCs/>
        </w:rPr>
        <w:t xml:space="preserve">Karlovsky P</w:t>
      </w:r>
      <w:r>
        <w:t xml:space="preserve">. 2020. Improved normalization of species count data in ecology by scaling with ranked subsampling (SRS): Application to microbial communities. PeerJ</w:t>
      </w:r>
      <w:r>
        <w:t xml:space="preserve"> </w:t>
      </w:r>
      <w:r>
        <w:rPr>
          <w:b/>
          <w:bCs/>
        </w:rPr>
        <w:t xml:space="preserve">8</w:t>
      </w:r>
      <w:r>
        <w:t xml:space="preserve">:e9593. doi:</w:t>
      </w:r>
      <w:hyperlink r:id="rId66">
        <w:r>
          <w:rPr>
            <w:rStyle w:val="Hyperlink"/>
          </w:rPr>
          <w:t xml:space="preserve">10.7717/peerj.9593</w:t>
        </w:r>
      </w:hyperlink>
      <w:r>
        <w:t xml:space="preserve">.</w:t>
      </w:r>
    </w:p>
    <w:bookmarkEnd w:id="67"/>
    <w:bookmarkStart w:id="69" w:name="ref-Paulson2013"/>
    <w:p>
      <w:pPr>
        <w:pStyle w:val="Bibliography"/>
      </w:pPr>
      <w:r>
        <w:t xml:space="preserve">13.</w:t>
      </w:r>
      <w:r>
        <w:t xml:space="preserve"> </w:t>
      </w:r>
      <w:r>
        <w:t xml:space="preserve">	</w:t>
      </w:r>
      <w:r>
        <w:rPr>
          <w:b/>
          <w:bCs/>
        </w:rPr>
        <w:t xml:space="preserve">Paulson JN</w:t>
      </w:r>
      <w:r>
        <w:t xml:space="preserve">,</w:t>
      </w:r>
      <w:r>
        <w:t xml:space="preserve"> </w:t>
      </w:r>
      <w:r>
        <w:rPr>
          <w:b/>
          <w:bCs/>
        </w:rPr>
        <w:t xml:space="preserve">Stine OC</w:t>
      </w:r>
      <w:r>
        <w:t xml:space="preserve">,</w:t>
      </w:r>
      <w:r>
        <w:t xml:space="preserve"> </w:t>
      </w:r>
      <w:r>
        <w:rPr>
          <w:b/>
          <w:bCs/>
        </w:rPr>
        <w:t xml:space="preserve">Bravo HC</w:t>
      </w:r>
      <w:r>
        <w:t xml:space="preserve">,</w:t>
      </w:r>
      <w:r>
        <w:t xml:space="preserve"> </w:t>
      </w:r>
      <w:r>
        <w:rPr>
          <w:b/>
          <w:bCs/>
        </w:rPr>
        <w:t xml:space="preserve">Pop M</w:t>
      </w:r>
      <w:r>
        <w:t xml:space="preserve">. 2013. Differential abundance analysis for microbial marker-gene surveys. Nature Methods</w:t>
      </w:r>
      <w:r>
        <w:t xml:space="preserve"> </w:t>
      </w:r>
      <w:r>
        <w:rPr>
          <w:b/>
          <w:bCs/>
        </w:rPr>
        <w:t xml:space="preserve">10</w:t>
      </w:r>
      <w:r>
        <w:t xml:space="preserve">:1200–1202. doi:</w:t>
      </w:r>
      <w:hyperlink r:id="rId68">
        <w:r>
          <w:rPr>
            <w:rStyle w:val="Hyperlink"/>
          </w:rPr>
          <w:t xml:space="preserve">10.1038/nmeth.2658</w:t>
        </w:r>
      </w:hyperlink>
      <w:r>
        <w:t xml:space="preserve">.</w:t>
      </w:r>
    </w:p>
    <w:bookmarkEnd w:id="69"/>
    <w:bookmarkStart w:id="71" w:name="ref-Love2014"/>
    <w:p>
      <w:pPr>
        <w:pStyle w:val="Bibliography"/>
      </w:pPr>
      <w:r>
        <w:t xml:space="preserve">14.</w:t>
      </w:r>
      <w:r>
        <w:t xml:space="preserve"> </w:t>
      </w:r>
      <w:r>
        <w:t xml:space="preserve">	</w:t>
      </w:r>
      <w:r>
        <w:rPr>
          <w:b/>
          <w:bCs/>
        </w:rPr>
        <w:t xml:space="preserve">Love MI</w:t>
      </w:r>
      <w:r>
        <w:t xml:space="preserve">,</w:t>
      </w:r>
      <w:r>
        <w:t xml:space="preserve"> </w:t>
      </w:r>
      <w:r>
        <w:rPr>
          <w:b/>
          <w:bCs/>
        </w:rPr>
        <w:t xml:space="preserve">Huber W</w:t>
      </w:r>
      <w:r>
        <w:t xml:space="preserve">,</w:t>
      </w:r>
      <w:r>
        <w:t xml:space="preserve"> </w:t>
      </w:r>
      <w:r>
        <w:rPr>
          <w:b/>
          <w:bCs/>
        </w:rPr>
        <w:t xml:space="preserve">Anders S</w:t>
      </w:r>
      <w:r>
        <w:t xml:space="preserve">. 2014. Moderated estimation of fold change and dispersion for RNA-seq data with DESeq2. Genome Biology</w:t>
      </w:r>
      <w:r>
        <w:t xml:space="preserve"> </w:t>
      </w:r>
      <w:r>
        <w:rPr>
          <w:b/>
          <w:bCs/>
        </w:rPr>
        <w:t xml:space="preserve">15</w:t>
      </w:r>
      <w:r>
        <w:t xml:space="preserve">. doi:</w:t>
      </w:r>
      <w:hyperlink r:id="rId70">
        <w:r>
          <w:rPr>
            <w:rStyle w:val="Hyperlink"/>
          </w:rPr>
          <w:t xml:space="preserve">10.1186/s13059-014-0550-8</w:t>
        </w:r>
      </w:hyperlink>
      <w:r>
        <w:t xml:space="preserve">.</w:t>
      </w:r>
    </w:p>
    <w:bookmarkEnd w:id="71"/>
    <w:bookmarkStart w:id="73" w:name="ref-Chao2003"/>
    <w:p>
      <w:pPr>
        <w:pStyle w:val="Bibliography"/>
      </w:pPr>
      <w:r>
        <w:t xml:space="preserve">15.</w:t>
      </w:r>
      <w:r>
        <w:t xml:space="preserve"> </w:t>
      </w:r>
      <w:r>
        <w:t xml:space="preserve">	</w:t>
      </w:r>
      <w:r>
        <w:rPr>
          <w:b/>
          <w:bCs/>
        </w:rPr>
        <w:t xml:space="preserve">Chao A</w:t>
      </w:r>
      <w:r>
        <w:t xml:space="preserve">,</w:t>
      </w:r>
      <w:r>
        <w:t xml:space="preserve"> </w:t>
      </w:r>
      <w:r>
        <w:rPr>
          <w:b/>
          <w:bCs/>
        </w:rPr>
        <w:t xml:space="preserve">Shen T-J</w:t>
      </w:r>
      <w:r>
        <w:t xml:space="preserve">. 2003. Environmental and Ecological Statistics</w:t>
      </w:r>
      <w:r>
        <w:t xml:space="preserve"> </w:t>
      </w:r>
      <w:r>
        <w:rPr>
          <w:b/>
          <w:bCs/>
        </w:rPr>
        <w:t xml:space="preserve">10</w:t>
      </w:r>
      <w:r>
        <w:t xml:space="preserve">:429–443. doi:</w:t>
      </w:r>
      <w:hyperlink r:id="rId72">
        <w:r>
          <w:rPr>
            <w:rStyle w:val="Hyperlink"/>
          </w:rPr>
          <w:t xml:space="preserve">10.1023/a:1026096204727</w:t>
        </w:r>
      </w:hyperlink>
      <w:r>
        <w:t xml:space="preserve">.</w:t>
      </w:r>
    </w:p>
    <w:bookmarkEnd w:id="73"/>
    <w:bookmarkStart w:id="75" w:name="ref-Chao2014"/>
    <w:p>
      <w:pPr>
        <w:pStyle w:val="Bibliography"/>
      </w:pPr>
      <w:r>
        <w:t xml:space="preserve">16.</w:t>
      </w:r>
      <w:r>
        <w:t xml:space="preserve"> </w:t>
      </w:r>
      <w:r>
        <w:t xml:space="preserve">	</w:t>
      </w:r>
      <w:r>
        <w:rPr>
          <w:b/>
          <w:bCs/>
        </w:rPr>
        <w:t xml:space="preserve">Chao A</w:t>
      </w:r>
      <w:r>
        <w:t xml:space="preserve">,</w:t>
      </w:r>
      <w:r>
        <w:t xml:space="preserve"> </w:t>
      </w:r>
      <w:r>
        <w:rPr>
          <w:b/>
          <w:bCs/>
        </w:rPr>
        <w:t xml:space="preserve">Gotelli NJ</w:t>
      </w:r>
      <w:r>
        <w:t xml:space="preserve">,</w:t>
      </w:r>
      <w:r>
        <w:t xml:space="preserve"> </w:t>
      </w:r>
      <w:r>
        <w:rPr>
          <w:b/>
          <w:bCs/>
        </w:rPr>
        <w:t xml:space="preserve">Hsieh TC</w:t>
      </w:r>
      <w:r>
        <w:t xml:space="preserve">,</w:t>
      </w:r>
      <w:r>
        <w:t xml:space="preserve"> </w:t>
      </w:r>
      <w:r>
        <w:rPr>
          <w:b/>
          <w:bCs/>
        </w:rPr>
        <w:t xml:space="preserve">Sander EL</w:t>
      </w:r>
      <w:r>
        <w:t xml:space="preserve">,</w:t>
      </w:r>
      <w:r>
        <w:t xml:space="preserve"> </w:t>
      </w:r>
      <w:r>
        <w:rPr>
          <w:b/>
          <w:bCs/>
        </w:rPr>
        <w:t xml:space="preserve">Ma KH</w:t>
      </w:r>
      <w:r>
        <w:t xml:space="preserve">,</w:t>
      </w:r>
      <w:r>
        <w:t xml:space="preserve"> </w:t>
      </w:r>
      <w:r>
        <w:rPr>
          <w:b/>
          <w:bCs/>
        </w:rPr>
        <w:t xml:space="preserve">Colwell RK</w:t>
      </w:r>
      <w:r>
        <w:t xml:space="preserve">,</w:t>
      </w:r>
      <w:r>
        <w:t xml:space="preserve"> </w:t>
      </w:r>
      <w:r>
        <w:rPr>
          <w:b/>
          <w:bCs/>
        </w:rPr>
        <w:t xml:space="preserve">Ellison AM</w:t>
      </w:r>
      <w:r>
        <w:t xml:space="preserve">. 2014. Rarefaction and extrapolation with hill numbers: A framework for sampling and estimation in species diversity studies. Ecological Monographs</w:t>
      </w:r>
      <w:r>
        <w:t xml:space="preserve"> </w:t>
      </w:r>
      <w:r>
        <w:rPr>
          <w:b/>
          <w:bCs/>
        </w:rPr>
        <w:t xml:space="preserve">84</w:t>
      </w:r>
      <w:r>
        <w:t xml:space="preserve">:45–67. doi:</w:t>
      </w:r>
      <w:hyperlink r:id="rId74">
        <w:r>
          <w:rPr>
            <w:rStyle w:val="Hyperlink"/>
          </w:rPr>
          <w:t xml:space="preserve">10.1890/13-0133.1</w:t>
        </w:r>
      </w:hyperlink>
      <w:r>
        <w:t xml:space="preserve">.</w:t>
      </w:r>
    </w:p>
    <w:bookmarkEnd w:id="75"/>
    <w:bookmarkStart w:id="77" w:name="ref-Chao2016"/>
    <w:p>
      <w:pPr>
        <w:pStyle w:val="Bibliography"/>
      </w:pPr>
      <w:r>
        <w:t xml:space="preserve">17.</w:t>
      </w:r>
      <w:r>
        <w:t xml:space="preserve"> </w:t>
      </w:r>
      <w:r>
        <w:t xml:space="preserve">	</w:t>
      </w:r>
      <w:r>
        <w:rPr>
          <w:b/>
          <w:bCs/>
        </w:rPr>
        <w:t xml:space="preserve">Chao A</w:t>
      </w:r>
      <w:r>
        <w:t xml:space="preserve">,</w:t>
      </w:r>
      <w:r>
        <w:t xml:space="preserve"> </w:t>
      </w:r>
      <w:r>
        <w:rPr>
          <w:b/>
          <w:bCs/>
        </w:rPr>
        <w:t xml:space="preserve">Chiu C-H</w:t>
      </w:r>
      <w:r>
        <w:t xml:space="preserve">. 2016.</w:t>
      </w:r>
      <w:r>
        <w:t xml:space="preserve"> </w:t>
      </w:r>
      <w:hyperlink r:id="rId76">
        <w:r>
          <w:rPr>
            <w:rStyle w:val="Hyperlink"/>
          </w:rPr>
          <w:t xml:space="preserve">Species richness: Estimation and comparison</w:t>
        </w:r>
      </w:hyperlink>
      <w:r>
        <w:t xml:space="preserve">, p. 1–26.</w:t>
      </w:r>
      <w:r>
        <w:t xml:space="preserve"> </w:t>
      </w:r>
      <w:r>
        <w:rPr>
          <w:i/>
          <w:iCs/>
        </w:rPr>
        <w:t xml:space="preserve">In</w:t>
      </w:r>
      <w:r>
        <w:t xml:space="preserve"> </w:t>
      </w:r>
      <w:r>
        <w:t xml:space="preserve">Wiley StatsRef: Statistics reference online. John Wiley &amp; Sons, Ltd.</w:t>
      </w:r>
    </w:p>
    <w:bookmarkEnd w:id="77"/>
    <w:bookmarkStart w:id="79" w:name="ref-Quinn2018"/>
    <w:p>
      <w:pPr>
        <w:pStyle w:val="Bibliography"/>
      </w:pPr>
      <w:r>
        <w:t xml:space="preserve">18.</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Richardson MF</w:t>
      </w:r>
      <w:r>
        <w:t xml:space="preserve">,</w:t>
      </w:r>
      <w:r>
        <w:t xml:space="preserve"> </w:t>
      </w:r>
      <w:r>
        <w:rPr>
          <w:b/>
          <w:bCs/>
        </w:rPr>
        <w:t xml:space="preserve">Crowley TM</w:t>
      </w:r>
      <w:r>
        <w:t xml:space="preserve">. 2018. Understanding sequencing data as compositions: An outlook and review. Bioinformatics</w:t>
      </w:r>
      <w:r>
        <w:t xml:space="preserve"> </w:t>
      </w:r>
      <w:r>
        <w:rPr>
          <w:b/>
          <w:bCs/>
        </w:rPr>
        <w:t xml:space="preserve">34</w:t>
      </w:r>
      <w:r>
        <w:t xml:space="preserve">:2870–2878. doi:</w:t>
      </w:r>
      <w:hyperlink r:id="rId78">
        <w:r>
          <w:rPr>
            <w:rStyle w:val="Hyperlink"/>
          </w:rPr>
          <w:t xml:space="preserve">10.1093/bioinformatics/bty175</w:t>
        </w:r>
      </w:hyperlink>
      <w:r>
        <w:t xml:space="preserve">.</w:t>
      </w:r>
    </w:p>
    <w:bookmarkEnd w:id="79"/>
    <w:bookmarkStart w:id="81" w:name="ref-Quinn2019"/>
    <w:p>
      <w:pPr>
        <w:pStyle w:val="Bibliography"/>
      </w:pPr>
      <w:r>
        <w:t xml:space="preserve">19.</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Gloor G</w:t>
      </w:r>
      <w:r>
        <w:t xml:space="preserve">,</w:t>
      </w:r>
      <w:r>
        <w:t xml:space="preserve"> </w:t>
      </w:r>
      <w:r>
        <w:rPr>
          <w:b/>
          <w:bCs/>
        </w:rPr>
        <w:t xml:space="preserve">Notredame C</w:t>
      </w:r>
      <w:r>
        <w:t xml:space="preserve">,</w:t>
      </w:r>
      <w:r>
        <w:t xml:space="preserve"> </w:t>
      </w:r>
      <w:r>
        <w:rPr>
          <w:b/>
          <w:bCs/>
        </w:rPr>
        <w:t xml:space="preserve">Richardson MF</w:t>
      </w:r>
      <w:r>
        <w:t xml:space="preserve">,</w:t>
      </w:r>
      <w:r>
        <w:t xml:space="preserve"> </w:t>
      </w:r>
      <w:r>
        <w:rPr>
          <w:b/>
          <w:bCs/>
        </w:rPr>
        <w:t xml:space="preserve">Crowley TM</w:t>
      </w:r>
      <w:r>
        <w:t xml:space="preserve">. 2019. A field guide for the compositional analysis of any-omics data.</w:t>
      </w:r>
      <w:r>
        <w:t xml:space="preserve"> </w:t>
      </w:r>
      <w:r>
        <w:t xml:space="preserve">GigaScience</w:t>
      </w:r>
      <w:r>
        <w:t xml:space="preserve"> </w:t>
      </w:r>
      <w:r>
        <w:rPr>
          <w:b/>
          <w:bCs/>
        </w:rPr>
        <w:t xml:space="preserve">8</w:t>
      </w:r>
      <w:r>
        <w:t xml:space="preserve">:giz107. doi:</w:t>
      </w:r>
      <w:hyperlink r:id="rId80">
        <w:r>
          <w:rPr>
            <w:rStyle w:val="Hyperlink"/>
          </w:rPr>
          <w:t xml:space="preserve">10.1093/gigascience/giz107</w:t>
        </w:r>
      </w:hyperlink>
      <w:r>
        <w:t xml:space="preserve">.</w:t>
      </w:r>
    </w:p>
    <w:bookmarkEnd w:id="81"/>
    <w:bookmarkStart w:id="83" w:name="ref-Palarea2015"/>
    <w:p>
      <w:pPr>
        <w:pStyle w:val="Bibliography"/>
      </w:pPr>
      <w:r>
        <w:t xml:space="preserve">20.</w:t>
      </w:r>
      <w:r>
        <w:t xml:space="preserve"> </w:t>
      </w:r>
      <w:r>
        <w:t xml:space="preserve">	</w:t>
      </w:r>
      <w:r>
        <w:rPr>
          <w:b/>
          <w:bCs/>
        </w:rPr>
        <w:t xml:space="preserve">Palarea-Albaladejo J</w:t>
      </w:r>
      <w:r>
        <w:t xml:space="preserve">,</w:t>
      </w:r>
      <w:r>
        <w:t xml:space="preserve"> </w:t>
      </w:r>
      <w:r>
        <w:rPr>
          <w:b/>
          <w:bCs/>
        </w:rPr>
        <w:t xml:space="preserve">Martin-Fernandez J</w:t>
      </w:r>
      <w:r>
        <w:t xml:space="preserve">. 2015. zCompositions –</w:t>
      </w:r>
      <w:r>
        <w:t xml:space="preserve"> </w:t>
      </w:r>
      <w:r>
        <w:t xml:space="preserve">R</w:t>
      </w:r>
      <w:r>
        <w:t xml:space="preserve"> </w:t>
      </w:r>
      <w:r>
        <w:t xml:space="preserve">package for multivariate imputation of left-censored data under a compositional approach. Chemometrics and Intelligent Laboratory Systems</w:t>
      </w:r>
      <w:r>
        <w:t xml:space="preserve"> </w:t>
      </w:r>
      <w:r>
        <w:rPr>
          <w:b/>
          <w:bCs/>
        </w:rPr>
        <w:t xml:space="preserve">143</w:t>
      </w:r>
      <w:r>
        <w:t xml:space="preserve">:85–96. doi:</w:t>
      </w:r>
      <w:hyperlink r:id="rId82">
        <w:r>
          <w:rPr>
            <w:rStyle w:val="Hyperlink"/>
          </w:rPr>
          <w:t xml:space="preserve">10.1016/j.chemolab.2015.02.019</w:t>
        </w:r>
      </w:hyperlink>
      <w:r>
        <w:t xml:space="preserve">.</w:t>
      </w:r>
    </w:p>
    <w:bookmarkEnd w:id="83"/>
    <w:bookmarkStart w:id="85" w:name="ref-Lin2020"/>
    <w:p>
      <w:pPr>
        <w:pStyle w:val="Bibliography"/>
      </w:pPr>
      <w:r>
        <w:t xml:space="preserve">21.</w:t>
      </w:r>
      <w:r>
        <w:t xml:space="preserve"> </w:t>
      </w:r>
      <w:r>
        <w:t xml:space="preserve">	</w:t>
      </w:r>
      <w:r>
        <w:rPr>
          <w:b/>
          <w:bCs/>
        </w:rPr>
        <w:t xml:space="preserve">Lin H</w:t>
      </w:r>
      <w:r>
        <w:t xml:space="preserve">,</w:t>
      </w:r>
      <w:r>
        <w:t xml:space="preserve"> </w:t>
      </w:r>
      <w:r>
        <w:rPr>
          <w:b/>
          <w:bCs/>
        </w:rPr>
        <w:t xml:space="preserve">Peddada SD</w:t>
      </w:r>
      <w:r>
        <w:t xml:space="preserve">. 2020. Analysis of microbial compositions: A review of normalization and differential abundance analysis. npj Biofilms and Microbiomes</w:t>
      </w:r>
      <w:r>
        <w:t xml:space="preserve"> </w:t>
      </w:r>
      <w:r>
        <w:rPr>
          <w:b/>
          <w:bCs/>
        </w:rPr>
        <w:t xml:space="preserve">6</w:t>
      </w:r>
      <w:r>
        <w:t xml:space="preserve">:60. doi:</w:t>
      </w:r>
      <w:hyperlink r:id="rId84">
        <w:r>
          <w:rPr>
            <w:rStyle w:val="Hyperlink"/>
          </w:rPr>
          <w:t xml:space="preserve">10.1038/s41522-020-00160-w</w:t>
        </w:r>
      </w:hyperlink>
      <w:r>
        <w:t xml:space="preserve">.</w:t>
      </w:r>
    </w:p>
    <w:bookmarkEnd w:id="85"/>
    <w:bookmarkStart w:id="87" w:name="ref-Costea2014"/>
    <w:p>
      <w:pPr>
        <w:pStyle w:val="Bibliography"/>
      </w:pPr>
      <w:r>
        <w:t xml:space="preserve">22.</w:t>
      </w:r>
      <w:r>
        <w:t xml:space="preserve"> </w:t>
      </w:r>
      <w:r>
        <w:t xml:space="preserve">	</w:t>
      </w:r>
      <w:r>
        <w:rPr>
          <w:b/>
          <w:bCs/>
        </w:rPr>
        <w:t xml:space="preserve">Costea PI</w:t>
      </w:r>
      <w:r>
        <w:t xml:space="preserve">,</w:t>
      </w:r>
      <w:r>
        <w:t xml:space="preserve"> </w:t>
      </w:r>
      <w:r>
        <w:rPr>
          <w:b/>
          <w:bCs/>
        </w:rPr>
        <w:t xml:space="preserve">Zeller G</w:t>
      </w:r>
      <w:r>
        <w:t xml:space="preserve">,</w:t>
      </w:r>
      <w:r>
        <w:t xml:space="preserve"> </w:t>
      </w:r>
      <w:r>
        <w:rPr>
          <w:b/>
          <w:bCs/>
        </w:rPr>
        <w:t xml:space="preserve">Sunagawa S</w:t>
      </w:r>
      <w:r>
        <w:t xml:space="preserve">,</w:t>
      </w:r>
      <w:r>
        <w:t xml:space="preserve"> </w:t>
      </w:r>
      <w:r>
        <w:rPr>
          <w:b/>
          <w:bCs/>
        </w:rPr>
        <w:t xml:space="preserve">Bork P</w:t>
      </w:r>
      <w:r>
        <w:t xml:space="preserve">. 2014. A fair comparison. Nature Methods</w:t>
      </w:r>
      <w:r>
        <w:t xml:space="preserve"> </w:t>
      </w:r>
      <w:r>
        <w:rPr>
          <w:b/>
          <w:bCs/>
        </w:rPr>
        <w:t xml:space="preserve">11</w:t>
      </w:r>
      <w:r>
        <w:t xml:space="preserve">:359–359. doi:</w:t>
      </w:r>
      <w:hyperlink r:id="rId86">
        <w:r>
          <w:rPr>
            <w:rStyle w:val="Hyperlink"/>
          </w:rPr>
          <w:t xml:space="preserve">10.1038/nmeth.2897</w:t>
        </w:r>
      </w:hyperlink>
      <w:r>
        <w:t xml:space="preserve">.</w:t>
      </w:r>
    </w:p>
    <w:bookmarkEnd w:id="87"/>
    <w:bookmarkStart w:id="89" w:name="ref-Martino2019"/>
    <w:p>
      <w:pPr>
        <w:pStyle w:val="Bibliography"/>
      </w:pPr>
      <w:r>
        <w:t xml:space="preserve">23.</w:t>
      </w:r>
      <w:r>
        <w:t xml:space="preserve"> </w:t>
      </w:r>
      <w:r>
        <w:t xml:space="preserve">	</w:t>
      </w:r>
      <w:r>
        <w:rPr>
          <w:b/>
          <w:bCs/>
        </w:rPr>
        <w:t xml:space="preserve">Martino C</w:t>
      </w:r>
      <w:r>
        <w:t xml:space="preserve">,</w:t>
      </w:r>
      <w:r>
        <w:t xml:space="preserve"> </w:t>
      </w:r>
      <w:r>
        <w:rPr>
          <w:b/>
          <w:bCs/>
        </w:rPr>
        <w:t xml:space="preserve">Morton JT</w:t>
      </w:r>
      <w:r>
        <w:t xml:space="preserve">,</w:t>
      </w:r>
      <w:r>
        <w:t xml:space="preserve"> </w:t>
      </w:r>
      <w:r>
        <w:rPr>
          <w:b/>
          <w:bCs/>
        </w:rPr>
        <w:t xml:space="preserve">Marotz CA</w:t>
      </w:r>
      <w:r>
        <w:t xml:space="preserve">,</w:t>
      </w:r>
      <w:r>
        <w:t xml:space="preserve"> </w:t>
      </w:r>
      <w:r>
        <w:rPr>
          <w:b/>
          <w:bCs/>
        </w:rPr>
        <w:t xml:space="preserve">Thompson LR</w:t>
      </w:r>
      <w:r>
        <w:t xml:space="preserve">,</w:t>
      </w:r>
      <w:r>
        <w:t xml:space="preserve"> </w:t>
      </w:r>
      <w:r>
        <w:rPr>
          <w:b/>
          <w:bCs/>
        </w:rPr>
        <w:t xml:space="preserve">Tripathi A</w:t>
      </w:r>
      <w:r>
        <w:t xml:space="preserve">,</w:t>
      </w:r>
      <w:r>
        <w:t xml:space="preserve"> </w:t>
      </w:r>
      <w:r>
        <w:rPr>
          <w:b/>
          <w:bCs/>
        </w:rPr>
        <w:t xml:space="preserve">Knight R</w:t>
      </w:r>
      <w:r>
        <w:t xml:space="preserve">,</w:t>
      </w:r>
      <w:r>
        <w:t xml:space="preserve"> </w:t>
      </w:r>
      <w:r>
        <w:rPr>
          <w:b/>
          <w:bCs/>
        </w:rPr>
        <w:t xml:space="preserve">Zengler K</w:t>
      </w:r>
      <w:r>
        <w:t xml:space="preserve">. 2019. A novel sparse compositional technique reveals microbial perturbations. mSystems</w:t>
      </w:r>
      <w:r>
        <w:t xml:space="preserve"> </w:t>
      </w:r>
      <w:r>
        <w:rPr>
          <w:b/>
          <w:bCs/>
        </w:rPr>
        <w:t xml:space="preserve">4</w:t>
      </w:r>
      <w:r>
        <w:t xml:space="preserve">. doi:</w:t>
      </w:r>
      <w:hyperlink r:id="rId88">
        <w:r>
          <w:rPr>
            <w:rStyle w:val="Hyperlink"/>
          </w:rPr>
          <w:t xml:space="preserve">10.1128/msystems.00016-19</w:t>
        </w:r>
      </w:hyperlink>
      <w:r>
        <w:t xml:space="preserve">.</w:t>
      </w:r>
    </w:p>
    <w:bookmarkEnd w:id="89"/>
    <w:bookmarkStart w:id="91" w:name="ref-Aitchison2000"/>
    <w:p>
      <w:pPr>
        <w:pStyle w:val="Bibliography"/>
      </w:pPr>
      <w:r>
        <w:t xml:space="preserve">24.</w:t>
      </w:r>
      <w:r>
        <w:t xml:space="preserve"> </w:t>
      </w:r>
      <w:r>
        <w:t xml:space="preserve">	</w:t>
      </w:r>
      <w:r>
        <w:rPr>
          <w:b/>
          <w:bCs/>
        </w:rPr>
        <w:t xml:space="preserve">Aitchison J</w:t>
      </w:r>
      <w:r>
        <w:t xml:space="preserve">,</w:t>
      </w:r>
      <w:r>
        <w:t xml:space="preserve"> </w:t>
      </w:r>
      <w:r>
        <w:rPr>
          <w:b/>
          <w:bCs/>
        </w:rPr>
        <w:t xml:space="preserve">Barceló-Vidal C</w:t>
      </w:r>
      <w:r>
        <w:t xml:space="preserve">,</w:t>
      </w:r>
      <w:r>
        <w:t xml:space="preserve"> </w:t>
      </w:r>
      <w:r>
        <w:rPr>
          <w:b/>
          <w:bCs/>
        </w:rPr>
        <w:t xml:space="preserve">Martín-Fernández JA</w:t>
      </w:r>
      <w:r>
        <w:t xml:space="preserve">,</w:t>
      </w:r>
      <w:r>
        <w:t xml:space="preserve"> </w:t>
      </w:r>
      <w:r>
        <w:rPr>
          <w:b/>
          <w:bCs/>
        </w:rPr>
        <w:t xml:space="preserve">Pawlowsky-Glahn V</w:t>
      </w:r>
      <w:r>
        <w:t xml:space="preserve">. 2000. Logratio analysis and compositional distance. Mathematical Geology</w:t>
      </w:r>
      <w:r>
        <w:t xml:space="preserve"> </w:t>
      </w:r>
      <w:r>
        <w:rPr>
          <w:b/>
          <w:bCs/>
        </w:rPr>
        <w:t xml:space="preserve">32</w:t>
      </w:r>
      <w:r>
        <w:t xml:space="preserve">:271–275. doi:</w:t>
      </w:r>
      <w:hyperlink r:id="rId90">
        <w:r>
          <w:rPr>
            <w:rStyle w:val="Hyperlink"/>
          </w:rPr>
          <w:t xml:space="preserve">10.1023/a:1007529726302</w:t>
        </w:r>
      </w:hyperlink>
      <w:r>
        <w:t xml:space="preserve">.</w:t>
      </w:r>
    </w:p>
    <w:bookmarkEnd w:id="91"/>
    <w:bookmarkStart w:id="93" w:name="ref-Schloss2024a"/>
    <w:p>
      <w:pPr>
        <w:pStyle w:val="Bibliography"/>
      </w:pPr>
      <w:r>
        <w:t xml:space="preserve">25.</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92">
        <w:r>
          <w:rPr>
            <w:rStyle w:val="Hyperlink"/>
          </w:rPr>
          <w:t xml:space="preserve">10.1128/msphere.00355-23</w:t>
        </w:r>
      </w:hyperlink>
      <w:r>
        <w:t xml:space="preserve">.</w:t>
      </w:r>
    </w:p>
    <w:bookmarkEnd w:id="93"/>
    <w:bookmarkStart w:id="95" w:name="ref-Box1976"/>
    <w:p>
      <w:pPr>
        <w:pStyle w:val="Bibliography"/>
      </w:pPr>
      <w:r>
        <w:t xml:space="preserve">26.</w:t>
      </w:r>
      <w:r>
        <w:t xml:space="preserve"> </w:t>
      </w:r>
      <w:r>
        <w:t xml:space="preserve">	</w:t>
      </w:r>
      <w:r>
        <w:rPr>
          <w:b/>
          <w:bCs/>
        </w:rPr>
        <w:t xml:space="preserve">Box GEP</w:t>
      </w:r>
      <w:r>
        <w:t xml:space="preserve">. 1976. Science and statistics. Journal of the American Statistical Association</w:t>
      </w:r>
      <w:r>
        <w:t xml:space="preserve"> </w:t>
      </w:r>
      <w:r>
        <w:rPr>
          <w:b/>
          <w:bCs/>
        </w:rPr>
        <w:t xml:space="preserve">71</w:t>
      </w:r>
      <w:r>
        <w:t xml:space="preserve">:791–799. doi:</w:t>
      </w:r>
      <w:hyperlink r:id="rId94">
        <w:r>
          <w:rPr>
            <w:rStyle w:val="Hyperlink"/>
          </w:rPr>
          <w:t xml:space="preserve">10.1080/01621459.1976.10480949</w:t>
        </w:r>
      </w:hyperlink>
      <w:r>
        <w:t xml:space="preserve">.</w:t>
      </w:r>
    </w:p>
    <w:bookmarkEnd w:id="95"/>
    <w:bookmarkStart w:id="97" w:name="ref-Fierer2010"/>
    <w:p>
      <w:pPr>
        <w:pStyle w:val="Bibliography"/>
      </w:pPr>
      <w:r>
        <w:t xml:space="preserve">27.</w:t>
      </w:r>
      <w:r>
        <w:t xml:space="preserve"> </w:t>
      </w:r>
      <w:r>
        <w:t xml:space="preserve">	</w:t>
      </w:r>
      <w:r>
        <w:rPr>
          <w:b/>
          <w:bCs/>
        </w:rPr>
        <w:t xml:space="preserve">Fierer N</w:t>
      </w:r>
      <w:r>
        <w:t xml:space="preserve">,</w:t>
      </w:r>
      <w:r>
        <w:t xml:space="preserve"> </w:t>
      </w:r>
      <w:r>
        <w:rPr>
          <w:b/>
          <w:bCs/>
        </w:rPr>
        <w:t xml:space="preserve">Lauber CL</w:t>
      </w:r>
      <w:r>
        <w:t xml:space="preserve">,</w:t>
      </w:r>
      <w:r>
        <w:t xml:space="preserve"> </w:t>
      </w:r>
      <w:r>
        <w:rPr>
          <w:b/>
          <w:bCs/>
        </w:rPr>
        <w:t xml:space="preserve">Zhou N</w:t>
      </w:r>
      <w:r>
        <w:t xml:space="preserve">,</w:t>
      </w:r>
      <w:r>
        <w:t xml:space="preserve"> </w:t>
      </w:r>
      <w:r>
        <w:rPr>
          <w:b/>
          <w:bCs/>
        </w:rPr>
        <w:t xml:space="preserve">McDonald D</w:t>
      </w:r>
      <w:r>
        <w:t xml:space="preserve">,</w:t>
      </w:r>
      <w:r>
        <w:t xml:space="preserve"> </w:t>
      </w:r>
      <w:r>
        <w:rPr>
          <w:b/>
          <w:bCs/>
        </w:rPr>
        <w:t xml:space="preserve">Costello EK</w:t>
      </w:r>
      <w:r>
        <w:t xml:space="preserve">,</w:t>
      </w:r>
      <w:r>
        <w:t xml:space="preserve"> </w:t>
      </w:r>
      <w:r>
        <w:rPr>
          <w:b/>
          <w:bCs/>
        </w:rPr>
        <w:t xml:space="preserve">Knight R</w:t>
      </w:r>
      <w:r>
        <w:t xml:space="preserve">. 2010. Forensic identification using skin bacterial communities. Proceedings of the National Academy of Sciences</w:t>
      </w:r>
      <w:r>
        <w:t xml:space="preserve"> </w:t>
      </w:r>
      <w:r>
        <w:rPr>
          <w:b/>
          <w:bCs/>
        </w:rPr>
        <w:t xml:space="preserve">107</w:t>
      </w:r>
      <w:r>
        <w:t xml:space="preserve">:6477–6481. doi:</w:t>
      </w:r>
      <w:hyperlink r:id="rId96">
        <w:r>
          <w:rPr>
            <w:rStyle w:val="Hyperlink"/>
          </w:rPr>
          <w:t xml:space="preserve">10.1073/pnas.1000162107</w:t>
        </w:r>
      </w:hyperlink>
      <w:r>
        <w:t xml:space="preserve">.</w:t>
      </w:r>
    </w:p>
    <w:bookmarkEnd w:id="97"/>
    <w:bookmarkStart w:id="99" w:name="ref-Topuolu2020"/>
    <w:p>
      <w:pPr>
        <w:pStyle w:val="Bibliography"/>
      </w:pPr>
      <w:r>
        <w:t xml:space="preserve">28.</w:t>
      </w:r>
      <w:r>
        <w:t xml:space="preserve"> </w:t>
      </w:r>
      <w:r>
        <w:t xml:space="preserve">	</w:t>
      </w:r>
      <w:r>
        <w:rPr>
          <w:b/>
          <w:bCs/>
        </w:rPr>
        <w:t xml:space="preserve">Topçuoğlu BD</w:t>
      </w:r>
      <w:r>
        <w:t xml:space="preserve">,</w:t>
      </w:r>
      <w:r>
        <w:t xml:space="preserve"> </w:t>
      </w:r>
      <w:r>
        <w:rPr>
          <w:b/>
          <w:bCs/>
        </w:rPr>
        <w:t xml:space="preserve">Lesniak NA</w:t>
      </w:r>
      <w:r>
        <w:t xml:space="preserve">,</w:t>
      </w:r>
      <w:r>
        <w:t xml:space="preserve"> </w:t>
      </w:r>
      <w:r>
        <w:rPr>
          <w:b/>
          <w:bCs/>
        </w:rPr>
        <w:t xml:space="preserve">Ruffin MT</w:t>
      </w:r>
      <w:r>
        <w:t xml:space="preserve">,</w:t>
      </w:r>
      <w:r>
        <w:t xml:space="preserve"> </w:t>
      </w:r>
      <w:r>
        <w:rPr>
          <w:b/>
          <w:bCs/>
        </w:rPr>
        <w:t xml:space="preserve">Wiens J</w:t>
      </w:r>
      <w:r>
        <w:t xml:space="preserve">,</w:t>
      </w:r>
      <w:r>
        <w:t xml:space="preserve"> </w:t>
      </w:r>
      <w:r>
        <w:rPr>
          <w:b/>
          <w:bCs/>
        </w:rPr>
        <w:t xml:space="preserve">Schloss PD</w:t>
      </w:r>
      <w:r>
        <w:t xml:space="preserve">. 2020. A framework for effective application of machine learning to microbiome-based classification problems. mBio</w:t>
      </w:r>
      <w:r>
        <w:t xml:space="preserve"> </w:t>
      </w:r>
      <w:r>
        <w:rPr>
          <w:b/>
          <w:bCs/>
        </w:rPr>
        <w:t xml:space="preserve">11</w:t>
      </w:r>
      <w:r>
        <w:t xml:space="preserve">. doi:</w:t>
      </w:r>
      <w:hyperlink r:id="rId98">
        <w:r>
          <w:rPr>
            <w:rStyle w:val="Hyperlink"/>
          </w:rPr>
          <w:t xml:space="preserve">10.1128/mbio.00434-20</w:t>
        </w:r>
      </w:hyperlink>
      <w:r>
        <w:t xml:space="preserve">.</w:t>
      </w:r>
    </w:p>
    <w:bookmarkEnd w:id="99"/>
    <w:bookmarkStart w:id="101" w:name="ref-Schloss2009a"/>
    <w:p>
      <w:pPr>
        <w:pStyle w:val="Bibliography"/>
      </w:pPr>
      <w:r>
        <w:t xml:space="preserve">29.</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Horn DJV</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100">
        <w:r>
          <w:rPr>
            <w:rStyle w:val="Hyperlink"/>
          </w:rPr>
          <w:t xml:space="preserve">10.1128/aem.01541-09</w:t>
        </w:r>
      </w:hyperlink>
      <w:r>
        <w:t xml:space="preserve">.</w:t>
      </w:r>
    </w:p>
    <w:bookmarkEnd w:id="101"/>
    <w:bookmarkStart w:id="103" w:name="ref-Kozich2013"/>
    <w:p>
      <w:pPr>
        <w:pStyle w:val="Bibliography"/>
      </w:pPr>
      <w:r>
        <w:t xml:space="preserve">30.</w:t>
      </w:r>
      <w:r>
        <w:t xml:space="preserve"> </w:t>
      </w:r>
      <w:r>
        <w:t xml:space="preserve">	</w:t>
      </w:r>
      <w:r>
        <w:rPr>
          <w:b/>
          <w:bCs/>
        </w:rPr>
        <w:t xml:space="preserve">Kozich JJ</w:t>
      </w:r>
      <w:r>
        <w:t xml:space="preserve">,</w:t>
      </w:r>
      <w:r>
        <w:t xml:space="preserve"> </w:t>
      </w:r>
      <w:r>
        <w:rPr>
          <w:b/>
          <w:bCs/>
        </w:rPr>
        <w:t xml:space="preserve">Westcott SL</w:t>
      </w:r>
      <w:r>
        <w:t xml:space="preserve">,</w:t>
      </w:r>
      <w:r>
        <w:t xml:space="preserve"> </w:t>
      </w:r>
      <w:r>
        <w:rPr>
          <w:b/>
          <w:bCs/>
        </w:rPr>
        <w:t xml:space="preserve">Baxter NT</w:t>
      </w:r>
      <w:r>
        <w:t xml:space="preserve">,</w:t>
      </w:r>
      <w:r>
        <w:t xml:space="preserve"> </w:t>
      </w:r>
      <w:r>
        <w:rPr>
          <w:b/>
          <w:bCs/>
        </w:rPr>
        <w:t xml:space="preserve">Highlander SK</w:t>
      </w:r>
      <w:r>
        <w:t xml:space="preserve">,</w:t>
      </w:r>
      <w:r>
        <w:t xml:space="preserve"> </w:t>
      </w:r>
      <w:r>
        <w:rPr>
          <w:b/>
          <w:bCs/>
        </w:rPr>
        <w:t xml:space="preserve">Schloss PD</w:t>
      </w:r>
      <w:r>
        <w:t xml:space="preserve">. 2013. Development of a dual-index sequencing strategy and curation pipeline for analyzing amplicon sequence data on the</w:t>
      </w:r>
      <w:r>
        <w:t xml:space="preserve"> </w:t>
      </w:r>
      <w:r>
        <w:t xml:space="preserve">MiSeq</w:t>
      </w:r>
      <w:r>
        <w:t xml:space="preserve"> </w:t>
      </w:r>
      <w:r>
        <w:t xml:space="preserve">illumina sequencing platform. Applied and Environmental Microbiology</w:t>
      </w:r>
      <w:r>
        <w:t xml:space="preserve"> </w:t>
      </w:r>
      <w:r>
        <w:rPr>
          <w:b/>
          <w:bCs/>
        </w:rPr>
        <w:t xml:space="preserve">79</w:t>
      </w:r>
      <w:r>
        <w:t xml:space="preserve">:5112–5120. doi:</w:t>
      </w:r>
      <w:hyperlink r:id="rId102">
        <w:r>
          <w:rPr>
            <w:rStyle w:val="Hyperlink"/>
          </w:rPr>
          <w:t xml:space="preserve">10.1128/aem.01043-13</w:t>
        </w:r>
      </w:hyperlink>
      <w:r>
        <w:t xml:space="preserve">.</w:t>
      </w:r>
    </w:p>
    <w:bookmarkEnd w:id="103"/>
    <w:bookmarkStart w:id="105" w:name="ref-Schloss2009b"/>
    <w:p>
      <w:pPr>
        <w:pStyle w:val="Bibliography"/>
      </w:pPr>
      <w:r>
        <w:t xml:space="preserve">31.</w:t>
      </w:r>
      <w:r>
        <w:t xml:space="preserve"> </w:t>
      </w:r>
      <w:r>
        <w:t xml:space="preserve">	</w:t>
      </w:r>
      <w:r>
        <w:rPr>
          <w:b/>
          <w:bCs/>
        </w:rPr>
        <w:t xml:space="preserve">Schloss PD</w:t>
      </w:r>
      <w:r>
        <w:t xml:space="preserve">. 2009. A high-throughput DNA sequence aligner for microbial ecology studies. PLoS ONE</w:t>
      </w:r>
      <w:r>
        <w:t xml:space="preserve"> </w:t>
      </w:r>
      <w:r>
        <w:rPr>
          <w:b/>
          <w:bCs/>
        </w:rPr>
        <w:t xml:space="preserve">4</w:t>
      </w:r>
      <w:r>
        <w:t xml:space="preserve">:e8230. doi:</w:t>
      </w:r>
      <w:hyperlink r:id="rId104">
        <w:r>
          <w:rPr>
            <w:rStyle w:val="Hyperlink"/>
          </w:rPr>
          <w:t xml:space="preserve">10.1371/journal.pone.0008230</w:t>
        </w:r>
      </w:hyperlink>
      <w:r>
        <w:t xml:space="preserve">.</w:t>
      </w:r>
    </w:p>
    <w:bookmarkEnd w:id="105"/>
    <w:bookmarkStart w:id="107" w:name="ref-Pruesse2007"/>
    <w:p>
      <w:pPr>
        <w:pStyle w:val="Bibliography"/>
      </w:pPr>
      <w:r>
        <w:t xml:space="preserve">32.</w:t>
      </w:r>
      <w:r>
        <w:t xml:space="preserve"> </w:t>
      </w:r>
      <w:r>
        <w:t xml:space="preserve">	</w:t>
      </w:r>
      <w:r>
        <w:rPr>
          <w:b/>
          <w:bCs/>
        </w:rPr>
        <w:t xml:space="preserve">Pruesse E</w:t>
      </w:r>
      <w:r>
        <w:t xml:space="preserve">,</w:t>
      </w:r>
      <w:r>
        <w:t xml:space="preserve"> </w:t>
      </w:r>
      <w:r>
        <w:rPr>
          <w:b/>
          <w:bCs/>
        </w:rPr>
        <w:t xml:space="preserve">Quast C</w:t>
      </w:r>
      <w:r>
        <w:t xml:space="preserve">,</w:t>
      </w:r>
      <w:r>
        <w:t xml:space="preserve"> </w:t>
      </w:r>
      <w:r>
        <w:rPr>
          <w:b/>
          <w:bCs/>
        </w:rPr>
        <w:t xml:space="preserve">Knittel K</w:t>
      </w:r>
      <w:r>
        <w:t xml:space="preserve">,</w:t>
      </w:r>
      <w:r>
        <w:t xml:space="preserve"> </w:t>
      </w:r>
      <w:r>
        <w:rPr>
          <w:b/>
          <w:bCs/>
        </w:rPr>
        <w:t xml:space="preserve">Fuchs BM</w:t>
      </w:r>
      <w:r>
        <w:t xml:space="preserve">,</w:t>
      </w:r>
      <w:r>
        <w:t xml:space="preserve"> </w:t>
      </w:r>
      <w:r>
        <w:rPr>
          <w:b/>
          <w:bCs/>
        </w:rPr>
        <w:t xml:space="preserve">Ludwig W</w:t>
      </w:r>
      <w:r>
        <w:t xml:space="preserve">,</w:t>
      </w:r>
      <w:r>
        <w:t xml:space="preserve"> </w:t>
      </w:r>
      <w:r>
        <w:rPr>
          <w:b/>
          <w:bCs/>
        </w:rPr>
        <w:t xml:space="preserve">Peplies J</w:t>
      </w:r>
      <w:r>
        <w:t xml:space="preserve">,</w:t>
      </w:r>
      <w:r>
        <w:t xml:space="preserve"> </w:t>
      </w:r>
      <w:r>
        <w:rPr>
          <w:b/>
          <w:bCs/>
        </w:rPr>
        <w:t xml:space="preserve">Glockner FO</w:t>
      </w:r>
      <w:r>
        <w:t xml:space="preserve">. 2007. SILVA: A comprehensive online resource for quality checked and aligned ribosomal RNA sequence data compatible with ARB. Nucleic Acids Research</w:t>
      </w:r>
      <w:r>
        <w:t xml:space="preserve"> </w:t>
      </w:r>
      <w:r>
        <w:rPr>
          <w:b/>
          <w:bCs/>
        </w:rPr>
        <w:t xml:space="preserve">35</w:t>
      </w:r>
      <w:r>
        <w:t xml:space="preserve">:7188–7196. doi:</w:t>
      </w:r>
      <w:hyperlink r:id="rId106">
        <w:r>
          <w:rPr>
            <w:rStyle w:val="Hyperlink"/>
          </w:rPr>
          <w:t xml:space="preserve">10.1093/nar/gkm864</w:t>
        </w:r>
      </w:hyperlink>
      <w:r>
        <w:t xml:space="preserve">.</w:t>
      </w:r>
    </w:p>
    <w:bookmarkEnd w:id="107"/>
    <w:bookmarkStart w:id="109" w:name="ref-Schloss2011"/>
    <w:p>
      <w:pPr>
        <w:pStyle w:val="Bibliography"/>
      </w:pPr>
      <w:r>
        <w:t xml:space="preserve">33.</w:t>
      </w:r>
      <w:r>
        <w:t xml:space="preserve"> </w:t>
      </w:r>
      <w:r>
        <w:t xml:space="preserve">	</w:t>
      </w:r>
      <w:r>
        <w:rPr>
          <w:b/>
          <w:bCs/>
        </w:rPr>
        <w:t xml:space="preserve">Schloss PD</w:t>
      </w:r>
      <w:r>
        <w:t xml:space="preserve">,</w:t>
      </w:r>
      <w:r>
        <w:t xml:space="preserve"> </w:t>
      </w:r>
      <w:r>
        <w:rPr>
          <w:b/>
          <w:bCs/>
        </w:rPr>
        <w:t xml:space="preserve">Gevers D</w:t>
      </w:r>
      <w:r>
        <w:t xml:space="preserve">,</w:t>
      </w:r>
      <w:r>
        <w:t xml:space="preserve"> </w:t>
      </w:r>
      <w:r>
        <w:rPr>
          <w:b/>
          <w:bCs/>
        </w:rPr>
        <w:t xml:space="preserve">Westcott SL</w:t>
      </w:r>
      <w:r>
        <w:t xml:space="preserve">. 2011. Reducing the effects of PCR amplification and sequencing artifacts on 16S rRNA-based studies. PLoS ONE</w:t>
      </w:r>
      <w:r>
        <w:t xml:space="preserve"> </w:t>
      </w:r>
      <w:r>
        <w:rPr>
          <w:b/>
          <w:bCs/>
        </w:rPr>
        <w:t xml:space="preserve">6</w:t>
      </w:r>
      <w:r>
        <w:t xml:space="preserve">:e27310. doi:</w:t>
      </w:r>
      <w:hyperlink r:id="rId108">
        <w:r>
          <w:rPr>
            <w:rStyle w:val="Hyperlink"/>
          </w:rPr>
          <w:t xml:space="preserve">10.1371/journal.pone.0027310</w:t>
        </w:r>
      </w:hyperlink>
      <w:r>
        <w:t xml:space="preserve">.</w:t>
      </w:r>
    </w:p>
    <w:bookmarkEnd w:id="109"/>
    <w:bookmarkStart w:id="111" w:name="ref-Edgar2011"/>
    <w:p>
      <w:pPr>
        <w:pStyle w:val="Bibliography"/>
      </w:pPr>
      <w:r>
        <w:t xml:space="preserve">34.</w:t>
      </w:r>
      <w:r>
        <w:t xml:space="preserve"> </w:t>
      </w:r>
      <w:r>
        <w:t xml:space="preserve">	</w:t>
      </w:r>
      <w:r>
        <w:rPr>
          <w:b/>
          <w:bCs/>
        </w:rPr>
        <w:t xml:space="preserve">Edgar RC</w:t>
      </w:r>
      <w:r>
        <w:t xml:space="preserve">,</w:t>
      </w:r>
      <w:r>
        <w:t xml:space="preserve"> </w:t>
      </w:r>
      <w:r>
        <w:rPr>
          <w:b/>
          <w:bCs/>
        </w:rPr>
        <w:t xml:space="preserve">Haas BJ</w:t>
      </w:r>
      <w:r>
        <w:t xml:space="preserve">,</w:t>
      </w:r>
      <w:r>
        <w:t xml:space="preserve"> </w:t>
      </w:r>
      <w:r>
        <w:rPr>
          <w:b/>
          <w:bCs/>
        </w:rPr>
        <w:t xml:space="preserve">Clemente JC</w:t>
      </w:r>
      <w:r>
        <w:t xml:space="preserve">,</w:t>
      </w:r>
      <w:r>
        <w:t xml:space="preserve"> </w:t>
      </w:r>
      <w:r>
        <w:rPr>
          <w:b/>
          <w:bCs/>
        </w:rPr>
        <w:t xml:space="preserve">Quince C</w:t>
      </w:r>
      <w:r>
        <w:t xml:space="preserve">,</w:t>
      </w:r>
      <w:r>
        <w:t xml:space="preserve"> </w:t>
      </w:r>
      <w:r>
        <w:rPr>
          <w:b/>
          <w:bCs/>
        </w:rPr>
        <w:t xml:space="preserve">Knight R</w:t>
      </w:r>
      <w:r>
        <w:t xml:space="preserve">. 2011.</w:t>
      </w:r>
      <w:r>
        <w:t xml:space="preserve"> </w:t>
      </w:r>
      <w:r>
        <w:t xml:space="preserve">UCHIME</w:t>
      </w:r>
      <w:r>
        <w:t xml:space="preserve"> </w:t>
      </w:r>
      <w:r>
        <w:t xml:space="preserve">improves sensitivity and speed of chimera detection. Bioinformatics</w:t>
      </w:r>
      <w:r>
        <w:t xml:space="preserve"> </w:t>
      </w:r>
      <w:r>
        <w:rPr>
          <w:b/>
          <w:bCs/>
        </w:rPr>
        <w:t xml:space="preserve">27</w:t>
      </w:r>
      <w:r>
        <w:t xml:space="preserve">:2194–2200. doi:</w:t>
      </w:r>
      <w:hyperlink r:id="rId110">
        <w:r>
          <w:rPr>
            <w:rStyle w:val="Hyperlink"/>
          </w:rPr>
          <w:t xml:space="preserve">10.1093/bioinformatics/btr381</w:t>
        </w:r>
      </w:hyperlink>
      <w:r>
        <w:t xml:space="preserve">.</w:t>
      </w:r>
    </w:p>
    <w:bookmarkEnd w:id="111"/>
    <w:bookmarkStart w:id="113" w:name="ref-Westcott2017"/>
    <w:p>
      <w:pPr>
        <w:pStyle w:val="Bibliography"/>
      </w:pPr>
      <w:r>
        <w:t xml:space="preserve">35.</w:t>
      </w:r>
      <w:r>
        <w:t xml:space="preserve"> </w:t>
      </w:r>
      <w:r>
        <w:t xml:space="preserve">	</w:t>
      </w:r>
      <w:r>
        <w:rPr>
          <w:b/>
          <w:bCs/>
        </w:rPr>
        <w:t xml:space="preserve">Westcott SL</w:t>
      </w:r>
      <w:r>
        <w:t xml:space="preserve">,</w:t>
      </w:r>
      <w:r>
        <w:t xml:space="preserve"> </w:t>
      </w:r>
      <w:r>
        <w:rPr>
          <w:b/>
          <w:bCs/>
        </w:rPr>
        <w:t xml:space="preserve">Schloss PD</w:t>
      </w:r>
      <w:r>
        <w:t xml:space="preserve">. 2017.</w:t>
      </w:r>
      <w:r>
        <w:t xml:space="preserve"> </w:t>
      </w:r>
      <w:r>
        <w:t xml:space="preserve">OptiClust</w:t>
      </w:r>
      <w:r>
        <w:t xml:space="preserve">, an improved method for assigning amplicon-based sequence data to operational taxonomic units.</w:t>
      </w:r>
      <w:r>
        <w:t xml:space="preserve"> </w:t>
      </w:r>
      <w:r>
        <w:t xml:space="preserve">mSphere</w:t>
      </w:r>
      <w:r>
        <w:t xml:space="preserve"> </w:t>
      </w:r>
      <w:r>
        <w:rPr>
          <w:b/>
          <w:bCs/>
        </w:rPr>
        <w:t xml:space="preserve">2</w:t>
      </w:r>
      <w:r>
        <w:t xml:space="preserve">:e00073–17. doi:</w:t>
      </w:r>
      <w:hyperlink r:id="rId112">
        <w:r>
          <w:rPr>
            <w:rStyle w:val="Hyperlink"/>
          </w:rPr>
          <w:t xml:space="preserve">10.1128/mspheredirect.00073-17</w:t>
        </w:r>
      </w:hyperlink>
      <w:r>
        <w:t xml:space="preserve">.</w:t>
      </w:r>
    </w:p>
    <w:bookmarkEnd w:id="113"/>
    <w:bookmarkStart w:id="114" w:name="ref-Pedregosa2011"/>
    <w:p>
      <w:pPr>
        <w:pStyle w:val="Bibliography"/>
      </w:pPr>
      <w:r>
        <w:t xml:space="preserve">36.</w:t>
      </w:r>
      <w:r>
        <w:t xml:space="preserve"> </w:t>
      </w:r>
      <w:r>
        <w:t xml:space="preserve">	</w:t>
      </w:r>
      <w:r>
        <w:rPr>
          <w:b/>
          <w:bCs/>
        </w:rPr>
        <w:t xml:space="preserve">Pedregosa F</w:t>
      </w:r>
      <w:r>
        <w:t xml:space="preserve">,</w:t>
      </w:r>
      <w:r>
        <w:t xml:space="preserve"> </w:t>
      </w:r>
      <w:r>
        <w:rPr>
          <w:b/>
          <w:bCs/>
        </w:rPr>
        <w:t xml:space="preserve">Varoquaux G</w:t>
      </w:r>
      <w:r>
        <w:t xml:space="preserve">,</w:t>
      </w:r>
      <w:r>
        <w:t xml:space="preserve"> </w:t>
      </w:r>
      <w:r>
        <w:rPr>
          <w:b/>
          <w:bCs/>
        </w:rPr>
        <w:t xml:space="preserve">Gramfort A</w:t>
      </w:r>
      <w:r>
        <w:t xml:space="preserve">,</w:t>
      </w:r>
      <w:r>
        <w:t xml:space="preserve"> </w:t>
      </w:r>
      <w:r>
        <w:rPr>
          <w:b/>
          <w:bCs/>
        </w:rPr>
        <w:t xml:space="preserve">Michel V</w:t>
      </w:r>
      <w:r>
        <w:t xml:space="preserve">,</w:t>
      </w:r>
      <w:r>
        <w:t xml:space="preserve"> </w:t>
      </w:r>
      <w:r>
        <w:rPr>
          <w:b/>
          <w:bCs/>
        </w:rPr>
        <w:t xml:space="preserve">Thirion B</w:t>
      </w:r>
      <w:r>
        <w:t xml:space="preserve">,</w:t>
      </w:r>
      <w:r>
        <w:t xml:space="preserve"> </w:t>
      </w:r>
      <w:r>
        <w:rPr>
          <w:b/>
          <w:bCs/>
        </w:rPr>
        <w:t xml:space="preserve">Grisel O</w:t>
      </w:r>
      <w:r>
        <w:t xml:space="preserve">,</w:t>
      </w:r>
      <w:r>
        <w:t xml:space="preserve"> </w:t>
      </w:r>
      <w:r>
        <w:rPr>
          <w:b/>
          <w:bCs/>
        </w:rPr>
        <w:t xml:space="preserve">Blondel M</w:t>
      </w:r>
      <w:r>
        <w:t xml:space="preserve">,</w:t>
      </w:r>
      <w:r>
        <w:t xml:space="preserve"> </w:t>
      </w:r>
      <w:r>
        <w:rPr>
          <w:b/>
          <w:bCs/>
        </w:rPr>
        <w:t xml:space="preserve">Prettenhofer P</w:t>
      </w:r>
      <w:r>
        <w:t xml:space="preserve">,</w:t>
      </w:r>
      <w:r>
        <w:t xml:space="preserve"> </w:t>
      </w:r>
      <w:r>
        <w:rPr>
          <w:b/>
          <w:bCs/>
        </w:rPr>
        <w:t xml:space="preserve">Weiss R</w:t>
      </w:r>
      <w:r>
        <w:t xml:space="preserve">,</w:t>
      </w:r>
      <w:r>
        <w:t xml:space="preserve"> </w:t>
      </w:r>
      <w:r>
        <w:rPr>
          <w:b/>
          <w:bCs/>
        </w:rPr>
        <w:t xml:space="preserve">Dubourg V</w:t>
      </w:r>
      <w:r>
        <w:t xml:space="preserve">,</w:t>
      </w:r>
      <w:r>
        <w:t xml:space="preserve"> </w:t>
      </w:r>
      <w:r>
        <w:rPr>
          <w:b/>
          <w:bCs/>
        </w:rPr>
        <w:t xml:space="preserve">Vanderplas J</w:t>
      </w:r>
      <w:r>
        <w:t xml:space="preserve">,</w:t>
      </w:r>
      <w:r>
        <w:t xml:space="preserve"> </w:t>
      </w:r>
      <w:r>
        <w:rPr>
          <w:b/>
          <w:bCs/>
        </w:rPr>
        <w:t xml:space="preserve">Passos A</w:t>
      </w:r>
      <w:r>
        <w:t xml:space="preserve">,</w:t>
      </w:r>
      <w:r>
        <w:t xml:space="preserve"> </w:t>
      </w:r>
      <w:r>
        <w:rPr>
          <w:b/>
          <w:bCs/>
        </w:rPr>
        <w:t xml:space="preserve">Cournapeau D</w:t>
      </w:r>
      <w:r>
        <w:t xml:space="preserve">,</w:t>
      </w:r>
      <w:r>
        <w:t xml:space="preserve"> </w:t>
      </w:r>
      <w:r>
        <w:rPr>
          <w:b/>
          <w:bCs/>
        </w:rPr>
        <w:t xml:space="preserve">Brucher M</w:t>
      </w:r>
      <w:r>
        <w:t xml:space="preserve">,</w:t>
      </w:r>
      <w:r>
        <w:t xml:space="preserve"> </w:t>
      </w:r>
      <w:r>
        <w:rPr>
          <w:b/>
          <w:bCs/>
        </w:rPr>
        <w:t xml:space="preserve">Perrot M</w:t>
      </w:r>
      <w:r>
        <w:t xml:space="preserve">,</w:t>
      </w:r>
      <w:r>
        <w:t xml:space="preserve"> </w:t>
      </w:r>
      <w:r>
        <w:rPr>
          <w:b/>
          <w:bCs/>
        </w:rPr>
        <w:t xml:space="preserve">Duchesnay E</w:t>
      </w:r>
      <w:r>
        <w:t xml:space="preserve">. 2011. Scikit-learn: Machine learning in</w:t>
      </w:r>
      <w:r>
        <w:t xml:space="preserve"> </w:t>
      </w:r>
      <w:r>
        <w:t xml:space="preserve">P</w:t>
      </w:r>
      <w:r>
        <w:t xml:space="preserve">ython. Journal of Machine Learning Research</w:t>
      </w:r>
      <w:r>
        <w:t xml:space="preserve"> </w:t>
      </w:r>
      <w:r>
        <w:rPr>
          <w:b/>
          <w:bCs/>
        </w:rPr>
        <w:t xml:space="preserve">12</w:t>
      </w:r>
      <w:r>
        <w:t xml:space="preserve">:2825–2830.</w:t>
      </w:r>
    </w:p>
    <w:bookmarkEnd w:id="114"/>
    <w:bookmarkStart w:id="116" w:name="ref-Dixon2003"/>
    <w:p>
      <w:pPr>
        <w:pStyle w:val="Bibliography"/>
      </w:pPr>
      <w:r>
        <w:t xml:space="preserve">37.</w:t>
      </w:r>
      <w:r>
        <w:t xml:space="preserve"> </w:t>
      </w:r>
      <w:r>
        <w:t xml:space="preserve">	</w:t>
      </w:r>
      <w:r>
        <w:rPr>
          <w:b/>
          <w:bCs/>
        </w:rPr>
        <w:t xml:space="preserve">Dixon P</w:t>
      </w:r>
      <w:r>
        <w:t xml:space="preserve">. 2003.</w:t>
      </w:r>
      <w:r>
        <w:t xml:space="preserve"> </w:t>
      </w:r>
      <w:r>
        <w:t xml:space="preserve">VEGAN</w:t>
      </w:r>
      <w:r>
        <w:t xml:space="preserve">, a package of r functions for community ecology. Journal of Vegetation Science</w:t>
      </w:r>
      <w:r>
        <w:t xml:space="preserve"> </w:t>
      </w:r>
      <w:r>
        <w:rPr>
          <w:b/>
          <w:bCs/>
        </w:rPr>
        <w:t xml:space="preserve">14</w:t>
      </w:r>
      <w:r>
        <w:t xml:space="preserve">:927–930. doi:</w:t>
      </w:r>
      <w:hyperlink r:id="rId115">
        <w:r>
          <w:rPr>
            <w:rStyle w:val="Hyperlink"/>
          </w:rPr>
          <w:t xml:space="preserve">10.1111/j.1654-1103.2003.tb02228.x</w:t>
        </w:r>
      </w:hyperlink>
      <w:r>
        <w:t xml:space="preserve">.</w:t>
      </w:r>
    </w:p>
    <w:bookmarkEnd w:id="116"/>
    <w:bookmarkStart w:id="118" w:name="ref-Magurran2004"/>
    <w:p>
      <w:pPr>
        <w:pStyle w:val="Bibliography"/>
      </w:pPr>
      <w:r>
        <w:t xml:space="preserve">38.</w:t>
      </w:r>
      <w:r>
        <w:t xml:space="preserve"> </w:t>
      </w:r>
      <w:r>
        <w:t xml:space="preserve">	</w:t>
      </w:r>
      <w:r>
        <w:rPr>
          <w:b/>
          <w:bCs/>
        </w:rPr>
        <w:t xml:space="preserve">Magurran AE</w:t>
      </w:r>
      <w:r>
        <w:t xml:space="preserve">. 2004.</w:t>
      </w:r>
      <w:r>
        <w:t xml:space="preserve"> </w:t>
      </w:r>
      <w:hyperlink r:id="rId117">
        <w:r>
          <w:rPr>
            <w:rStyle w:val="Hyperlink"/>
          </w:rPr>
          <w:t xml:space="preserve">Measuring biological diversity</w:t>
        </w:r>
      </w:hyperlink>
      <w:r>
        <w:t xml:space="preserve">. Wiley.</w:t>
      </w:r>
    </w:p>
    <w:bookmarkEnd w:id="118"/>
    <w:bookmarkStart w:id="120" w:name="ref-Anderson2001"/>
    <w:p>
      <w:pPr>
        <w:pStyle w:val="Bibliography"/>
      </w:pPr>
      <w:r>
        <w:t xml:space="preserve">39.</w:t>
      </w:r>
      <w:r>
        <w:t xml:space="preserve"> </w:t>
      </w:r>
      <w:r>
        <w:t xml:space="preserve">	</w:t>
      </w:r>
      <w:r>
        <w:rPr>
          <w:b/>
          <w:bCs/>
        </w:rPr>
        <w:t xml:space="preserve">Anderson MJ</w:t>
      </w:r>
      <w:r>
        <w:t xml:space="preserve">. 2001. A new method for non-parametric multivariate analysis of variance. Austral Ecology</w:t>
      </w:r>
      <w:r>
        <w:t xml:space="preserve"> </w:t>
      </w:r>
      <w:r>
        <w:rPr>
          <w:b/>
          <w:bCs/>
        </w:rPr>
        <w:t xml:space="preserve">26</w:t>
      </w:r>
      <w:r>
        <w:t xml:space="preserve">:32–46. doi:</w:t>
      </w:r>
      <w:hyperlink r:id="rId119">
        <w:r>
          <w:rPr>
            <w:rStyle w:val="Hyperlink"/>
          </w:rPr>
          <w:t xml:space="preserve">10.1111/j.1442-9993.2001.01070.pp.x</w:t>
        </w:r>
      </w:hyperlink>
      <w:r>
        <w:t xml:space="preserve">.</w:t>
      </w:r>
    </w:p>
    <w:bookmarkEnd w:id="120"/>
    <w:bookmarkEnd w:id="121"/>
    <w:p>
      <w:r>
        <w:br w:type="page"/>
      </w:r>
    </w:p>
    <w:p>
      <w:pPr>
        <w:pStyle w:val="BodyText"/>
      </w:pPr>
      <w:r>
        <w:drawing>
          <wp:inline>
            <wp:extent cx="4267200" cy="4267200"/>
            <wp:effectExtent b="0" l="0" r="0" t="0"/>
            <wp:docPr descr="" title="" id="123" name="Picture"/>
            <a:graphic>
              <a:graphicData uri="http://schemas.openxmlformats.org/drawingml/2006/picture">
                <pic:pic>
                  <pic:nvPicPr>
                    <pic:cNvPr descr="../figures/heatmap_pcoa_martino.png" id="124" name="Picture"/>
                    <pic:cNvPicPr>
                      <a:picLocks noChangeArrowheads="1" noChangeAspect="1"/>
                    </pic:cNvPicPr>
                  </pic:nvPicPr>
                  <pic:blipFill>
                    <a:blip r:embed="rId122"/>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Rerunning the original Martino code in my computational environment produced qualitatively similar results to what the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w:t>
      </w:r>
      <w:r>
        <w:t xml:space="preserve">Overlap</w:t>
      </w:r>
      <w:r>
        <w:t xml:space="preserve">”</w:t>
      </w:r>
      <w:r>
        <w:t xml:space="preserve">). The red and blue bars on the left edge of the heatmap indicate the treatment group that each sample belonged to. The heatmaps display the One CLR transformation of sequence counts. In addition to the RPCA output, I also provide the PCoA diagrams using Bray-Curtis distances. The numbers on the x and y axis of each ordination diagram represent the percent of the total variation that each axis explained.</w:t>
      </w:r>
    </w:p>
    <w:p>
      <w:r>
        <w:br w:type="page"/>
      </w:r>
    </w:p>
    <w:p>
      <w:pPr>
        <w:pStyle w:val="BodyText"/>
      </w:pPr>
      <w:r>
        <w:drawing>
          <wp:inline>
            <wp:extent cx="4267200" cy="3556000"/>
            <wp:effectExtent b="0" l="0" r="0" t="0"/>
            <wp:docPr descr="" title="" id="126" name="Picture"/>
            <a:graphic>
              <a:graphicData uri="http://schemas.openxmlformats.org/drawingml/2006/picture">
                <pic:pic>
                  <pic:nvPicPr>
                    <pic:cNvPr descr="../figures/fst_knn_martino.png" id="127" name="Picture"/>
                    <pic:cNvPicPr>
                      <a:picLocks noChangeArrowheads="1" noChangeAspect="1"/>
                    </pic:cNvPicPr>
                  </pic:nvPicPr>
                  <pic:blipFill>
                    <a:blip r:embed="rId125"/>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129" name="Picture"/>
            <a:graphic>
              <a:graphicData uri="http://schemas.openxmlformats.org/drawingml/2006/picture">
                <pic:pic>
                  <pic:nvPicPr>
                    <pic:cNvPr descr="../figures/heatmap_pcoa_pds.png" id="130" name="Picture"/>
                    <pic:cNvPicPr>
                      <a:picLocks noChangeArrowheads="1" noChangeAspect="1"/>
                    </pic:cNvPicPr>
                  </pic:nvPicPr>
                  <pic:blipFill>
                    <a:blip r:embed="rId128"/>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(0.50) using Bray-Curtis distances and significant for the positive control (0.001) and non-significant for the overlap dataset (0.11) and negative (P=0.49) control using RPCA.</w:t>
      </w:r>
    </w:p>
    <w:p>
      <w:r>
        <w:br w:type="page"/>
      </w:r>
    </w:p>
    <w:p>
      <w:pPr>
        <w:pStyle w:val="BodyText"/>
      </w:pPr>
      <w:r>
        <w:drawing>
          <wp:inline>
            <wp:extent cx="4267200" cy="3556000"/>
            <wp:effectExtent b="0" l="0" r="0" t="0"/>
            <wp:docPr descr="" title="" id="132" name="Picture"/>
            <a:graphic>
              <a:graphicData uri="http://schemas.openxmlformats.org/drawingml/2006/picture">
                <pic:pic>
                  <pic:nvPicPr>
                    <pic:cNvPr descr="../figures/fst_knn_pds.png" id="133" name="Picture"/>
                    <pic:cNvPicPr>
                      <a:picLocks noChangeArrowheads="1" noChangeAspect="1"/>
                    </pic:cNvPicPr>
                  </pic:nvPicPr>
                  <pic:blipFill>
                    <a:blip r:embed="rId131"/>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135" name="Picture"/>
            <a:graphic>
              <a:graphicData uri="http://schemas.openxmlformats.org/drawingml/2006/picture">
                <pic:pic>
                  <pic:nvPicPr>
                    <pic:cNvPr descr="../figures/cs_seq_depth.png" id="136" name="Picture"/>
                    <pic:cNvPicPr>
                      <a:picLocks noChangeArrowheads="1" noChangeAspect="1"/>
                    </pic:cNvPicPr>
                  </pic:nvPicPr>
                  <pic:blipFill>
                    <a:blip r:embed="rId13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CRC dataset.</w:t>
      </w:r>
    </w:p>
    <w:p>
      <w:r>
        <w:br w:type="page"/>
      </w:r>
    </w:p>
    <w:p>
      <w:pPr>
        <w:pStyle w:val="BodyText"/>
      </w:pPr>
      <w:r>
        <w:drawing>
          <wp:inline>
            <wp:extent cx="5334000" cy="4572000"/>
            <wp:effectExtent b="0" l="0" r="0" t="0"/>
            <wp:docPr descr="" title="" id="138" name="Picture"/>
            <a:graphic>
              <a:graphicData uri="http://schemas.openxmlformats.org/drawingml/2006/picture">
                <pic:pic>
                  <pic:nvPicPr>
                    <pic:cNvPr descr="../figures/fst_knn_depth_diff_cs.png" id="139" name="Picture"/>
                    <pic:cNvPicPr>
                      <a:picLocks noChangeArrowheads="1" noChangeAspect="1"/>
                    </pic:cNvPicPr>
                  </pic:nvPicPr>
                  <pic:blipFill>
                    <a:blip r:embed="rId137"/>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Figure 6. Increasing the minimum number of sequences per sample from 1,000 to more than 10,000 resulted in larger PERMANOVA Fst test statistics and KNN accuracies.</w:t>
      </w:r>
      <w:r>
        <w:t xml:space="preserve"> </w:t>
      </w:r>
      <w:r>
        <w:t xml:space="preserve">Calculation of the difference in Fst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CRC dataset. Because 10 iterations of the sample subsampling were performed we measured the difference in accuracy for each iteration. Each point represents the median difference and the confidence intervals represent the range. The vertical gray lines indicate where the Fst or accuracy was not different between using 1,000 sequences and the number of sequences indicated for that dataset in the legend.</w:t>
      </w:r>
    </w:p>
    <w:p>
      <w:r>
        <w:br w:type="page"/>
      </w:r>
    </w:p>
    <w:p>
      <w:pPr>
        <w:pStyle w:val="BodyText"/>
      </w:pPr>
      <w:r>
        <w:drawing>
          <wp:inline>
            <wp:extent cx="5334000" cy="3333749"/>
            <wp:effectExtent b="0" l="0" r="0" t="0"/>
            <wp:docPr descr="" title="" id="141" name="Picture"/>
            <a:graphic>
              <a:graphicData uri="http://schemas.openxmlformats.org/drawingml/2006/picture">
                <pic:pic>
                  <pic:nvPicPr>
                    <pic:cNvPr descr="../figures/heatmap_permanova_sig_cs.png" id="142" name="Picture"/>
                    <pic:cNvPicPr>
                      <a:picLocks noChangeArrowheads="1" noChangeAspect="1"/>
                    </pic:cNvPicPr>
                  </pic:nvPicPr>
                  <pic:blipFill>
                    <a:blip r:embed="rId140"/>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 in the tile indicates the number of subsamplings that yielded a P-value less than 0.05. The blue tiles without numbers indicate those conditions where all 10 subsamplings yielded a significant result.</w:t>
      </w:r>
    </w:p>
    <w:p>
      <w:r>
        <w:br w:type="page"/>
      </w:r>
    </w:p>
    <w:p>
      <w:pPr>
        <w:pStyle w:val="BodyText"/>
      </w:pPr>
      <w:r>
        <w:drawing>
          <wp:inline>
            <wp:extent cx="5334000" cy="3333749"/>
            <wp:effectExtent b="0" l="0" r="0" t="0"/>
            <wp:docPr descr="" title="" id="144" name="Picture"/>
            <a:graphic>
              <a:graphicData uri="http://schemas.openxmlformats.org/drawingml/2006/picture">
                <pic:pic>
                  <pic:nvPicPr>
                    <pic:cNvPr descr="../figures/heatmap_knn_cs.png" id="145" name="Picture"/>
                    <pic:cNvPicPr>
                      <a:picLocks noChangeArrowheads="1" noChangeAspect="1"/>
                    </pic:cNvPicPr>
                  </pic:nvPicPr>
                  <pic:blipFill>
                    <a:blip r:embed="rId143"/>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r>
        <w:br w:type="page"/>
      </w:r>
    </w:p>
    <w:p>
      <w:pPr>
        <w:pStyle w:val="BodyText"/>
      </w:pPr>
      <w:r>
        <w:drawing>
          <wp:inline>
            <wp:extent cx="5334000" cy="3333749"/>
            <wp:effectExtent b="0" l="0" r="0" t="0"/>
            <wp:docPr descr="" title="" id="147" name="Picture"/>
            <a:graphic>
              <a:graphicData uri="http://schemas.openxmlformats.org/drawingml/2006/picture">
                <pic:pic>
                  <pic:nvPicPr>
                    <pic:cNvPr descr="../figures/heatmap_depth_sig.png" id="148" name="Picture"/>
                    <pic:cNvPicPr>
                      <a:picLocks noChangeArrowheads="1" noChangeAspect="1"/>
                    </pic:cNvPicPr>
                  </pic:nvPicPr>
                  <pic:blipFill>
                    <a:blip r:embed="rId146"/>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Cells without a number had no falsely significant P-values. Synthetic versions of each dataset were generated where each sample was subsampled to 5,000 and 10,000 sequences, combined, processed, and analyzed by a two-factor PERMANOVA. Each simulation was repeated 10 times.</w:t>
      </w:r>
    </w:p>
    <w:bookmarkEnd w:id="149"/>
    <w:bookmarkStart w:id="156" w:name="supplemental-figures"/>
    <w:p>
      <w:pPr>
        <w:pStyle w:val="Heading2"/>
      </w:pPr>
      <w:r>
        <w:t xml:space="preserve">Supplemental Figures</w:t>
      </w:r>
    </w:p>
    <w:p>
      <w:pPr>
        <w:pStyle w:val="FirstParagraph"/>
      </w:pPr>
      <w:r>
        <w:drawing>
          <wp:inline>
            <wp:extent cx="5334000" cy="3810000"/>
            <wp:effectExtent b="0" l="0" r="0" t="0"/>
            <wp:docPr descr="" title="" id="151" name="Picture"/>
            <a:graphic>
              <a:graphicData uri="http://schemas.openxmlformats.org/drawingml/2006/picture">
                <pic:pic>
                  <pic:nvPicPr>
                    <pic:cNvPr descr="../figures/knn_methods_martino.png" id="152" name="Picture"/>
                    <pic:cNvPicPr>
                      <a:picLocks noChangeArrowheads="1" noChangeAspect="1"/>
                    </pic:cNvPicPr>
                  </pic:nvPicPr>
                  <pic:blipFill>
                    <a:blip r:embed="rId150"/>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this analysis.</w:t>
      </w:r>
    </w:p>
    <w:p>
      <w:r>
        <w:br w:type="page"/>
      </w:r>
    </w:p>
    <w:p>
      <w:pPr>
        <w:pStyle w:val="BodyText"/>
      </w:pPr>
      <w:r>
        <w:drawing>
          <wp:inline>
            <wp:extent cx="5334000" cy="3810000"/>
            <wp:effectExtent b="0" l="0" r="0" t="0"/>
            <wp:docPr descr="" title="" id="154" name="Picture"/>
            <a:graphic>
              <a:graphicData uri="http://schemas.openxmlformats.org/drawingml/2006/picture">
                <pic:pic>
                  <pic:nvPicPr>
                    <pic:cNvPr descr="../figures/knn_methods_pds.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this analysis.</w:t>
      </w:r>
    </w:p>
    <w:bookmarkEnd w:id="156"/>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hyperlink" Id="rId56" Target="http://www.jstor.org/stable/2400321" TargetMode="External" /><Relationship Type="http://schemas.openxmlformats.org/officeDocument/2006/relationships/hyperlink" Id="rId117"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10"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6" Target="https://doi.org/10.1093/nar/gkm864" TargetMode="External" /><Relationship Type="http://schemas.openxmlformats.org/officeDocument/2006/relationships/hyperlink" Id="rId119" Target="https://doi.org/10.1111/j.1442-9993.2001.01070.pp.x" TargetMode="External" /><Relationship Type="http://schemas.openxmlformats.org/officeDocument/2006/relationships/hyperlink" Id="rId115" Target="https://doi.org/10.1111/j.1654-1103.2003.tb02228.x" TargetMode="External" /><Relationship Type="http://schemas.openxmlformats.org/officeDocument/2006/relationships/hyperlink" Id="rId102" Target="https://doi.org/10.1128/aem.01043-13" TargetMode="External" /><Relationship Type="http://schemas.openxmlformats.org/officeDocument/2006/relationships/hyperlink" Id="rId100"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2"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58" Target="https://doi.org/10.1371/journal.pcbi.1003531" TargetMode="External" /><Relationship Type="http://schemas.openxmlformats.org/officeDocument/2006/relationships/hyperlink" Id="rId104" Target="https://doi.org/10.1371/journal.pone.0008230" TargetMode="External" /><Relationship Type="http://schemas.openxmlformats.org/officeDocument/2006/relationships/hyperlink" Id="rId108"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_rels/footnotes.xml.rels><?xml version="1.0" encoding="UTF-8"?><Relationships xmlns="http://schemas.openxmlformats.org/package/2006/relationships"><Relationship Type="http://schemas.openxmlformats.org/officeDocument/2006/relationships/hyperlink" Id="rId56" Target="http://www.jstor.org/stable/2400321" TargetMode="External" /><Relationship Type="http://schemas.openxmlformats.org/officeDocument/2006/relationships/hyperlink" Id="rId117"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10"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6" Target="https://doi.org/10.1093/nar/gkm864" TargetMode="External" /><Relationship Type="http://schemas.openxmlformats.org/officeDocument/2006/relationships/hyperlink" Id="rId119" Target="https://doi.org/10.1111/j.1442-9993.2001.01070.pp.x" TargetMode="External" /><Relationship Type="http://schemas.openxmlformats.org/officeDocument/2006/relationships/hyperlink" Id="rId115" Target="https://doi.org/10.1111/j.1654-1103.2003.tb02228.x" TargetMode="External" /><Relationship Type="http://schemas.openxmlformats.org/officeDocument/2006/relationships/hyperlink" Id="rId102" Target="https://doi.org/10.1128/aem.01043-13" TargetMode="External" /><Relationship Type="http://schemas.openxmlformats.org/officeDocument/2006/relationships/hyperlink" Id="rId100"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2"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58" Target="https://doi.org/10.1371/journal.pcbi.1003531" TargetMode="External" /><Relationship Type="http://schemas.openxmlformats.org/officeDocument/2006/relationships/hyperlink" Id="rId104" Target="https://doi.org/10.1371/journal.pone.0008230" TargetMode="External" /><Relationship Type="http://schemas.openxmlformats.org/officeDocument/2006/relationships/hyperlink" Id="rId108"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2025-11-24T19:21:19Z</dcterms:created>
  <dcterms:modified xsi:type="dcterms:W3CDTF">2025-11-24T19:21:19Z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