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0098d4514fc0365d875e5708c2ead8706070269"/>
    <w:p>
      <w:pPr>
        <w:pStyle w:val="Heading1"/>
      </w:pPr>
      <w:r>
        <w:t xml:space="preserve">phylotypr: An R package for classifying DNA sequences</w:t>
      </w:r>
    </w:p>
    <w:p>
      <w:pPr>
        <w:pStyle w:val="FirstParagraph"/>
      </w:pPr>
      <w:r>
        <w:rPr>
          <w:b/>
          <w:bCs/>
        </w:rPr>
        <w:t xml:space="preserve">Running title:</w:t>
      </w:r>
      <w:r>
        <w:t xml:space="preserve"> </w:t>
      </w:r>
      <w:r>
        <w:t xml:space="preserve">phylotypr</w:t>
      </w:r>
    </w:p>
    <w:p>
      <w:pPr>
        <w:pStyle w:val="BodyText"/>
      </w:pPr>
      <w:r>
        <w:t xml:space="preserve">Patrick D. Schloss</w:t>
      </w:r>
    </w:p>
    <w:p>
      <w:pPr>
        <w:pStyle w:val="BodyText"/>
      </w:pPr>
      <w:r>
        <w:t xml:space="preserve">To whom correspondence should be addressed</w:t>
      </w:r>
      <w:r>
        <w:br/>
      </w:r>
    </w:p>
    <w:p>
      <w:pPr>
        <w:pStyle w:val="BodyText"/>
      </w:pPr>
      <w:r>
        <w:t xml:space="preserve">Department of Microbiology &amp; Immunology</w:t>
      </w:r>
      <w:r>
        <w:br/>
      </w:r>
      <w:r>
        <w:t xml:space="preserve">University of Michigan</w:t>
      </w:r>
      <w:r>
        <w:br/>
      </w:r>
      <w:r>
        <w:t xml:space="preserve">Ann Arbor, MI 48109</w:t>
      </w:r>
    </w:p>
    <w:p>
      <w:pPr>
        <w:pStyle w:val="BodyText"/>
      </w:pPr>
      <w:r>
        <w:rPr>
          <w:b/>
          <w:bCs/>
        </w:rPr>
        <w:t xml:space="preserve">Software Announcement</w:t>
      </w:r>
    </w:p>
    <w:bookmarkStart w:id="20" w:name="abstract"/>
    <w:p>
      <w:pPr>
        <w:pStyle w:val="Heading2"/>
      </w:pPr>
      <w:r>
        <w:t xml:space="preserve">Abstract</w:t>
      </w:r>
    </w:p>
    <w:p>
      <w:pPr>
        <w:pStyle w:val="FirstParagraph"/>
      </w:pPr>
      <w:r>
        <w:t xml:space="preserve">The phylotypr R package implements the popular naive Bayesian classification algorithm that is frequently used to classify 16S rRNA and other gene sequences to taxonomic lineages. A companion data package, phylotyprrefdata, also provides numerous versions of taxonomic databases from the Ribosomal Database Project, SILVA, and greengenes.</w:t>
      </w:r>
    </w:p>
    <w:bookmarkEnd w:id="20"/>
    <w:bookmarkStart w:id="21" w:name="announcement"/>
    <w:p>
      <w:pPr>
        <w:pStyle w:val="Heading2"/>
      </w:pPr>
      <w:r>
        <w:t xml:space="preserve">Announcement</w:t>
      </w:r>
    </w:p>
    <w:p>
      <w:pPr>
        <w:pStyle w:val="FirstParagraph"/>
      </w:pPr>
      <w:r>
        <w:t xml:space="preserve">Since it was published in 2007, the naive Bayesian classifier has been the most popular and performant tool for classifying 16S rRNA gene sequences</w:t>
      </w:r>
      <w:r>
        <w:t xml:space="preserve"> </w:t>
      </w:r>
      <w:r>
        <w:t xml:space="preserve">(1)</w:t>
      </w:r>
      <w:r>
        <w:t xml:space="preserve">. The method calculates the probability distributions of k-mers (typically 8-mers) across a reference collection and within each genus represented in the collection. These probabilities are used within a pseudo-bootstrapping procedure to classify unknown sequences and assign a confidence score to that classification. The confidence scores are used to prune the Linnaean taxonomy to the deepest possible taxonomic level with sufficient confidence (typically 80%). The algorithm was been made available by the original developers as an application coded in Java; a wrapper for the original code was available in QIIME</w:t>
      </w:r>
      <w:r>
        <w:t xml:space="preserve"> </w:t>
      </w:r>
      <w:r>
        <w:t xml:space="preserve">(2)</w:t>
      </w:r>
      <w:r>
        <w:t xml:space="preserve">. A C++ version has been available in mothur and a Python version in QIIME2</w:t>
      </w:r>
      <w:r>
        <w:t xml:space="preserve"> </w:t>
      </w:r>
      <w:r>
        <w:t xml:space="preserve">(3, 4)</w:t>
      </w:r>
      <w:r>
        <w:t xml:space="preserve">. Until March 2023, users could classify sequences with an online interface at the Ribosomal Database Project (RDP); this interface is no longer available. The RDP developers continue to update their code and the database through their GitHub and Sourceforge-based repositories</w:t>
      </w:r>
      <w:r>
        <w:t xml:space="preserve"> </w:t>
      </w:r>
      <w:r>
        <w:t xml:space="preserve">(5)</w:t>
      </w:r>
      <w:r>
        <w:t xml:space="preserve">.</w:t>
      </w:r>
    </w:p>
    <w:p>
      <w:pPr>
        <w:pStyle w:val="BodyText"/>
      </w:pPr>
      <w:r>
        <w:t xml:space="preserve">Considering the growing popularity of the R programming language among microbial ecologists</w:t>
      </w:r>
      <w:r>
        <w:t xml:space="preserve"> </w:t>
      </w:r>
      <w:r>
        <w:t xml:space="preserve">(6–10)</w:t>
      </w:r>
      <w:r>
        <w:t xml:space="preserve">, I developed an R-based version of the algorithm that is available as the phylotypr package. Users can install phylotypr via CRAN or through the devtools package’s install_github function. Classification consists of two steps. First, the reference sequences and taxonomies are used to calculate kmer-based probabilities with the build_kmer_database function. Users can specify their desired kmer size when generating the database. These probabilities can be recalculated for each R session or saved as an R data file. Their calculation can be completed within several seconds. Second, user-supplied sequences can be classified using the reference database with the classify_sequence function. Accessory filter_taxonomy and print_taxonomy functions allow the user to output the results of their classifications using a minimum confidence score threshold. A detailed vignette is available within the phylotypr package that demonstrates how to install the package, use its functions, and parallelize its performance using the furrr package. The R-based execution time is comparable to or faster than that found when using the classify.seqs mothur function written in C++.</w:t>
      </w:r>
    </w:p>
    <w:p>
      <w:pPr>
        <w:pStyle w:val="BodyText"/>
      </w:pPr>
      <w:r>
        <w:t xml:space="preserve">Many microbial ecologists have benefited from training the algorithm using reference sequences and taxonomies curated by the RDP as well as other providers including greengenes and SILVA</w:t>
      </w:r>
      <w:r>
        <w:t xml:space="preserve"> </w:t>
      </w:r>
      <w:r>
        <w:t xml:space="preserve">(5, 11–16)</w:t>
      </w:r>
      <w:r>
        <w:t xml:space="preserve">. For demonstration purposes, phylotypr includes a small reference database using version 9 of the RDP’s reference. A companion data package, phylotyprrefdata, is available on GitHub and can be installed using the install_github function from the devtools package. The current version of the data package (v0.1.0) includes all publicly available versions of the references from each of the RDP, greengenes, and SILVA references. Because of the size of the package (150 MB), it is too large to post to CRAN. I plan to make regular updates to the data package as new versions of databases become available. Users can also provide their own reference data to classify genes other than the 16S or 18S rRNA gene to to improve classification of lineages that are poorly represented in the references.</w:t>
      </w:r>
    </w:p>
    <w:bookmarkEnd w:id="21"/>
    <w:bookmarkStart w:id="22" w:name="data-availability"/>
    <w:p>
      <w:pPr>
        <w:pStyle w:val="Heading2"/>
      </w:pPr>
      <w:r>
        <w:t xml:space="preserve">Data availability</w:t>
      </w:r>
    </w:p>
    <w:p>
      <w:pPr>
        <w:pStyle w:val="FirstParagraph"/>
      </w:pPr>
      <w:r>
        <w:t xml:space="preserve">phylotypr is available through CRAN and developmental versions are available through the project’s GitHub website (https://github.com/mothur/phylotypr). A pkgdown version of the documentation is hosted at (https://mothur.org/phylotypr). The phylotyprref data package is available through the project’s GitHub website (https://github.com/mothur/phylotyprref). Both packages are available under the MIT open source license.</w:t>
      </w:r>
    </w:p>
    <w:bookmarkEnd w:id="22"/>
    <w:bookmarkStart w:id="23" w:name="acknowledgements"/>
    <w:p>
      <w:pPr>
        <w:pStyle w:val="Heading2"/>
      </w:pPr>
      <w:r>
        <w:t xml:space="preserve">Acknowledgements</w:t>
      </w:r>
    </w:p>
    <w:p>
      <w:pPr>
        <w:pStyle w:val="FirstParagraph"/>
      </w:pPr>
      <w:r>
        <w:t xml:space="preserve">phylotypr was developed as a series of videos on the Riffomonas YouTube channel (https://www.youtube.com/playlist?list=PLmNrK_nkqBpIZlWa3yGEc2-wX7An2kpCL). I am grateful to the viewers of the Riffomonas YouTube channel for their questions, suggestions, and encouragement throughout its development.</w:t>
      </w:r>
    </w:p>
    <w:bookmarkEnd w:id="23"/>
    <w:bookmarkStart w:id="57" w:name="references"/>
    <w:p>
      <w:pPr>
        <w:pStyle w:val="Heading2"/>
      </w:pPr>
      <w:r>
        <w:t xml:space="preserve">References</w:t>
      </w:r>
    </w:p>
    <w:bookmarkStart w:id="56" w:name="refs"/>
    <w:bookmarkStart w:id="25" w:name="ref-Wang2007"/>
    <w:p>
      <w:pPr>
        <w:pStyle w:val="Bibliography"/>
      </w:pPr>
      <w:r>
        <w:t xml:space="preserve">1.</w:t>
      </w:r>
      <w:r>
        <w:t xml:space="preserve"> </w:t>
      </w:r>
      <w:r>
        <w:t xml:space="preserve">	</w:t>
      </w:r>
      <w:r>
        <w:rPr>
          <w:b/>
          <w:bCs/>
        </w:rPr>
        <w:t xml:space="preserve">Wang Q</w:t>
      </w:r>
      <w:r>
        <w:t xml:space="preserve">,</w:t>
      </w:r>
      <w:r>
        <w:t xml:space="preserve"> </w:t>
      </w:r>
      <w:r>
        <w:rPr>
          <w:b/>
          <w:bCs/>
        </w:rPr>
        <w:t xml:space="preserve">Garrity GM</w:t>
      </w:r>
      <w:r>
        <w:t xml:space="preserve">,</w:t>
      </w:r>
      <w:r>
        <w:t xml:space="preserve"> </w:t>
      </w:r>
      <w:r>
        <w:rPr>
          <w:b/>
          <w:bCs/>
        </w:rPr>
        <w:t xml:space="preserve">Tiedje JM</w:t>
      </w:r>
      <w:r>
        <w:t xml:space="preserve">,</w:t>
      </w:r>
      <w:r>
        <w:t xml:space="preserve"> </w:t>
      </w:r>
      <w:r>
        <w:rPr>
          <w:b/>
          <w:bCs/>
        </w:rPr>
        <w:t xml:space="preserve">Cole JR</w:t>
      </w:r>
      <w:r>
        <w:t xml:space="preserve">. 2007. Naïve bayesian classifier for rapid assignment of rRNA sequences into the new bacterial taxonomy. Applied and Environmental Microbiology</w:t>
      </w:r>
      <w:r>
        <w:t xml:space="preserve"> </w:t>
      </w:r>
      <w:r>
        <w:rPr>
          <w:b/>
          <w:bCs/>
        </w:rPr>
        <w:t xml:space="preserve">73</w:t>
      </w:r>
      <w:r>
        <w:t xml:space="preserve">:5261–5267. doi:</w:t>
      </w:r>
      <w:hyperlink r:id="rId24">
        <w:r>
          <w:rPr>
            <w:rStyle w:val="Hyperlink"/>
          </w:rPr>
          <w:t xml:space="preserve">10.1128/aem.00062-07</w:t>
        </w:r>
      </w:hyperlink>
      <w:r>
        <w:t xml:space="preserve">.</w:t>
      </w:r>
    </w:p>
    <w:bookmarkEnd w:id="25"/>
    <w:bookmarkStart w:id="27" w:name="ref-Caporaso2010"/>
    <w:p>
      <w:pPr>
        <w:pStyle w:val="Bibliography"/>
      </w:pPr>
      <w:r>
        <w:t xml:space="preserve">2.</w:t>
      </w:r>
      <w:r>
        <w:t xml:space="preserve"> </w:t>
      </w:r>
      <w:r>
        <w:t xml:space="preserve">	</w:t>
      </w:r>
      <w:r>
        <w:rPr>
          <w:b/>
          <w:bCs/>
        </w:rPr>
        <w:t xml:space="preserve">Caporaso JG</w:t>
      </w:r>
      <w:r>
        <w:t xml:space="preserve">,</w:t>
      </w:r>
      <w:r>
        <w:t xml:space="preserve"> </w:t>
      </w:r>
      <w:r>
        <w:rPr>
          <w:b/>
          <w:bCs/>
        </w:rPr>
        <w:t xml:space="preserve">Kuczynski J</w:t>
      </w:r>
      <w:r>
        <w:t xml:space="preserve">,</w:t>
      </w:r>
      <w:r>
        <w:t xml:space="preserve"> </w:t>
      </w:r>
      <w:r>
        <w:rPr>
          <w:b/>
          <w:bCs/>
        </w:rPr>
        <w:t xml:space="preserve">Stombaugh J</w:t>
      </w:r>
      <w:r>
        <w:t xml:space="preserve">,</w:t>
      </w:r>
      <w:r>
        <w:t xml:space="preserve"> </w:t>
      </w:r>
      <w:r>
        <w:rPr>
          <w:b/>
          <w:bCs/>
        </w:rPr>
        <w:t xml:space="preserve">Bittinger K</w:t>
      </w:r>
      <w:r>
        <w:t xml:space="preserve">,</w:t>
      </w:r>
      <w:r>
        <w:t xml:space="preserve"> </w:t>
      </w:r>
      <w:r>
        <w:rPr>
          <w:b/>
          <w:bCs/>
        </w:rPr>
        <w:t xml:space="preserve">Bushman FD</w:t>
      </w:r>
      <w:r>
        <w:t xml:space="preserve">,</w:t>
      </w:r>
      <w:r>
        <w:t xml:space="preserve"> </w:t>
      </w:r>
      <w:r>
        <w:rPr>
          <w:b/>
          <w:bCs/>
        </w:rPr>
        <w:t xml:space="preserve">Costello EK</w:t>
      </w:r>
      <w:r>
        <w:t xml:space="preserve">,</w:t>
      </w:r>
      <w:r>
        <w:t xml:space="preserve"> </w:t>
      </w:r>
      <w:r>
        <w:rPr>
          <w:b/>
          <w:bCs/>
        </w:rPr>
        <w:t xml:space="preserve">Fierer N</w:t>
      </w:r>
      <w:r>
        <w:t xml:space="preserve">,</w:t>
      </w:r>
      <w:r>
        <w:t xml:space="preserve"> </w:t>
      </w:r>
      <w:r>
        <w:rPr>
          <w:b/>
          <w:bCs/>
        </w:rPr>
        <w:t xml:space="preserve">Peña AG</w:t>
      </w:r>
      <w:r>
        <w:t xml:space="preserve">,</w:t>
      </w:r>
      <w:r>
        <w:t xml:space="preserve"> </w:t>
      </w:r>
      <w:r>
        <w:rPr>
          <w:b/>
          <w:bCs/>
        </w:rPr>
        <w:t xml:space="preserve">Goodrich JK</w:t>
      </w:r>
      <w:r>
        <w:t xml:space="preserve">,</w:t>
      </w:r>
      <w:r>
        <w:t xml:space="preserve"> </w:t>
      </w:r>
      <w:r>
        <w:rPr>
          <w:b/>
          <w:bCs/>
        </w:rPr>
        <w:t xml:space="preserve">Gordon JI</w:t>
      </w:r>
      <w:r>
        <w:t xml:space="preserve">,</w:t>
      </w:r>
      <w:r>
        <w:t xml:space="preserve"> </w:t>
      </w:r>
      <w:r>
        <w:rPr>
          <w:b/>
          <w:bCs/>
        </w:rPr>
        <w:t xml:space="preserve">Huttley GA</w:t>
      </w:r>
      <w:r>
        <w:t xml:space="preserve">,</w:t>
      </w:r>
      <w:r>
        <w:t xml:space="preserve"> </w:t>
      </w:r>
      <w:r>
        <w:rPr>
          <w:b/>
          <w:bCs/>
        </w:rPr>
        <w:t xml:space="preserve">Kelley ST</w:t>
      </w:r>
      <w:r>
        <w:t xml:space="preserve">,</w:t>
      </w:r>
      <w:r>
        <w:t xml:space="preserve"> </w:t>
      </w:r>
      <w:r>
        <w:rPr>
          <w:b/>
          <w:bCs/>
        </w:rPr>
        <w:t xml:space="preserve">Knights D</w:t>
      </w:r>
      <w:r>
        <w:t xml:space="preserve">,</w:t>
      </w:r>
      <w:r>
        <w:t xml:space="preserve"> </w:t>
      </w:r>
      <w:r>
        <w:rPr>
          <w:b/>
          <w:bCs/>
        </w:rPr>
        <w:t xml:space="preserve">Koenig JE</w:t>
      </w:r>
      <w:r>
        <w:t xml:space="preserve">,</w:t>
      </w:r>
      <w:r>
        <w:t xml:space="preserve"> </w:t>
      </w:r>
      <w:r>
        <w:rPr>
          <w:b/>
          <w:bCs/>
        </w:rPr>
        <w:t xml:space="preserve">Ley RE</w:t>
      </w:r>
      <w:r>
        <w:t xml:space="preserve">,</w:t>
      </w:r>
      <w:r>
        <w:t xml:space="preserve"> </w:t>
      </w:r>
      <w:r>
        <w:rPr>
          <w:b/>
          <w:bCs/>
        </w:rPr>
        <w:t xml:space="preserve">Lozupone CA</w:t>
      </w:r>
      <w:r>
        <w:t xml:space="preserve">,</w:t>
      </w:r>
      <w:r>
        <w:t xml:space="preserve"> </w:t>
      </w:r>
      <w:r>
        <w:rPr>
          <w:b/>
          <w:bCs/>
        </w:rPr>
        <w:t xml:space="preserve">McDonald D</w:t>
      </w:r>
      <w:r>
        <w:t xml:space="preserve">,</w:t>
      </w:r>
      <w:r>
        <w:t xml:space="preserve"> </w:t>
      </w:r>
      <w:r>
        <w:rPr>
          <w:b/>
          <w:bCs/>
        </w:rPr>
        <w:t xml:space="preserve">Muegge BD</w:t>
      </w:r>
      <w:r>
        <w:t xml:space="preserve">,</w:t>
      </w:r>
      <w:r>
        <w:t xml:space="preserve"> </w:t>
      </w:r>
      <w:r>
        <w:rPr>
          <w:b/>
          <w:bCs/>
        </w:rPr>
        <w:t xml:space="preserve">Pirrung M</w:t>
      </w:r>
      <w:r>
        <w:t xml:space="preserve">,</w:t>
      </w:r>
      <w:r>
        <w:t xml:space="preserve"> </w:t>
      </w:r>
      <w:r>
        <w:rPr>
          <w:b/>
          <w:bCs/>
        </w:rPr>
        <w:t xml:space="preserve">Reeder J</w:t>
      </w:r>
      <w:r>
        <w:t xml:space="preserve">,</w:t>
      </w:r>
      <w:r>
        <w:t xml:space="preserve"> </w:t>
      </w:r>
      <w:r>
        <w:rPr>
          <w:b/>
          <w:bCs/>
        </w:rPr>
        <w:t xml:space="preserve">Sevinsky JR</w:t>
      </w:r>
      <w:r>
        <w:t xml:space="preserve">,</w:t>
      </w:r>
      <w:r>
        <w:t xml:space="preserve"> </w:t>
      </w:r>
      <w:r>
        <w:rPr>
          <w:b/>
          <w:bCs/>
        </w:rPr>
        <w:t xml:space="preserve">Turnbaugh PJ</w:t>
      </w:r>
      <w:r>
        <w:t xml:space="preserve">,</w:t>
      </w:r>
      <w:r>
        <w:t xml:space="preserve"> </w:t>
      </w:r>
      <w:r>
        <w:rPr>
          <w:b/>
          <w:bCs/>
        </w:rPr>
        <w:t xml:space="preserve">Walters WA</w:t>
      </w:r>
      <w:r>
        <w:t xml:space="preserve">,</w:t>
      </w:r>
      <w:r>
        <w:t xml:space="preserve"> </w:t>
      </w:r>
      <w:r>
        <w:rPr>
          <w:b/>
          <w:bCs/>
        </w:rPr>
        <w:t xml:space="preserve">Widmann J</w:t>
      </w:r>
      <w:r>
        <w:t xml:space="preserve">,</w:t>
      </w:r>
      <w:r>
        <w:t xml:space="preserve"> </w:t>
      </w:r>
      <w:r>
        <w:rPr>
          <w:b/>
          <w:bCs/>
        </w:rPr>
        <w:t xml:space="preserve">Yatsunenko T</w:t>
      </w:r>
      <w:r>
        <w:t xml:space="preserve">,</w:t>
      </w:r>
      <w:r>
        <w:t xml:space="preserve"> </w:t>
      </w:r>
      <w:r>
        <w:rPr>
          <w:b/>
          <w:bCs/>
        </w:rPr>
        <w:t xml:space="preserve">Zaneveld J</w:t>
      </w:r>
      <w:r>
        <w:t xml:space="preserve">,</w:t>
      </w:r>
      <w:r>
        <w:t xml:space="preserve"> </w:t>
      </w:r>
      <w:r>
        <w:rPr>
          <w:b/>
          <w:bCs/>
        </w:rPr>
        <w:t xml:space="preserve">Knight R</w:t>
      </w:r>
      <w:r>
        <w:t xml:space="preserve">. 2010. QIIME allows analysis of high-throughput community sequencing data. Nature Methods</w:t>
      </w:r>
      <w:r>
        <w:t xml:space="preserve"> </w:t>
      </w:r>
      <w:r>
        <w:rPr>
          <w:b/>
          <w:bCs/>
        </w:rPr>
        <w:t xml:space="preserve">7</w:t>
      </w:r>
      <w:r>
        <w:t xml:space="preserve">:335–336. doi:</w:t>
      </w:r>
      <w:hyperlink r:id="rId26">
        <w:r>
          <w:rPr>
            <w:rStyle w:val="Hyperlink"/>
          </w:rPr>
          <w:t xml:space="preserve">10.1038/nmeth.f.303</w:t>
        </w:r>
      </w:hyperlink>
      <w:r>
        <w:t xml:space="preserve">.</w:t>
      </w:r>
    </w:p>
    <w:bookmarkEnd w:id="27"/>
    <w:bookmarkStart w:id="29" w:name="ref-Schloss2009"/>
    <w:p>
      <w:pPr>
        <w:pStyle w:val="Bibliography"/>
      </w:pPr>
      <w:r>
        <w:t xml:space="preserve">3.</w:t>
      </w:r>
      <w:r>
        <w:t xml:space="preserve"> </w:t>
      </w:r>
      <w:r>
        <w:t xml:space="preserve">	</w:t>
      </w:r>
      <w:r>
        <w:rPr>
          <w:b/>
          <w:bCs/>
        </w:rPr>
        <w:t xml:space="preserve">Schloss PD</w:t>
      </w:r>
      <w:r>
        <w:t xml:space="preserve">,</w:t>
      </w:r>
      <w:r>
        <w:t xml:space="preserve"> </w:t>
      </w:r>
      <w:r>
        <w:rPr>
          <w:b/>
          <w:bCs/>
        </w:rPr>
        <w:t xml:space="preserve">Westcott SL</w:t>
      </w:r>
      <w:r>
        <w:t xml:space="preserve">,</w:t>
      </w:r>
      <w:r>
        <w:t xml:space="preserve"> </w:t>
      </w:r>
      <w:r>
        <w:rPr>
          <w:b/>
          <w:bCs/>
        </w:rPr>
        <w:t xml:space="preserve">Ryabin T</w:t>
      </w:r>
      <w:r>
        <w:t xml:space="preserve">,</w:t>
      </w:r>
      <w:r>
        <w:t xml:space="preserve"> </w:t>
      </w:r>
      <w:r>
        <w:rPr>
          <w:b/>
          <w:bCs/>
        </w:rPr>
        <w:t xml:space="preserve">Hall JR</w:t>
      </w:r>
      <w:r>
        <w:t xml:space="preserve">,</w:t>
      </w:r>
      <w:r>
        <w:t xml:space="preserve"> </w:t>
      </w:r>
      <w:r>
        <w:rPr>
          <w:b/>
          <w:bCs/>
        </w:rPr>
        <w:t xml:space="preserve">Hartmann M</w:t>
      </w:r>
      <w:r>
        <w:t xml:space="preserve">,</w:t>
      </w:r>
      <w:r>
        <w:t xml:space="preserve"> </w:t>
      </w:r>
      <w:r>
        <w:rPr>
          <w:b/>
          <w:bCs/>
        </w:rPr>
        <w:t xml:space="preserve">Hollister EB</w:t>
      </w:r>
      <w:r>
        <w:t xml:space="preserve">,</w:t>
      </w:r>
      <w:r>
        <w:t xml:space="preserve"> </w:t>
      </w:r>
      <w:r>
        <w:rPr>
          <w:b/>
          <w:bCs/>
        </w:rPr>
        <w:t xml:space="preserve">Lesniewski RA</w:t>
      </w:r>
      <w:r>
        <w:t xml:space="preserve">,</w:t>
      </w:r>
      <w:r>
        <w:t xml:space="preserve"> </w:t>
      </w:r>
      <w:r>
        <w:rPr>
          <w:b/>
          <w:bCs/>
        </w:rPr>
        <w:t xml:space="preserve">Oakley BB</w:t>
      </w:r>
      <w:r>
        <w:t xml:space="preserve">,</w:t>
      </w:r>
      <w:r>
        <w:t xml:space="preserve"> </w:t>
      </w:r>
      <w:r>
        <w:rPr>
          <w:b/>
          <w:bCs/>
        </w:rPr>
        <w:t xml:space="preserve">Parks DH</w:t>
      </w:r>
      <w:r>
        <w:t xml:space="preserve">,</w:t>
      </w:r>
      <w:r>
        <w:t xml:space="preserve"> </w:t>
      </w:r>
      <w:r>
        <w:rPr>
          <w:b/>
          <w:bCs/>
        </w:rPr>
        <w:t xml:space="preserve">Robinson CJ</w:t>
      </w:r>
      <w:r>
        <w:t xml:space="preserve">,</w:t>
      </w:r>
      <w:r>
        <w:t xml:space="preserve"> </w:t>
      </w:r>
      <w:r>
        <w:rPr>
          <w:b/>
          <w:bCs/>
        </w:rPr>
        <w:t xml:space="preserve">Sahl JW</w:t>
      </w:r>
      <w:r>
        <w:t xml:space="preserve">,</w:t>
      </w:r>
      <w:r>
        <w:t xml:space="preserve"> </w:t>
      </w:r>
      <w:r>
        <w:rPr>
          <w:b/>
          <w:bCs/>
        </w:rPr>
        <w:t xml:space="preserve">Stres B</w:t>
      </w:r>
      <w:r>
        <w:t xml:space="preserve">,</w:t>
      </w:r>
      <w:r>
        <w:t xml:space="preserve"> </w:t>
      </w:r>
      <w:r>
        <w:rPr>
          <w:b/>
          <w:bCs/>
        </w:rPr>
        <w:t xml:space="preserve">Thallinger GG</w:t>
      </w:r>
      <w:r>
        <w:t xml:space="preserve">,</w:t>
      </w:r>
      <w:r>
        <w:t xml:space="preserve"> </w:t>
      </w:r>
      <w:r>
        <w:rPr>
          <w:b/>
          <w:bCs/>
        </w:rPr>
        <w:t xml:space="preserve">Van Horn DJ</w:t>
      </w:r>
      <w:r>
        <w:t xml:space="preserve">,</w:t>
      </w:r>
      <w:r>
        <w:t xml:space="preserve"> </w:t>
      </w:r>
      <w:r>
        <w:rPr>
          <w:b/>
          <w:bCs/>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bCs/>
        </w:rPr>
        <w:t xml:space="preserve">75</w:t>
      </w:r>
      <w:r>
        <w:t xml:space="preserve">:7537–7541. doi:</w:t>
      </w:r>
      <w:hyperlink r:id="rId28">
        <w:r>
          <w:rPr>
            <w:rStyle w:val="Hyperlink"/>
          </w:rPr>
          <w:t xml:space="preserve">10.1128/aem.01541-09</w:t>
        </w:r>
      </w:hyperlink>
      <w:r>
        <w:t xml:space="preserve">.</w:t>
      </w:r>
    </w:p>
    <w:bookmarkEnd w:id="29"/>
    <w:bookmarkStart w:id="31" w:name="ref-Bokulich2018"/>
    <w:p>
      <w:pPr>
        <w:pStyle w:val="Bibliography"/>
      </w:pPr>
      <w:r>
        <w:t xml:space="preserve">4.</w:t>
      </w:r>
      <w:r>
        <w:t xml:space="preserve"> </w:t>
      </w:r>
      <w:r>
        <w:t xml:space="preserve">	</w:t>
      </w:r>
      <w:r>
        <w:rPr>
          <w:b/>
          <w:bCs/>
        </w:rPr>
        <w:t xml:space="preserve">Bokulich NA</w:t>
      </w:r>
      <w:r>
        <w:t xml:space="preserve">,</w:t>
      </w:r>
      <w:r>
        <w:t xml:space="preserve"> </w:t>
      </w:r>
      <w:r>
        <w:rPr>
          <w:b/>
          <w:bCs/>
        </w:rPr>
        <w:t xml:space="preserve">Kaehler BD</w:t>
      </w:r>
      <w:r>
        <w:t xml:space="preserve">,</w:t>
      </w:r>
      <w:r>
        <w:t xml:space="preserve"> </w:t>
      </w:r>
      <w:r>
        <w:rPr>
          <w:b/>
          <w:bCs/>
        </w:rPr>
        <w:t xml:space="preserve">Rideout JR</w:t>
      </w:r>
      <w:r>
        <w:t xml:space="preserve">,</w:t>
      </w:r>
      <w:r>
        <w:t xml:space="preserve"> </w:t>
      </w:r>
      <w:r>
        <w:rPr>
          <w:b/>
          <w:bCs/>
        </w:rPr>
        <w:t xml:space="preserve">Dillon M</w:t>
      </w:r>
      <w:r>
        <w:t xml:space="preserve">,</w:t>
      </w:r>
      <w:r>
        <w:t xml:space="preserve"> </w:t>
      </w:r>
      <w:r>
        <w:rPr>
          <w:b/>
          <w:bCs/>
        </w:rPr>
        <w:t xml:space="preserve">Bolyen E</w:t>
      </w:r>
      <w:r>
        <w:t xml:space="preserve">,</w:t>
      </w:r>
      <w:r>
        <w:t xml:space="preserve"> </w:t>
      </w:r>
      <w:r>
        <w:rPr>
          <w:b/>
          <w:bCs/>
        </w:rPr>
        <w:t xml:space="preserve">Knight R</w:t>
      </w:r>
      <w:r>
        <w:t xml:space="preserve">,</w:t>
      </w:r>
      <w:r>
        <w:t xml:space="preserve"> </w:t>
      </w:r>
      <w:r>
        <w:rPr>
          <w:b/>
          <w:bCs/>
        </w:rPr>
        <w:t xml:space="preserve">Huttley GA</w:t>
      </w:r>
      <w:r>
        <w:t xml:space="preserve">,</w:t>
      </w:r>
      <w:r>
        <w:t xml:space="preserve"> </w:t>
      </w:r>
      <w:r>
        <w:rPr>
          <w:b/>
          <w:bCs/>
        </w:rPr>
        <w:t xml:space="preserve">Gregory Caporaso J</w:t>
      </w:r>
      <w:r>
        <w:t xml:space="preserve">. 2018. Optimizing taxonomic classification of marker-gene amplicon sequences with QIIME 2’s q2-feature-classifier plugin. Microbiome</w:t>
      </w:r>
      <w:r>
        <w:t xml:space="preserve"> </w:t>
      </w:r>
      <w:r>
        <w:rPr>
          <w:b/>
          <w:bCs/>
        </w:rPr>
        <w:t xml:space="preserve">6</w:t>
      </w:r>
      <w:r>
        <w:t xml:space="preserve">. doi:</w:t>
      </w:r>
      <w:hyperlink r:id="rId30">
        <w:r>
          <w:rPr>
            <w:rStyle w:val="Hyperlink"/>
          </w:rPr>
          <w:t xml:space="preserve">10.1186/s40168-018-0470-z</w:t>
        </w:r>
      </w:hyperlink>
      <w:r>
        <w:t xml:space="preserve">.</w:t>
      </w:r>
    </w:p>
    <w:bookmarkEnd w:id="31"/>
    <w:bookmarkStart w:id="33" w:name="ref-Wang2024"/>
    <w:p>
      <w:pPr>
        <w:pStyle w:val="Bibliography"/>
      </w:pPr>
      <w:r>
        <w:t xml:space="preserve">5.</w:t>
      </w:r>
      <w:r>
        <w:t xml:space="preserve"> </w:t>
      </w:r>
      <w:r>
        <w:t xml:space="preserve">	</w:t>
      </w:r>
      <w:r>
        <w:rPr>
          <w:b/>
          <w:bCs/>
        </w:rPr>
        <w:t xml:space="preserve">Wang Q</w:t>
      </w:r>
      <w:r>
        <w:t xml:space="preserve">,</w:t>
      </w:r>
      <w:r>
        <w:t xml:space="preserve"> </w:t>
      </w:r>
      <w:r>
        <w:rPr>
          <w:b/>
          <w:bCs/>
        </w:rPr>
        <w:t xml:space="preserve">Cole JR</w:t>
      </w:r>
      <w:r>
        <w:t xml:space="preserve">. 2024. Updated RDP taxonomy and RDP classifier for more accurate taxonomic classification. Microbiology Resource Announcements</w:t>
      </w:r>
      <w:r>
        <w:t xml:space="preserve"> </w:t>
      </w:r>
      <w:r>
        <w:rPr>
          <w:b/>
          <w:bCs/>
        </w:rPr>
        <w:t xml:space="preserve">13</w:t>
      </w:r>
      <w:r>
        <w:t xml:space="preserve">. doi:</w:t>
      </w:r>
      <w:hyperlink r:id="rId32">
        <w:r>
          <w:rPr>
            <w:rStyle w:val="Hyperlink"/>
          </w:rPr>
          <w:t xml:space="preserve">10.1128/mra.01063-23</w:t>
        </w:r>
      </w:hyperlink>
      <w:r>
        <w:t xml:space="preserve">.</w:t>
      </w:r>
    </w:p>
    <w:bookmarkEnd w:id="33"/>
    <w:bookmarkStart w:id="35" w:name="ref-Liu2020"/>
    <w:p>
      <w:pPr>
        <w:pStyle w:val="Bibliography"/>
      </w:pPr>
      <w:r>
        <w:t xml:space="preserve">6.</w:t>
      </w:r>
      <w:r>
        <w:t xml:space="preserve"> </w:t>
      </w:r>
      <w:r>
        <w:t xml:space="preserve">	</w:t>
      </w:r>
      <w:r>
        <w:rPr>
          <w:b/>
          <w:bCs/>
        </w:rPr>
        <w:t xml:space="preserve">Liu C</w:t>
      </w:r>
      <w:r>
        <w:t xml:space="preserve">,</w:t>
      </w:r>
      <w:r>
        <w:t xml:space="preserve"> </w:t>
      </w:r>
      <w:r>
        <w:rPr>
          <w:b/>
          <w:bCs/>
        </w:rPr>
        <w:t xml:space="preserve">Cui Y</w:t>
      </w:r>
      <w:r>
        <w:t xml:space="preserve">,</w:t>
      </w:r>
      <w:r>
        <w:t xml:space="preserve"> </w:t>
      </w:r>
      <w:r>
        <w:rPr>
          <w:b/>
          <w:bCs/>
        </w:rPr>
        <w:t xml:space="preserve">Li X</w:t>
      </w:r>
      <w:r>
        <w:t xml:space="preserve">,</w:t>
      </w:r>
      <w:r>
        <w:t xml:space="preserve"> </w:t>
      </w:r>
      <w:r>
        <w:rPr>
          <w:b/>
          <w:bCs/>
        </w:rPr>
        <w:t xml:space="preserve">Yao M</w:t>
      </w:r>
      <w:r>
        <w:t xml:space="preserve">. 2020. Microeco: An r package for data mining in microbial community ecology. FEMS Microbiology Ecology</w:t>
      </w:r>
      <w:r>
        <w:t xml:space="preserve"> </w:t>
      </w:r>
      <w:r>
        <w:rPr>
          <w:b/>
          <w:bCs/>
        </w:rPr>
        <w:t xml:space="preserve">97</w:t>
      </w:r>
      <w:r>
        <w:t xml:space="preserve">. doi:</w:t>
      </w:r>
      <w:hyperlink r:id="rId34">
        <w:r>
          <w:rPr>
            <w:rStyle w:val="Hyperlink"/>
          </w:rPr>
          <w:t xml:space="preserve">10.1093/femsec/fiaa255</w:t>
        </w:r>
      </w:hyperlink>
      <w:r>
        <w:t xml:space="preserve">.</w:t>
      </w:r>
    </w:p>
    <w:bookmarkEnd w:id="35"/>
    <w:bookmarkStart w:id="37" w:name="ref-Buttigieg2014"/>
    <w:p>
      <w:pPr>
        <w:pStyle w:val="Bibliography"/>
      </w:pPr>
      <w:r>
        <w:t xml:space="preserve">7.</w:t>
      </w:r>
      <w:r>
        <w:t xml:space="preserve"> </w:t>
      </w:r>
      <w:r>
        <w:t xml:space="preserve">	</w:t>
      </w:r>
      <w:r>
        <w:rPr>
          <w:b/>
          <w:bCs/>
        </w:rPr>
        <w:t xml:space="preserve">Buttigieg PL</w:t>
      </w:r>
      <w:r>
        <w:t xml:space="preserve">,</w:t>
      </w:r>
      <w:r>
        <w:t xml:space="preserve"> </w:t>
      </w:r>
      <w:r>
        <w:rPr>
          <w:b/>
          <w:bCs/>
        </w:rPr>
        <w:t xml:space="preserve">Ramette A</w:t>
      </w:r>
      <w:r>
        <w:t xml:space="preserve">. 2014. A guide to statistical analysis in microbial ecology: A community-focused, living review of multivariate data analyses. FEMS Microbiology Ecology</w:t>
      </w:r>
      <w:r>
        <w:t xml:space="preserve"> </w:t>
      </w:r>
      <w:r>
        <w:rPr>
          <w:b/>
          <w:bCs/>
        </w:rPr>
        <w:t xml:space="preserve">90</w:t>
      </w:r>
      <w:r>
        <w:t xml:space="preserve">:543–550. doi:</w:t>
      </w:r>
      <w:hyperlink r:id="rId36">
        <w:r>
          <w:rPr>
            <w:rStyle w:val="Hyperlink"/>
          </w:rPr>
          <w:t xml:space="preserve">10.1111/1574-6941.12437</w:t>
        </w:r>
      </w:hyperlink>
      <w:r>
        <w:t xml:space="preserve">.</w:t>
      </w:r>
    </w:p>
    <w:bookmarkEnd w:id="37"/>
    <w:bookmarkStart w:id="39" w:name="ref-McMurdie2013"/>
    <w:p>
      <w:pPr>
        <w:pStyle w:val="Bibliography"/>
      </w:pPr>
      <w:r>
        <w:t xml:space="preserve">8.</w:t>
      </w:r>
      <w:r>
        <w:t xml:space="preserve"> </w:t>
      </w:r>
      <w:r>
        <w:t xml:space="preserve">	</w:t>
      </w:r>
      <w:r>
        <w:rPr>
          <w:b/>
          <w:bCs/>
        </w:rPr>
        <w:t xml:space="preserve">McMurdie PJ</w:t>
      </w:r>
      <w:r>
        <w:t xml:space="preserve">,</w:t>
      </w:r>
      <w:r>
        <w:t xml:space="preserve"> </w:t>
      </w:r>
      <w:r>
        <w:rPr>
          <w:b/>
          <w:bCs/>
        </w:rPr>
        <w:t xml:space="preserve">Holmes S</w:t>
      </w:r>
      <w:r>
        <w:t xml:space="preserve">. 2013. Phyloseq: An r package for reproducible interactive analysis and graphics of microbiome census data. PLoS ONE</w:t>
      </w:r>
      <w:r>
        <w:t xml:space="preserve"> </w:t>
      </w:r>
      <w:r>
        <w:rPr>
          <w:b/>
          <w:bCs/>
        </w:rPr>
        <w:t xml:space="preserve">8</w:t>
      </w:r>
      <w:r>
        <w:t xml:space="preserve">:e61217. doi:</w:t>
      </w:r>
      <w:hyperlink r:id="rId38">
        <w:r>
          <w:rPr>
            <w:rStyle w:val="Hyperlink"/>
          </w:rPr>
          <w:t xml:space="preserve">10.1371/journal.pone.0061217</w:t>
        </w:r>
      </w:hyperlink>
      <w:r>
        <w:t xml:space="preserve">.</w:t>
      </w:r>
    </w:p>
    <w:bookmarkEnd w:id="39"/>
    <w:bookmarkStart w:id="41" w:name="ref-Callahan2016"/>
    <w:p>
      <w:pPr>
        <w:pStyle w:val="Bibliography"/>
      </w:pPr>
      <w:r>
        <w:t xml:space="preserve">9.</w:t>
      </w:r>
      <w:r>
        <w:t xml:space="preserve"> </w:t>
      </w:r>
      <w:r>
        <w:t xml:space="preserve">	</w:t>
      </w:r>
      <w:r>
        <w:rPr>
          <w:b/>
          <w:bCs/>
        </w:rPr>
        <w:t xml:space="preserve">Callahan BJ</w:t>
      </w:r>
      <w:r>
        <w:t xml:space="preserve">,</w:t>
      </w:r>
      <w:r>
        <w:t xml:space="preserve"> </w:t>
      </w:r>
      <w:r>
        <w:rPr>
          <w:b/>
          <w:bCs/>
        </w:rPr>
        <w:t xml:space="preserve">McMurdie PJ</w:t>
      </w:r>
      <w:r>
        <w:t xml:space="preserve">,</w:t>
      </w:r>
      <w:r>
        <w:t xml:space="preserve"> </w:t>
      </w:r>
      <w:r>
        <w:rPr>
          <w:b/>
          <w:bCs/>
        </w:rPr>
        <w:t xml:space="preserve">Rosen MJ</w:t>
      </w:r>
      <w:r>
        <w:t xml:space="preserve">,</w:t>
      </w:r>
      <w:r>
        <w:t xml:space="preserve"> </w:t>
      </w:r>
      <w:r>
        <w:rPr>
          <w:b/>
          <w:bCs/>
        </w:rPr>
        <w:t xml:space="preserve">Han AW</w:t>
      </w:r>
      <w:r>
        <w:t xml:space="preserve">,</w:t>
      </w:r>
      <w:r>
        <w:t xml:space="preserve"> </w:t>
      </w:r>
      <w:r>
        <w:rPr>
          <w:b/>
          <w:bCs/>
        </w:rPr>
        <w:t xml:space="preserve">Johnson AJA</w:t>
      </w:r>
      <w:r>
        <w:t xml:space="preserve">,</w:t>
      </w:r>
      <w:r>
        <w:t xml:space="preserve"> </w:t>
      </w:r>
      <w:r>
        <w:rPr>
          <w:b/>
          <w:bCs/>
        </w:rPr>
        <w:t xml:space="preserve">Holmes SP</w:t>
      </w:r>
      <w:r>
        <w:t xml:space="preserve">. 2016. DADA2: High-resolution sample inference from illumina amplicon data. Nature Methods</w:t>
      </w:r>
      <w:r>
        <w:t xml:space="preserve"> </w:t>
      </w:r>
      <w:r>
        <w:rPr>
          <w:b/>
          <w:bCs/>
        </w:rPr>
        <w:t xml:space="preserve">13</w:t>
      </w:r>
      <w:r>
        <w:t xml:space="preserve">:581–583. doi:</w:t>
      </w:r>
      <w:hyperlink r:id="rId40">
        <w:r>
          <w:rPr>
            <w:rStyle w:val="Hyperlink"/>
          </w:rPr>
          <w:t xml:space="preserve">10.1038/nmeth.3869</w:t>
        </w:r>
      </w:hyperlink>
      <w:r>
        <w:t xml:space="preserve">.</w:t>
      </w:r>
    </w:p>
    <w:bookmarkEnd w:id="41"/>
    <w:bookmarkStart w:id="43" w:name="ref-Dixon2003"/>
    <w:p>
      <w:pPr>
        <w:pStyle w:val="Bibliography"/>
      </w:pPr>
      <w:r>
        <w:t xml:space="preserve">10.</w:t>
      </w:r>
      <w:r>
        <w:t xml:space="preserve"> </w:t>
      </w:r>
      <w:r>
        <w:t xml:space="preserve">	</w:t>
      </w:r>
      <w:r>
        <w:rPr>
          <w:b/>
          <w:bCs/>
        </w:rPr>
        <w:t xml:space="preserve">Dixon P</w:t>
      </w:r>
      <w:r>
        <w:t xml:space="preserve">. 2003.</w:t>
      </w:r>
      <w:r>
        <w:t xml:space="preserve"> </w:t>
      </w:r>
      <w:r>
        <w:t xml:space="preserve">VEGAN</w:t>
      </w:r>
      <w:r>
        <w:t xml:space="preserve">, a package of r functions for community ecology. Journal of Vegetation Science</w:t>
      </w:r>
      <w:r>
        <w:t xml:space="preserve"> </w:t>
      </w:r>
      <w:r>
        <w:rPr>
          <w:b/>
          <w:bCs/>
        </w:rPr>
        <w:t xml:space="preserve">14</w:t>
      </w:r>
      <w:r>
        <w:t xml:space="preserve">:927–930. doi:</w:t>
      </w:r>
      <w:hyperlink r:id="rId42">
        <w:r>
          <w:rPr>
            <w:rStyle w:val="Hyperlink"/>
          </w:rPr>
          <w:t xml:space="preserve">10.1111/j.1654-1103.2003.tb02228.x</w:t>
        </w:r>
      </w:hyperlink>
      <w:r>
        <w:t xml:space="preserve">.</w:t>
      </w:r>
    </w:p>
    <w:bookmarkEnd w:id="43"/>
    <w:bookmarkStart w:id="45" w:name="ref-DeSantis2006"/>
    <w:p>
      <w:pPr>
        <w:pStyle w:val="Bibliography"/>
      </w:pPr>
      <w:r>
        <w:t xml:space="preserve">11.</w:t>
      </w:r>
      <w:r>
        <w:t xml:space="preserve"> </w:t>
      </w:r>
      <w:r>
        <w:t xml:space="preserve">	</w:t>
      </w:r>
      <w:r>
        <w:rPr>
          <w:b/>
          <w:bCs/>
        </w:rPr>
        <w:t xml:space="preserve">DeSantis TZ</w:t>
      </w:r>
      <w:r>
        <w:t xml:space="preserve">,</w:t>
      </w:r>
      <w:r>
        <w:t xml:space="preserve"> </w:t>
      </w:r>
      <w:r>
        <w:rPr>
          <w:b/>
          <w:bCs/>
        </w:rPr>
        <w:t xml:space="preserve">Hugenholtz P</w:t>
      </w:r>
      <w:r>
        <w:t xml:space="preserve">,</w:t>
      </w:r>
      <w:r>
        <w:t xml:space="preserve"> </w:t>
      </w:r>
      <w:r>
        <w:rPr>
          <w:b/>
          <w:bCs/>
        </w:rPr>
        <w:t xml:space="preserve">Larsen N</w:t>
      </w:r>
      <w:r>
        <w:t xml:space="preserve">,</w:t>
      </w:r>
      <w:r>
        <w:t xml:space="preserve"> </w:t>
      </w:r>
      <w:r>
        <w:rPr>
          <w:b/>
          <w:bCs/>
        </w:rPr>
        <w:t xml:space="preserve">Rojas M</w:t>
      </w:r>
      <w:r>
        <w:t xml:space="preserve">,</w:t>
      </w:r>
      <w:r>
        <w:t xml:space="preserve"> </w:t>
      </w:r>
      <w:r>
        <w:rPr>
          <w:b/>
          <w:bCs/>
        </w:rPr>
        <w:t xml:space="preserve">Brodie EL</w:t>
      </w:r>
      <w:r>
        <w:t xml:space="preserve">,</w:t>
      </w:r>
      <w:r>
        <w:t xml:space="preserve"> </w:t>
      </w:r>
      <w:r>
        <w:rPr>
          <w:b/>
          <w:bCs/>
        </w:rPr>
        <w:t xml:space="preserve">Keller K</w:t>
      </w:r>
      <w:r>
        <w:t xml:space="preserve">,</w:t>
      </w:r>
      <w:r>
        <w:t xml:space="preserve"> </w:t>
      </w:r>
      <w:r>
        <w:rPr>
          <w:b/>
          <w:bCs/>
        </w:rPr>
        <w:t xml:space="preserve">Huber T</w:t>
      </w:r>
      <w:r>
        <w:t xml:space="preserve">,</w:t>
      </w:r>
      <w:r>
        <w:t xml:space="preserve"> </w:t>
      </w:r>
      <w:r>
        <w:rPr>
          <w:b/>
          <w:bCs/>
        </w:rPr>
        <w:t xml:space="preserve">Dalevi D</w:t>
      </w:r>
      <w:r>
        <w:t xml:space="preserve">,</w:t>
      </w:r>
      <w:r>
        <w:t xml:space="preserve"> </w:t>
      </w:r>
      <w:r>
        <w:rPr>
          <w:b/>
          <w:bCs/>
        </w:rPr>
        <w:t xml:space="preserve">Hu P</w:t>
      </w:r>
      <w:r>
        <w:t xml:space="preserve">,</w:t>
      </w:r>
      <w:r>
        <w:t xml:space="preserve"> </w:t>
      </w:r>
      <w:r>
        <w:rPr>
          <w:b/>
          <w:bCs/>
        </w:rPr>
        <w:t xml:space="preserve">Andersen GL</w:t>
      </w:r>
      <w:r>
        <w:t xml:space="preserve">. 2006. Greengenes, a chimera-checked 16S rRNA gene database and workbench compatible with ARB. Applied and Environmental Microbiology</w:t>
      </w:r>
      <w:r>
        <w:t xml:space="preserve"> </w:t>
      </w:r>
      <w:r>
        <w:rPr>
          <w:b/>
          <w:bCs/>
        </w:rPr>
        <w:t xml:space="preserve">72</w:t>
      </w:r>
      <w:r>
        <w:t xml:space="preserve">:5069–5072. doi:</w:t>
      </w:r>
      <w:hyperlink r:id="rId44">
        <w:r>
          <w:rPr>
            <w:rStyle w:val="Hyperlink"/>
          </w:rPr>
          <w:t xml:space="preserve">10.1128/aem.03006-05</w:t>
        </w:r>
      </w:hyperlink>
      <w:r>
        <w:t xml:space="preserve">.</w:t>
      </w:r>
    </w:p>
    <w:bookmarkEnd w:id="45"/>
    <w:bookmarkStart w:id="47" w:name="ref-McDonald2011"/>
    <w:p>
      <w:pPr>
        <w:pStyle w:val="Bibliography"/>
      </w:pPr>
      <w:r>
        <w:t xml:space="preserve">12.</w:t>
      </w:r>
      <w:r>
        <w:t xml:space="preserve"> </w:t>
      </w:r>
      <w:r>
        <w:t xml:space="preserve">	</w:t>
      </w:r>
      <w:r>
        <w:rPr>
          <w:b/>
          <w:bCs/>
        </w:rPr>
        <w:t xml:space="preserve">McDonald D</w:t>
      </w:r>
      <w:r>
        <w:t xml:space="preserve">,</w:t>
      </w:r>
      <w:r>
        <w:t xml:space="preserve"> </w:t>
      </w:r>
      <w:r>
        <w:rPr>
          <w:b/>
          <w:bCs/>
        </w:rPr>
        <w:t xml:space="preserve">Price MN</w:t>
      </w:r>
      <w:r>
        <w:t xml:space="preserve">,</w:t>
      </w:r>
      <w:r>
        <w:t xml:space="preserve"> </w:t>
      </w:r>
      <w:r>
        <w:rPr>
          <w:b/>
          <w:bCs/>
        </w:rPr>
        <w:t xml:space="preserve">Goodrich J</w:t>
      </w:r>
      <w:r>
        <w:t xml:space="preserve">,</w:t>
      </w:r>
      <w:r>
        <w:t xml:space="preserve"> </w:t>
      </w:r>
      <w:r>
        <w:rPr>
          <w:b/>
          <w:bCs/>
        </w:rPr>
        <w:t xml:space="preserve">Nawrocki EP</w:t>
      </w:r>
      <w:r>
        <w:t xml:space="preserve">,</w:t>
      </w:r>
      <w:r>
        <w:t xml:space="preserve"> </w:t>
      </w:r>
      <w:r>
        <w:rPr>
          <w:b/>
          <w:bCs/>
        </w:rPr>
        <w:t xml:space="preserve">DeSantis TZ</w:t>
      </w:r>
      <w:r>
        <w:t xml:space="preserve">,</w:t>
      </w:r>
      <w:r>
        <w:t xml:space="preserve"> </w:t>
      </w:r>
      <w:r>
        <w:rPr>
          <w:b/>
          <w:bCs/>
        </w:rPr>
        <w:t xml:space="preserve">Probst A</w:t>
      </w:r>
      <w:r>
        <w:t xml:space="preserve">,</w:t>
      </w:r>
      <w:r>
        <w:t xml:space="preserve"> </w:t>
      </w:r>
      <w:r>
        <w:rPr>
          <w:b/>
          <w:bCs/>
        </w:rPr>
        <w:t xml:space="preserve">Andersen GL</w:t>
      </w:r>
      <w:r>
        <w:t xml:space="preserve">,</w:t>
      </w:r>
      <w:r>
        <w:t xml:space="preserve"> </w:t>
      </w:r>
      <w:r>
        <w:rPr>
          <w:b/>
          <w:bCs/>
        </w:rPr>
        <w:t xml:space="preserve">Knight R</w:t>
      </w:r>
      <w:r>
        <w:t xml:space="preserve">,</w:t>
      </w:r>
      <w:r>
        <w:t xml:space="preserve"> </w:t>
      </w:r>
      <w:r>
        <w:rPr>
          <w:b/>
          <w:bCs/>
        </w:rPr>
        <w:t xml:space="preserve">Hugenholtz P</w:t>
      </w:r>
      <w:r>
        <w:t xml:space="preserve">. 2011. An improved greengenes taxonomy with explicit ranks for ecological and evolutionary analyses of bacteria and archaea. The ISME Journal</w:t>
      </w:r>
      <w:r>
        <w:t xml:space="preserve"> </w:t>
      </w:r>
      <w:r>
        <w:rPr>
          <w:b/>
          <w:bCs/>
        </w:rPr>
        <w:t xml:space="preserve">6</w:t>
      </w:r>
      <w:r>
        <w:t xml:space="preserve">:610–618. doi:</w:t>
      </w:r>
      <w:hyperlink r:id="rId46">
        <w:r>
          <w:rPr>
            <w:rStyle w:val="Hyperlink"/>
          </w:rPr>
          <w:t xml:space="preserve">10.1038/ismej.2011.139</w:t>
        </w:r>
      </w:hyperlink>
      <w:r>
        <w:t xml:space="preserve">.</w:t>
      </w:r>
    </w:p>
    <w:bookmarkEnd w:id="47"/>
    <w:bookmarkStart w:id="49" w:name="ref-McDonald2023"/>
    <w:p>
      <w:pPr>
        <w:pStyle w:val="Bibliography"/>
      </w:pPr>
      <w:r>
        <w:t xml:space="preserve">13.</w:t>
      </w:r>
      <w:r>
        <w:t xml:space="preserve"> </w:t>
      </w:r>
      <w:r>
        <w:t xml:space="preserve">	</w:t>
      </w:r>
      <w:r>
        <w:rPr>
          <w:b/>
          <w:bCs/>
        </w:rPr>
        <w:t xml:space="preserve">McDonald D</w:t>
      </w:r>
      <w:r>
        <w:t xml:space="preserve">,</w:t>
      </w:r>
      <w:r>
        <w:t xml:space="preserve"> </w:t>
      </w:r>
      <w:r>
        <w:rPr>
          <w:b/>
          <w:bCs/>
        </w:rPr>
        <w:t xml:space="preserve">Jiang Y</w:t>
      </w:r>
      <w:r>
        <w:t xml:space="preserve">,</w:t>
      </w:r>
      <w:r>
        <w:t xml:space="preserve"> </w:t>
      </w:r>
      <w:r>
        <w:rPr>
          <w:b/>
          <w:bCs/>
        </w:rPr>
        <w:t xml:space="preserve">Balaban M</w:t>
      </w:r>
      <w:r>
        <w:t xml:space="preserve">,</w:t>
      </w:r>
      <w:r>
        <w:t xml:space="preserve"> </w:t>
      </w:r>
      <w:r>
        <w:rPr>
          <w:b/>
          <w:bCs/>
        </w:rPr>
        <w:t xml:space="preserve">Cantrell K</w:t>
      </w:r>
      <w:r>
        <w:t xml:space="preserve">,</w:t>
      </w:r>
      <w:r>
        <w:t xml:space="preserve"> </w:t>
      </w:r>
      <w:r>
        <w:rPr>
          <w:b/>
          <w:bCs/>
        </w:rPr>
        <w:t xml:space="preserve">Zhu Q</w:t>
      </w:r>
      <w:r>
        <w:t xml:space="preserve">,</w:t>
      </w:r>
      <w:r>
        <w:t xml:space="preserve"> </w:t>
      </w:r>
      <w:r>
        <w:rPr>
          <w:b/>
          <w:bCs/>
        </w:rPr>
        <w:t xml:space="preserve">Gonzalez A</w:t>
      </w:r>
      <w:r>
        <w:t xml:space="preserve">,</w:t>
      </w:r>
      <w:r>
        <w:t xml:space="preserve"> </w:t>
      </w:r>
      <w:r>
        <w:rPr>
          <w:b/>
          <w:bCs/>
        </w:rPr>
        <w:t xml:space="preserve">Morton JT</w:t>
      </w:r>
      <w:r>
        <w:t xml:space="preserve">,</w:t>
      </w:r>
      <w:r>
        <w:t xml:space="preserve"> </w:t>
      </w:r>
      <w:r>
        <w:rPr>
          <w:b/>
          <w:bCs/>
        </w:rPr>
        <w:t xml:space="preserve">Nicolaou G</w:t>
      </w:r>
      <w:r>
        <w:t xml:space="preserve">,</w:t>
      </w:r>
      <w:r>
        <w:t xml:space="preserve"> </w:t>
      </w:r>
      <w:r>
        <w:rPr>
          <w:b/>
          <w:bCs/>
        </w:rPr>
        <w:t xml:space="preserve">Parks DH</w:t>
      </w:r>
      <w:r>
        <w:t xml:space="preserve">,</w:t>
      </w:r>
      <w:r>
        <w:t xml:space="preserve"> </w:t>
      </w:r>
      <w:r>
        <w:rPr>
          <w:b/>
          <w:bCs/>
        </w:rPr>
        <w:t xml:space="preserve">Karst SM</w:t>
      </w:r>
      <w:r>
        <w:t xml:space="preserve">,</w:t>
      </w:r>
      <w:r>
        <w:t xml:space="preserve"> </w:t>
      </w:r>
      <w:r>
        <w:rPr>
          <w:b/>
          <w:bCs/>
        </w:rPr>
        <w:t xml:space="preserve">Albertsen M</w:t>
      </w:r>
      <w:r>
        <w:t xml:space="preserve">,</w:t>
      </w:r>
      <w:r>
        <w:t xml:space="preserve"> </w:t>
      </w:r>
      <w:r>
        <w:rPr>
          <w:b/>
          <w:bCs/>
        </w:rPr>
        <w:t xml:space="preserve">Hugenholtz P</w:t>
      </w:r>
      <w:r>
        <w:t xml:space="preserve">,</w:t>
      </w:r>
      <w:r>
        <w:t xml:space="preserve"> </w:t>
      </w:r>
      <w:r>
        <w:rPr>
          <w:b/>
          <w:bCs/>
        </w:rPr>
        <w:t xml:space="preserve">DeSantis T</w:t>
      </w:r>
      <w:r>
        <w:t xml:space="preserve">,</w:t>
      </w:r>
      <w:r>
        <w:t xml:space="preserve"> </w:t>
      </w:r>
      <w:r>
        <w:rPr>
          <w:b/>
          <w:bCs/>
        </w:rPr>
        <w:t xml:space="preserve">Song SJ</w:t>
      </w:r>
      <w:r>
        <w:t xml:space="preserve">,</w:t>
      </w:r>
      <w:r>
        <w:t xml:space="preserve"> </w:t>
      </w:r>
      <w:r>
        <w:rPr>
          <w:b/>
          <w:bCs/>
        </w:rPr>
        <w:t xml:space="preserve">Bartko A</w:t>
      </w:r>
      <w:r>
        <w:t xml:space="preserve">,</w:t>
      </w:r>
      <w:r>
        <w:t xml:space="preserve"> </w:t>
      </w:r>
      <w:r>
        <w:rPr>
          <w:b/>
          <w:bCs/>
        </w:rPr>
        <w:t xml:space="preserve">Havulinna AS</w:t>
      </w:r>
      <w:r>
        <w:t xml:space="preserve">,</w:t>
      </w:r>
      <w:r>
        <w:t xml:space="preserve"> </w:t>
      </w:r>
      <w:r>
        <w:rPr>
          <w:b/>
          <w:bCs/>
        </w:rPr>
        <w:t xml:space="preserve">Jousilahti P</w:t>
      </w:r>
      <w:r>
        <w:t xml:space="preserve">,</w:t>
      </w:r>
      <w:r>
        <w:t xml:space="preserve"> </w:t>
      </w:r>
      <w:r>
        <w:rPr>
          <w:b/>
          <w:bCs/>
        </w:rPr>
        <w:t xml:space="preserve">Cheng S</w:t>
      </w:r>
      <w:r>
        <w:t xml:space="preserve">,</w:t>
      </w:r>
      <w:r>
        <w:t xml:space="preserve"> </w:t>
      </w:r>
      <w:r>
        <w:rPr>
          <w:b/>
          <w:bCs/>
        </w:rPr>
        <w:t xml:space="preserve">Inouye M</w:t>
      </w:r>
      <w:r>
        <w:t xml:space="preserve">,</w:t>
      </w:r>
      <w:r>
        <w:t xml:space="preserve"> </w:t>
      </w:r>
      <w:r>
        <w:rPr>
          <w:b/>
          <w:bCs/>
        </w:rPr>
        <w:t xml:space="preserve">Niiranen T</w:t>
      </w:r>
      <w:r>
        <w:t xml:space="preserve">,</w:t>
      </w:r>
      <w:r>
        <w:t xml:space="preserve"> </w:t>
      </w:r>
      <w:r>
        <w:rPr>
          <w:b/>
          <w:bCs/>
        </w:rPr>
        <w:t xml:space="preserve">Jain M</w:t>
      </w:r>
      <w:r>
        <w:t xml:space="preserve">,</w:t>
      </w:r>
      <w:r>
        <w:t xml:space="preserve"> </w:t>
      </w:r>
      <w:r>
        <w:rPr>
          <w:b/>
          <w:bCs/>
        </w:rPr>
        <w:t xml:space="preserve">Salomaa V</w:t>
      </w:r>
      <w:r>
        <w:t xml:space="preserve">,</w:t>
      </w:r>
      <w:r>
        <w:t xml:space="preserve"> </w:t>
      </w:r>
      <w:r>
        <w:rPr>
          <w:b/>
          <w:bCs/>
        </w:rPr>
        <w:t xml:space="preserve">Lahti L</w:t>
      </w:r>
      <w:r>
        <w:t xml:space="preserve">,</w:t>
      </w:r>
      <w:r>
        <w:t xml:space="preserve"> </w:t>
      </w:r>
      <w:r>
        <w:rPr>
          <w:b/>
          <w:bCs/>
        </w:rPr>
        <w:t xml:space="preserve">Mirarab S</w:t>
      </w:r>
      <w:r>
        <w:t xml:space="preserve">,</w:t>
      </w:r>
      <w:r>
        <w:t xml:space="preserve"> </w:t>
      </w:r>
      <w:r>
        <w:rPr>
          <w:b/>
          <w:bCs/>
        </w:rPr>
        <w:t xml:space="preserve">Knight R</w:t>
      </w:r>
      <w:r>
        <w:t xml:space="preserve">. 2023. Greengenes2 unifies microbial data in a single reference tree. Nature Biotechnology</w:t>
      </w:r>
      <w:r>
        <w:t xml:space="preserve"> </w:t>
      </w:r>
      <w:r>
        <w:rPr>
          <w:b/>
          <w:bCs/>
        </w:rPr>
        <w:t xml:space="preserve">42</w:t>
      </w:r>
      <w:r>
        <w:t xml:space="preserve">:715–718. doi:</w:t>
      </w:r>
      <w:hyperlink r:id="rId48">
        <w:r>
          <w:rPr>
            <w:rStyle w:val="Hyperlink"/>
          </w:rPr>
          <w:t xml:space="preserve">10.1038/s41587-023-01845-1</w:t>
        </w:r>
      </w:hyperlink>
      <w:r>
        <w:t xml:space="preserve">.</w:t>
      </w:r>
    </w:p>
    <w:bookmarkEnd w:id="49"/>
    <w:bookmarkStart w:id="51" w:name="ref-Yilmaz2013"/>
    <w:p>
      <w:pPr>
        <w:pStyle w:val="Bibliography"/>
      </w:pPr>
      <w:r>
        <w:t xml:space="preserve">14.</w:t>
      </w:r>
      <w:r>
        <w:t xml:space="preserve"> </w:t>
      </w:r>
      <w:r>
        <w:t xml:space="preserve">	</w:t>
      </w:r>
      <w:r>
        <w:rPr>
          <w:b/>
          <w:bCs/>
        </w:rPr>
        <w:t xml:space="preserve">Yilmaz P</w:t>
      </w:r>
      <w:r>
        <w:t xml:space="preserve">,</w:t>
      </w:r>
      <w:r>
        <w:t xml:space="preserve"> </w:t>
      </w:r>
      <w:r>
        <w:rPr>
          <w:b/>
          <w:bCs/>
        </w:rPr>
        <w:t xml:space="preserve">Parfrey LW</w:t>
      </w:r>
      <w:r>
        <w:t xml:space="preserve">,</w:t>
      </w:r>
      <w:r>
        <w:t xml:space="preserve"> </w:t>
      </w:r>
      <w:r>
        <w:rPr>
          <w:b/>
          <w:bCs/>
        </w:rPr>
        <w:t xml:space="preserve">Yarza P</w:t>
      </w:r>
      <w:r>
        <w:t xml:space="preserve">,</w:t>
      </w:r>
      <w:r>
        <w:t xml:space="preserve"> </w:t>
      </w:r>
      <w:r>
        <w:rPr>
          <w:b/>
          <w:bCs/>
        </w:rPr>
        <w:t xml:space="preserve">Gerken J</w:t>
      </w:r>
      <w:r>
        <w:t xml:space="preserve">,</w:t>
      </w:r>
      <w:r>
        <w:t xml:space="preserve"> </w:t>
      </w:r>
      <w:r>
        <w:rPr>
          <w:b/>
          <w:bCs/>
        </w:rPr>
        <w:t xml:space="preserve">Pruesse E</w:t>
      </w:r>
      <w:r>
        <w:t xml:space="preserve">,</w:t>
      </w:r>
      <w:r>
        <w:t xml:space="preserve"> </w:t>
      </w:r>
      <w:r>
        <w:rPr>
          <w:b/>
          <w:bCs/>
        </w:rPr>
        <w:t xml:space="preserve">Quast C</w:t>
      </w:r>
      <w:r>
        <w:t xml:space="preserve">,</w:t>
      </w:r>
      <w:r>
        <w:t xml:space="preserve"> </w:t>
      </w:r>
      <w:r>
        <w:rPr>
          <w:b/>
          <w:bCs/>
        </w:rPr>
        <w:t xml:space="preserve">Schweer T</w:t>
      </w:r>
      <w:r>
        <w:t xml:space="preserve">,</w:t>
      </w:r>
      <w:r>
        <w:t xml:space="preserve"> </w:t>
      </w:r>
      <w:r>
        <w:rPr>
          <w:b/>
          <w:bCs/>
        </w:rPr>
        <w:t xml:space="preserve">Peplies J</w:t>
      </w:r>
      <w:r>
        <w:t xml:space="preserve">,</w:t>
      </w:r>
      <w:r>
        <w:t xml:space="preserve"> </w:t>
      </w:r>
      <w:r>
        <w:rPr>
          <w:b/>
          <w:bCs/>
        </w:rPr>
        <w:t xml:space="preserve">Ludwig W</w:t>
      </w:r>
      <w:r>
        <w:t xml:space="preserve">,</w:t>
      </w:r>
      <w:r>
        <w:t xml:space="preserve"> </w:t>
      </w:r>
      <w:r>
        <w:rPr>
          <w:b/>
          <w:bCs/>
        </w:rPr>
        <w:t xml:space="preserve">Glöckner FO</w:t>
      </w:r>
      <w:r>
        <w:t xml:space="preserve">. 2013. The SILVA and</w:t>
      </w:r>
      <w:r>
        <w:t xml:space="preserve"> </w:t>
      </w:r>
      <w:r>
        <w:t xml:space="preserve">“all-species living tree project (LTP)”</w:t>
      </w:r>
      <w:r>
        <w:t xml:space="preserve"> </w:t>
      </w:r>
      <w:r>
        <w:t xml:space="preserve">taxonomic frameworks. Nucleic Acids Research</w:t>
      </w:r>
      <w:r>
        <w:t xml:space="preserve"> </w:t>
      </w:r>
      <w:r>
        <w:rPr>
          <w:b/>
          <w:bCs/>
        </w:rPr>
        <w:t xml:space="preserve">42</w:t>
      </w:r>
      <w:r>
        <w:t xml:space="preserve">:D643–D648. doi:</w:t>
      </w:r>
      <w:hyperlink r:id="rId50">
        <w:r>
          <w:rPr>
            <w:rStyle w:val="Hyperlink"/>
          </w:rPr>
          <w:t xml:space="preserve">10.1093/nar/gkt1209</w:t>
        </w:r>
      </w:hyperlink>
      <w:r>
        <w:t xml:space="preserve">.</w:t>
      </w:r>
    </w:p>
    <w:bookmarkEnd w:id="51"/>
    <w:bookmarkStart w:id="53" w:name="ref-Werner2011"/>
    <w:p>
      <w:pPr>
        <w:pStyle w:val="Bibliography"/>
      </w:pPr>
      <w:r>
        <w:t xml:space="preserve">15.</w:t>
      </w:r>
      <w:r>
        <w:t xml:space="preserve"> </w:t>
      </w:r>
      <w:r>
        <w:t xml:space="preserve">	</w:t>
      </w:r>
      <w:r>
        <w:rPr>
          <w:b/>
          <w:bCs/>
        </w:rPr>
        <w:t xml:space="preserve">Werner JJ</w:t>
      </w:r>
      <w:r>
        <w:t xml:space="preserve">,</w:t>
      </w:r>
      <w:r>
        <w:t xml:space="preserve"> </w:t>
      </w:r>
      <w:r>
        <w:rPr>
          <w:b/>
          <w:bCs/>
        </w:rPr>
        <w:t xml:space="preserve">Koren O</w:t>
      </w:r>
      <w:r>
        <w:t xml:space="preserve">,</w:t>
      </w:r>
      <w:r>
        <w:t xml:space="preserve"> </w:t>
      </w:r>
      <w:r>
        <w:rPr>
          <w:b/>
          <w:bCs/>
        </w:rPr>
        <w:t xml:space="preserve">Hugenholtz P</w:t>
      </w:r>
      <w:r>
        <w:t xml:space="preserve">,</w:t>
      </w:r>
      <w:r>
        <w:t xml:space="preserve"> </w:t>
      </w:r>
      <w:r>
        <w:rPr>
          <w:b/>
          <w:bCs/>
        </w:rPr>
        <w:t xml:space="preserve">DeSantis TZ</w:t>
      </w:r>
      <w:r>
        <w:t xml:space="preserve">,</w:t>
      </w:r>
      <w:r>
        <w:t xml:space="preserve"> </w:t>
      </w:r>
      <w:r>
        <w:rPr>
          <w:b/>
          <w:bCs/>
        </w:rPr>
        <w:t xml:space="preserve">Walters WA</w:t>
      </w:r>
      <w:r>
        <w:t xml:space="preserve">,</w:t>
      </w:r>
      <w:r>
        <w:t xml:space="preserve"> </w:t>
      </w:r>
      <w:r>
        <w:rPr>
          <w:b/>
          <w:bCs/>
        </w:rPr>
        <w:t xml:space="preserve">Caporaso JG</w:t>
      </w:r>
      <w:r>
        <w:t xml:space="preserve">,</w:t>
      </w:r>
      <w:r>
        <w:t xml:space="preserve"> </w:t>
      </w:r>
      <w:r>
        <w:rPr>
          <w:b/>
          <w:bCs/>
        </w:rPr>
        <w:t xml:space="preserve">Angenent LT</w:t>
      </w:r>
      <w:r>
        <w:t xml:space="preserve">,</w:t>
      </w:r>
      <w:r>
        <w:t xml:space="preserve"> </w:t>
      </w:r>
      <w:r>
        <w:rPr>
          <w:b/>
          <w:bCs/>
        </w:rPr>
        <w:t xml:space="preserve">Knight R</w:t>
      </w:r>
      <w:r>
        <w:t xml:space="preserve">,</w:t>
      </w:r>
      <w:r>
        <w:t xml:space="preserve"> </w:t>
      </w:r>
      <w:r>
        <w:rPr>
          <w:b/>
          <w:bCs/>
        </w:rPr>
        <w:t xml:space="preserve">Ley RE</w:t>
      </w:r>
      <w:r>
        <w:t xml:space="preserve">. 2011. Impact of training sets on classification of high-throughput bacterial 16s rRNA gene surveys. The ISME Journal</w:t>
      </w:r>
      <w:r>
        <w:t xml:space="preserve"> </w:t>
      </w:r>
      <w:r>
        <w:rPr>
          <w:b/>
          <w:bCs/>
        </w:rPr>
        <w:t xml:space="preserve">6</w:t>
      </w:r>
      <w:r>
        <w:t xml:space="preserve">:94–103. doi:</w:t>
      </w:r>
      <w:hyperlink r:id="rId52">
        <w:r>
          <w:rPr>
            <w:rStyle w:val="Hyperlink"/>
          </w:rPr>
          <w:t xml:space="preserve">10.1038/ismej.2011.82</w:t>
        </w:r>
      </w:hyperlink>
      <w:r>
        <w:t xml:space="preserve">.</w:t>
      </w:r>
    </w:p>
    <w:bookmarkEnd w:id="53"/>
    <w:bookmarkStart w:id="55" w:name="ref-Quast2012"/>
    <w:p>
      <w:pPr>
        <w:pStyle w:val="Bibliography"/>
      </w:pPr>
      <w:r>
        <w:t xml:space="preserve">16.</w:t>
      </w:r>
      <w:r>
        <w:t xml:space="preserve"> </w:t>
      </w:r>
      <w:r>
        <w:t xml:space="preserve">	</w:t>
      </w:r>
      <w:r>
        <w:rPr>
          <w:b/>
          <w:bCs/>
        </w:rPr>
        <w:t xml:space="preserve">Quast C</w:t>
      </w:r>
      <w:r>
        <w:t xml:space="preserve">,</w:t>
      </w:r>
      <w:r>
        <w:t xml:space="preserve"> </w:t>
      </w:r>
      <w:r>
        <w:rPr>
          <w:b/>
          <w:bCs/>
        </w:rPr>
        <w:t xml:space="preserve">Pruesse E</w:t>
      </w:r>
      <w:r>
        <w:t xml:space="preserve">,</w:t>
      </w:r>
      <w:r>
        <w:t xml:space="preserve"> </w:t>
      </w:r>
      <w:r>
        <w:rPr>
          <w:b/>
          <w:bCs/>
        </w:rPr>
        <w:t xml:space="preserve">Yilmaz P</w:t>
      </w:r>
      <w:r>
        <w:t xml:space="preserve">,</w:t>
      </w:r>
      <w:r>
        <w:t xml:space="preserve"> </w:t>
      </w:r>
      <w:r>
        <w:rPr>
          <w:b/>
          <w:bCs/>
        </w:rPr>
        <w:t xml:space="preserve">Gerken J</w:t>
      </w:r>
      <w:r>
        <w:t xml:space="preserve">,</w:t>
      </w:r>
      <w:r>
        <w:t xml:space="preserve"> </w:t>
      </w:r>
      <w:r>
        <w:rPr>
          <w:b/>
          <w:bCs/>
        </w:rPr>
        <w:t xml:space="preserve">Schweer T</w:t>
      </w:r>
      <w:r>
        <w:t xml:space="preserve">,</w:t>
      </w:r>
      <w:r>
        <w:t xml:space="preserve"> </w:t>
      </w:r>
      <w:r>
        <w:rPr>
          <w:b/>
          <w:bCs/>
        </w:rPr>
        <w:t xml:space="preserve">Yarza P</w:t>
      </w:r>
      <w:r>
        <w:t xml:space="preserve">,</w:t>
      </w:r>
      <w:r>
        <w:t xml:space="preserve"> </w:t>
      </w:r>
      <w:r>
        <w:rPr>
          <w:b/>
          <w:bCs/>
        </w:rPr>
        <w:t xml:space="preserve">Peplies J</w:t>
      </w:r>
      <w:r>
        <w:t xml:space="preserve">,</w:t>
      </w:r>
      <w:r>
        <w:t xml:space="preserve"> </w:t>
      </w:r>
      <w:r>
        <w:rPr>
          <w:b/>
          <w:bCs/>
        </w:rPr>
        <w:t xml:space="preserve">Glöckner FO</w:t>
      </w:r>
      <w:r>
        <w:t xml:space="preserve">. 2012. The SILVA ribosomal RNA gene database project: Improved data processing and web-based tools. Nucleic Acids Research</w:t>
      </w:r>
      <w:r>
        <w:t xml:space="preserve"> </w:t>
      </w:r>
      <w:r>
        <w:rPr>
          <w:b/>
          <w:bCs/>
        </w:rPr>
        <w:t xml:space="preserve">41</w:t>
      </w:r>
      <w:r>
        <w:t xml:space="preserve">:D590–D596. doi:</w:t>
      </w:r>
      <w:hyperlink r:id="rId54">
        <w:r>
          <w:rPr>
            <w:rStyle w:val="Hyperlink"/>
          </w:rPr>
          <w:t xml:space="preserve">10.1093/nar/gks1219</w:t>
        </w:r>
      </w:hyperlink>
      <w:r>
        <w:t xml:space="preserve">.</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38/ismej.2011.139" TargetMode="External" /><Relationship Type="http://schemas.openxmlformats.org/officeDocument/2006/relationships/hyperlink" Id="rId52" Target="https://doi.org/10.1038/ismej.2011.82" TargetMode="External" /><Relationship Type="http://schemas.openxmlformats.org/officeDocument/2006/relationships/hyperlink" Id="rId40" Target="https://doi.org/10.1038/nmeth.3869" TargetMode="External" /><Relationship Type="http://schemas.openxmlformats.org/officeDocument/2006/relationships/hyperlink" Id="rId26" Target="https://doi.org/10.1038/nmeth.f.303" TargetMode="External" /><Relationship Type="http://schemas.openxmlformats.org/officeDocument/2006/relationships/hyperlink" Id="rId48" Target="https://doi.org/10.1038/s41587-023-01845-1" TargetMode="External" /><Relationship Type="http://schemas.openxmlformats.org/officeDocument/2006/relationships/hyperlink" Id="rId34" Target="https://doi.org/10.1093/femsec/fiaa255" TargetMode="External" /><Relationship Type="http://schemas.openxmlformats.org/officeDocument/2006/relationships/hyperlink" Id="rId54" Target="https://doi.org/10.1093/nar/gks1219" TargetMode="External" /><Relationship Type="http://schemas.openxmlformats.org/officeDocument/2006/relationships/hyperlink" Id="rId50" Target="https://doi.org/10.1093/nar/gkt1209" TargetMode="External" /><Relationship Type="http://schemas.openxmlformats.org/officeDocument/2006/relationships/hyperlink" Id="rId36" Target="https://doi.org/10.1111/1574-6941.12437" TargetMode="External" /><Relationship Type="http://schemas.openxmlformats.org/officeDocument/2006/relationships/hyperlink" Id="rId42" Target="https://doi.org/10.1111/j.1654-1103.2003.tb02228.x" TargetMode="External" /><Relationship Type="http://schemas.openxmlformats.org/officeDocument/2006/relationships/hyperlink" Id="rId24" Target="https://doi.org/10.1128/aem.00062-07" TargetMode="External" /><Relationship Type="http://schemas.openxmlformats.org/officeDocument/2006/relationships/hyperlink" Id="rId28" Target="https://doi.org/10.1128/aem.01541-09" TargetMode="External" /><Relationship Type="http://schemas.openxmlformats.org/officeDocument/2006/relationships/hyperlink" Id="rId44" Target="https://doi.org/10.1128/aem.03006-05" TargetMode="External" /><Relationship Type="http://schemas.openxmlformats.org/officeDocument/2006/relationships/hyperlink" Id="rId32" Target="https://doi.org/10.1128/mra.01063-23" TargetMode="External" /><Relationship Type="http://schemas.openxmlformats.org/officeDocument/2006/relationships/hyperlink" Id="rId30" Target="https://doi.org/10.1186/s40168-018-0470-z" TargetMode="External" /><Relationship Type="http://schemas.openxmlformats.org/officeDocument/2006/relationships/hyperlink" Id="rId38" Target="https://doi.org/10.1371/journal.pone.006121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38/ismej.2011.139" TargetMode="External" /><Relationship Type="http://schemas.openxmlformats.org/officeDocument/2006/relationships/hyperlink" Id="rId52" Target="https://doi.org/10.1038/ismej.2011.82" TargetMode="External" /><Relationship Type="http://schemas.openxmlformats.org/officeDocument/2006/relationships/hyperlink" Id="rId40" Target="https://doi.org/10.1038/nmeth.3869" TargetMode="External" /><Relationship Type="http://schemas.openxmlformats.org/officeDocument/2006/relationships/hyperlink" Id="rId26" Target="https://doi.org/10.1038/nmeth.f.303" TargetMode="External" /><Relationship Type="http://schemas.openxmlformats.org/officeDocument/2006/relationships/hyperlink" Id="rId48" Target="https://doi.org/10.1038/s41587-023-01845-1" TargetMode="External" /><Relationship Type="http://schemas.openxmlformats.org/officeDocument/2006/relationships/hyperlink" Id="rId34" Target="https://doi.org/10.1093/femsec/fiaa255" TargetMode="External" /><Relationship Type="http://schemas.openxmlformats.org/officeDocument/2006/relationships/hyperlink" Id="rId54" Target="https://doi.org/10.1093/nar/gks1219" TargetMode="External" /><Relationship Type="http://schemas.openxmlformats.org/officeDocument/2006/relationships/hyperlink" Id="rId50" Target="https://doi.org/10.1093/nar/gkt1209" TargetMode="External" /><Relationship Type="http://schemas.openxmlformats.org/officeDocument/2006/relationships/hyperlink" Id="rId36" Target="https://doi.org/10.1111/1574-6941.12437" TargetMode="External" /><Relationship Type="http://schemas.openxmlformats.org/officeDocument/2006/relationships/hyperlink" Id="rId42" Target="https://doi.org/10.1111/j.1654-1103.2003.tb02228.x" TargetMode="External" /><Relationship Type="http://schemas.openxmlformats.org/officeDocument/2006/relationships/hyperlink" Id="rId24" Target="https://doi.org/10.1128/aem.00062-07" TargetMode="External" /><Relationship Type="http://schemas.openxmlformats.org/officeDocument/2006/relationships/hyperlink" Id="rId28" Target="https://doi.org/10.1128/aem.01541-09" TargetMode="External" /><Relationship Type="http://schemas.openxmlformats.org/officeDocument/2006/relationships/hyperlink" Id="rId44" Target="https://doi.org/10.1128/aem.03006-05" TargetMode="External" /><Relationship Type="http://schemas.openxmlformats.org/officeDocument/2006/relationships/hyperlink" Id="rId32" Target="https://doi.org/10.1128/mra.01063-23" TargetMode="External" /><Relationship Type="http://schemas.openxmlformats.org/officeDocument/2006/relationships/hyperlink" Id="rId30" Target="https://doi.org/10.1186/s40168-018-0470-z" TargetMode="External" /><Relationship Type="http://schemas.openxmlformats.org/officeDocument/2006/relationships/hyperlink" Id="rId38" Target="https://doi.org/10.1371/journal.pone.0061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2024-10-17T14:53:17Z</dcterms:created>
  <dcterms:modified xsi:type="dcterms:W3CDTF">2024-10-17T14:53:17Z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asm.csl</vt:lpwstr>
  </property>
  <property fmtid="{D5CDD505-2E9C-101B-9397-08002B2CF9AE}" pid="5" name="execute">
    <vt:lpwstr/>
  </property>
  <property fmtid="{D5CDD505-2E9C-101B-9397-08002B2CF9AE}" pid="6" name="fontsize">
    <vt:lpwstr>11pt</vt:lpwstr>
  </property>
  <property fmtid="{D5CDD505-2E9C-101B-9397-08002B2CF9AE}" pid="7" name="geometry">
    <vt:lpwstr>margin=1.0in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estretch">
    <vt:lpwstr>1.75</vt:lpwstr>
  </property>
  <property fmtid="{D5CDD505-2E9C-101B-9397-08002B2CF9AE}" pid="13" name="toc-title">
    <vt:lpwstr>Table of contents</vt:lpwstr>
  </property>
</Properties>
</file>