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bookmarkStart w:id="abstract" w:name="abstract"/>
    <w:p>
      <w:pPr>
        <w:pStyle w:val="Heading3"/>
      </w:pPr>
      <w:r>
        <w:t xml:space="preserve">Abstract</w:t>
      </w:r>
    </w:p>
    <w:bookmarkEnd w:id="abstract"/>
    <w:p>
      <w:r>
        <w:t xml:space="preserve">Perturbations to the gut microbiota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machine learning regression models to predict the levels of</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resistance and sensitivity can be achieved with multiple diverse assemblages.</w:t>
      </w:r>
    </w:p>
    <w:bookmarkStart w:id="importance" w:name="importance"/>
    <w:p>
      <w:pPr>
        <w:pStyle w:val="Heading3"/>
      </w:pPr>
      <w:r>
        <w:t xml:space="preserve">Importance</w:t>
      </w:r>
    </w:p>
    <w:bookmarkEnd w:id="importance"/>
    <w:p>
      <w:r>
        <w:t xml:space="preserve">The gastrointestinal tract harbors a complex community of bacteria, known as the microbiota, which plays an integral role preventing its colonization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bookmarkStart w:id="introduction" w:name="introduction"/>
    <w:p>
      <w:pPr>
        <w:pStyle w:val="Heading3"/>
      </w:pPr>
      <w:r>
        <w:t xml:space="preserve">Introduction</w:t>
      </w:r>
    </w:p>
    <w:bookmarkEnd w:id="introduction"/>
    <w:p>
      <w:r>
        <w:t xml:space="preserve">The microbiota, or the diverse community of microorganisms living in and on the body, has an integral role in deterring pathogen colonization and infection {Vollaard, 1994 #683}.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{Wilson, 1985 #1045; Chang, 2008 #590;Reeves, 2011 #118}.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#1047}.</w:t>
      </w:r>
      <w:r>
        <w:t xml:space="preserve"> </w:t>
      </w:r>
      <w:r>
        <w:rPr>
          <w:i/>
        </w:rPr>
        <w:t xml:space="preserve">C. difficile</w:t>
      </w:r>
      <w:r>
        <w:t xml:space="preserve"> </w:t>
      </w:r>
      <w:r>
        <w:t xml:space="preserve">infections (CDI) are the most reported hospital-acquired infection in the United States and are responsible for 14,000 deaths a year {Lessa, 2015 #950}.</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perturbed, untreated murine microbiota is completely resistant to</w:t>
      </w:r>
      <w:r>
        <w:t xml:space="preserve"> </w:t>
      </w:r>
      <w:r>
        <w:rPr>
          <w:i/>
        </w:rPr>
        <w:t xml:space="preserve">C. difficile</w:t>
      </w:r>
      <w:r>
        <w:t xml:space="preserve"> </w:t>
      </w:r>
      <w:r>
        <w:t xml:space="preserve">colonization. It was previously shown that C57Bl/6 mice treated with cefoperazone {Reeves, 2011 #118; Theriot, 2011 #79}, tigecycline {Bassis, 2014 #945}, clindamycin {Buffie, 2012 #977}, or clindamycin in combination with a five antibiotic cocktail {Chang, 2008 #590}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Lactobacilliaceae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{Vincent, 2013 #37; Schubert, 2014 #1048}. We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#1048}. In addition, fecal microbiota transplants increase</w:t>
      </w:r>
      <w:r>
        <w:t xml:space="preserve"> </w:t>
      </w:r>
      <w:r>
        <w:rPr>
          <w:i/>
        </w:rPr>
        <w:t xml:space="preserve">Bacteroidetes</w:t>
      </w:r>
      <w:r>
        <w:t xml:space="preserve"> </w:t>
      </w:r>
      <w:r>
        <w:t xml:space="preserve">and decrease</w:t>
      </w:r>
      <w:r>
        <w:t xml:space="preserve"> </w:t>
      </w:r>
      <w:r>
        <w:rPr>
          <w:i/>
        </w:rPr>
        <w:t xml:space="preserve">Proteobacteria</w:t>
      </w:r>
      <w:r>
        <w:t xml:space="preserve"> </w:t>
      </w:r>
      <w:r>
        <w:t xml:space="preserve">levels in recipients, resulting in a successful restoration of colonization resistance in patients {Seekatz, 2014 #1051}. Precisely how this occurs is not fully understood, but it emphasizes the importance of the gut microbiota in colonization resistance against</w:t>
      </w:r>
      <w:r>
        <w:t xml:space="preserve"> </w:t>
      </w:r>
      <w:r>
        <w:rPr>
          <w:i/>
        </w:rPr>
        <w:t xml:space="preserve">C. difficile</w:t>
      </w:r>
      <w:r>
        <w:t xml:space="preserve">.</w:t>
      </w:r>
    </w:p>
    <w:p>
      <w:r>
        <w:t xml:space="preserve">Because the gut microbiota is a complex community we need tools that can enable us to dissect the interactions within the community and with</w:t>
      </w:r>
      <w:r>
        <w:t xml:space="preserve"> </w:t>
      </w:r>
      <w:r>
        <w:rPr>
          <w:i/>
        </w:rPr>
        <w:t xml:space="preserve">C. difficile</w:t>
      </w:r>
      <w:r>
        <w:t xml:space="preserve">. One approach is the use of models to identify associations between members of the microbiota and</w:t>
      </w:r>
      <w:r>
        <w:t xml:space="preserve"> </w:t>
      </w:r>
      <w:r>
        <w:rPr>
          <w:i/>
        </w:rPr>
        <w:t xml:space="preserve">C. difficile</w:t>
      </w:r>
      <w:r>
        <w:t xml:space="preserve">. Models have been used to predict</w:t>
      </w:r>
      <w:r>
        <w:t xml:space="preserve"> </w:t>
      </w:r>
      <w:r>
        <w:rPr>
          <w:i/>
        </w:rPr>
        <w:t xml:space="preserve">C. difficile</w:t>
      </w:r>
      <w:r>
        <w:t xml:space="preserve"> </w:t>
      </w:r>
      <w:r>
        <w:t xml:space="preserve">{Stein, 2013 #988; Schubert, 2014 #1048} and</w:t>
      </w:r>
      <w:r>
        <w:t xml:space="preserve"> </w:t>
      </w:r>
      <w:r>
        <w:rPr>
          <w:i/>
        </w:rPr>
        <w:t xml:space="preserve">Citrobacter</w:t>
      </w:r>
      <w:r>
        <w:t xml:space="preserve"> </w:t>
      </w:r>
      <w:r>
        <w:t xml:space="preserve">infection {Belzer, 2014 #1053}, colon cancer {Zackular, 2013 #472}, and psoriasis {Statnikov, 2013 #477} based on the composition of the gut microbiota. By using models to explain the relationship between members of the gut microbiota, we similarly sought to identify the subset of the normal murine microbiota that are responsible for colonization resistance.</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and recovery times we altered the murine gut microbiota and challenged the communities with</w:t>
      </w:r>
      <w:r>
        <w:t xml:space="preserve"> </w:t>
      </w:r>
      <w:r>
        <w:rPr>
          <w:i/>
        </w:rPr>
        <w:t xml:space="preserve">C. difficile</w:t>
      </w:r>
      <w:r>
        <w:t xml:space="preserve"> </w:t>
      </w:r>
      <w:r>
        <w:t xml:space="preserve">spores and to quantify differences in colonization resistance. We then used 16S rRNA gene sequencing to identify structural changes within the microbiota that would be predictive of colonization resistance. Using these data, we built a random forest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bookmarkStart w:id="results" w:name="results"/>
    <w:p>
      <w:pPr>
        <w:pStyle w:val="Heading3"/>
      </w:pPr>
      <w:r>
        <w:t xml:space="preserve">Results</w:t>
      </w:r>
    </w:p>
    <w:bookmarkEnd w:id="results"/>
    <w:p>
      <w:r>
        <w:rPr>
          <w:b/>
        </w:rPr>
        <w:t xml:space="preserve">Antibiotics differentially alter the structure of the microbiota and their colonization resistance to</w:t>
      </w:r>
      <w:r>
        <w:t xml:space="preserve"> </w:t>
      </w:r>
      <w:r>
        <w:rPr>
          <w:b/>
          <w:i/>
        </w:rPr>
        <w:t xml:space="preserve">C. difficile.</w:t>
      </w:r>
      <w:r>
        <w:t xml:space="preserve"> </w:t>
      </w:r>
      <w:r>
        <w:t xml:space="preserve">We selected a panel of seven antibiotics from six classes with the goal of differentially altering the microbiota and assessing their resistance to</w:t>
      </w:r>
      <w:r>
        <w:t xml:space="preserve"> </w:t>
      </w:r>
      <w:r>
        <w:rPr>
          <w:i/>
        </w:rPr>
        <w:t xml:space="preserve">C. difficile</w:t>
      </w:r>
      <w:r>
        <w:t xml:space="preserve"> </w:t>
      </w:r>
      <w:r>
        <w:t xml:space="preserve">colonization (</w:t>
      </w:r>
      <w:r>
        <w:rPr>
          <w:b/>
        </w:rPr>
        <w:t xml:space="preserve">Table 1</w:t>
      </w:r>
      <w:r>
        <w:t xml:space="preserve">). On the day after mice were challenged with</w:t>
      </w:r>
      <w:r>
        <w:t xml:space="preserve"> </w:t>
      </w:r>
      <w:r>
        <w:rPr>
          <w:i/>
        </w:rPr>
        <w:t xml:space="preserve">C. difficile</w:t>
      </w:r>
      <w:r>
        <w:t xml:space="preserve"> </w:t>
      </w:r>
      <w:r>
        <w:t xml:space="preserve">we enumerated the density of</w:t>
      </w:r>
      <w:r>
        <w:t xml:space="preserve"> </w:t>
      </w:r>
      <w:r>
        <w:rPr>
          <w:i/>
        </w:rPr>
        <w:t xml:space="preserve">C. difficile</w:t>
      </w:r>
      <w:r>
        <w:t xml:space="preserve"> </w:t>
      </w:r>
      <w:r>
        <w:t xml:space="preserve">in the animals' feces. We observed reproducibly high levels of</w:t>
      </w:r>
      <w:r>
        <w:t xml:space="preserve"> </w:t>
      </w:r>
      <w:r>
        <w:rPr>
          <w:i/>
        </w:rPr>
        <w:t xml:space="preserve">C. difficile</w:t>
      </w:r>
      <w:r>
        <w:t xml:space="preserve"> </w:t>
      </w:r>
      <w:r>
        <w:t xml:space="preserve">colonization in mice treated with cefoperazone, metronidazole, and streptomycin (</w:t>
      </w:r>
      <w:r>
        <w:rPr>
          <w:b/>
        </w:rPr>
        <w:t xml:space="preserve">Figures 1 and S1</w:t>
      </w:r>
      <w:r>
        <w:t xml:space="preserve">). We observed variable levels of</w:t>
      </w:r>
      <w:r>
        <w:t xml:space="preserve"> </w:t>
      </w:r>
      <w:r>
        <w:rPr>
          <w:i/>
        </w:rPr>
        <w:t xml:space="preserve">C. difficile</w:t>
      </w:r>
      <w:r>
        <w:t xml:space="preserve"> </w:t>
      </w:r>
      <w:r>
        <w:t xml:space="preserve">colonization in mice treated with ampicillin. Only one of six mice receiving vancomycin was colonized with</w:t>
      </w:r>
      <w:r>
        <w:t xml:space="preserve"> </w:t>
      </w:r>
      <w:r>
        <w:rPr>
          <w:i/>
        </w:rPr>
        <w:t xml:space="preserve">C. difficile</w:t>
      </w:r>
      <w:r>
        <w:t xml:space="preserve"> </w:t>
      </w:r>
      <w:r>
        <w:t xml:space="preserve">and none of the mice that received ciprofloxacin were colonized. We sequenced the 16S rRNA genes from the fecal communities of treated and untreated mice prior to</w:t>
      </w:r>
      <w:r>
        <w:t xml:space="preserve"> </w:t>
      </w:r>
      <w:r>
        <w:rPr>
          <w:i/>
        </w:rPr>
        <w:t xml:space="preserve">C. difficile</w:t>
      </w:r>
      <w:r>
        <w:t xml:space="preserve"> </w:t>
      </w:r>
      <w:r>
        <w:t xml:space="preserve">challenge to identify populations within the microbiota that conferred colonization resistance. All of the antibiotic treatments, except for the ciprofloxacin-treated mice (AMOVA, ,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and a reduced sensitivity to</w:t>
      </w:r>
      <w:r>
        <w:t xml:space="preserve"> </w:t>
      </w:r>
      <w:r>
        <w:rPr>
          <w:i/>
        </w:rPr>
        <w:t xml:space="preserve">C. difficile</w:t>
      </w:r>
      <w: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a number of rare OTUs. We also observed increases in the relative abundances of OTUs associated with the family</w:t>
      </w:r>
      <w:r>
        <w:t xml:space="preserve"> </w:t>
      </w:r>
      <w:r>
        <w:rPr>
          <w:i/>
        </w:rPr>
        <w:t xml:space="preserve">Porphyromonadaceae</w:t>
      </w:r>
      <w:r>
        <w:t xml:space="preserve"> </w:t>
      </w:r>
      <w:r>
        <w:t xml:space="preserve">(OTU 5, 10, 11, 13, and 21;</w:t>
      </w:r>
      <w:r>
        <w:t xml:space="preserve"> </w:t>
      </w:r>
      <w:r>
        <w:rPr>
          <w:b/>
        </w:rPr>
        <w:t xml:space="preserve">Figure 2</w:t>
      </w:r>
      <w:r>
        <w:t xml:space="preserve">).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5, 6, 10, and 11),</w:t>
      </w:r>
      <w:r>
        <w:t xml:space="preserve"> </w:t>
      </w:r>
      <w:r>
        <w:rPr>
          <w:i/>
        </w:rPr>
        <w:t xml:space="preserve">Alistipes</w:t>
      </w:r>
      <w:r>
        <w:t xml:space="preserve"> </w:t>
      </w:r>
      <w:r>
        <w:t xml:space="preserve">(OTU 12),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5, and 6)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of the microbiota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was positive in streptomycin-treated mice and it was negative in cefoperazone-treated mice. In addition, cefoperazone and streptomycin-treated mice had high levels of</w:t>
      </w:r>
      <w:r>
        <w:t xml:space="preserve"> </w:t>
      </w:r>
      <w:r>
        <w:rPr>
          <w:i/>
        </w:rPr>
        <w:t xml:space="preserve">C. difficile</w:t>
      </w:r>
      <w:r>
        <w:t xml:space="preserve"> </w:t>
      </w:r>
      <w:r>
        <w:t xml:space="preserve">although the former had significantly higher levels of</w:t>
      </w:r>
      <w:r>
        <w:t xml:space="preserve"> </w:t>
      </w:r>
      <w:r>
        <w:rPr>
          <w:i/>
        </w:rPr>
        <w:t xml:space="preserve">Escherichia</w:t>
      </w:r>
      <w:r>
        <w:t xml:space="preserve"> </w:t>
      </w:r>
      <w:r>
        <w:t xml:space="preserve">(OTU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Pr>
          <w:b/>
        </w:rPr>
        <w:t xml:space="preserve">Figure S3</w:t>
      </w:r>
      <w:r>
        <w:t xml:space="preserve">). Among the metronidazole-treated mice, those with extended recovery had a</w:t>
      </w:r>
      <w:r>
        <w:t xml:space="preserve"> </w:t>
      </w:r>
      <m:oMath>
        <m:r>
          <m:rPr/>
          <m:t>1</m:t>
        </m:r>
        <m:r>
          <m:rPr/>
          <m:t>.</m:t>
        </m:r>
        <m:r>
          <m:rPr/>
          <m:t>86</m:t>
        </m:r>
        <m:r>
          <m:rPr/>
          <m:t>e</m:t>
        </m:r>
        <m:r>
          <m:rPr/>
          <m:t>+</m:t>
        </m:r>
        <m:r>
          <m:rPr/>
          <m:t>06</m:t>
        </m:r>
      </m:oMath>
      <w:r>
        <w:t xml:space="preserve">-fold reduction in colonization (P&lt;0.001;</w:t>
      </w:r>
      <w:r>
        <w:t xml:space="preserve"> </w:t>
      </w:r>
      <w:r>
        <w:rPr>
          <w:b/>
        </w:rPr>
        <w:t xml:space="preserve">Figure 3</w:t>
      </w:r>
      <w:r>
        <w:t xml:space="preserve">). In addition, 7 of the 14 mice given the longer recovery period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w:t>
      </w:r>
      <w:r>
        <w:rPr>
          <w:b/>
        </w:rPr>
        <w:t xml:space="preserve">Figure 3</w:t>
      </w:r>
      <w:r>
        <w:t xml:space="preserve">). Most notable among these was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 </w:t>
      </w:r>
      <w:r>
        <w:t xml:space="preserve">OTU increased with the delay, and the relative abundance of this</w:t>
      </w:r>
      <w:r>
        <w:t xml:space="preserve"> </w:t>
      </w:r>
      <w:r>
        <w:rPr>
          <w:i/>
        </w:rPr>
        <w:t xml:space="preserve">Escherichia</w:t>
      </w:r>
      <w:r>
        <w:t xml:space="preserve"> </w:t>
      </w:r>
      <w:r>
        <w:t xml:space="preserve">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 However untreated, fully resistant mice harbored significantly lower levels of</w:t>
      </w:r>
      <w:r>
        <w:t xml:space="preserve"> </w:t>
      </w:r>
      <w:r>
        <w:rPr>
          <w:i/>
        </w:rPr>
        <w:t xml:space="preserve">Barnesiella</w:t>
      </w:r>
      <w:r>
        <w:t xml:space="preserve"> </w:t>
      </w:r>
      <w:r>
        <w:t xml:space="preserve">(OTU 2). Rather, untreated mice had high levels of various</w:t>
      </w:r>
      <w:r>
        <w:t xml:space="preserve"> </w:t>
      </w:r>
      <w:r>
        <w:rPr>
          <w:i/>
        </w:rPr>
        <w:t xml:space="preserve">Porphyromonadaceae</w:t>
      </w:r>
      <w:r>
        <w:t xml:space="preserve"> </w:t>
      </w:r>
      <w:r>
        <w:t xml:space="preserve">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The</w:t>
      </w:r>
      <w:r>
        <w:t xml:space="preserve"> </w:t>
      </w:r>
      <w:r>
        <w:rPr>
          <w:i/>
        </w:rPr>
        <w:t xml:space="preserve">Porphyromonadaceae</w:t>
      </w:r>
      <w:r>
        <w:t xml:space="preserve"> </w:t>
      </w:r>
      <w:r>
        <w:t xml:space="preserve">(ρ</w:t>
      </w:r>
      <w:r>
        <w:t xml:space="preserve">average</w:t>
      </w:r>
      <w:r>
        <w:t xml:space="preserve">=-0.52, N=11 OTUs) were consistently associated with low levels of</w:t>
      </w:r>
      <w:r>
        <w:t xml:space="preserve"> </w:t>
      </w:r>
      <w:r>
        <w:rPr>
          <w:i/>
        </w:rPr>
        <w:t xml:space="preserve">C. difficile</w:t>
      </w:r>
      <w:r>
        <w:t xml:space="preserve"> </w:t>
      </w:r>
      <w:r>
        <w:t xml:space="preserve">colonization. Among the three OTUs from the</w:t>
      </w:r>
      <w:r>
        <w:t xml:space="preserve"> </w:t>
      </w:r>
      <w:r>
        <w:rPr>
          <w:i/>
        </w:rPr>
        <w:t xml:space="preserve">Proteobacteria</w:t>
      </w:r>
      <w:r>
        <w:t xml:space="preserve"> </w:t>
      </w:r>
      <w:r>
        <w:t xml:space="preserve">had a significant positive association with</w:t>
      </w:r>
      <w:r>
        <w:t xml:space="preserve"> </w:t>
      </w:r>
      <w:r>
        <w:rPr>
          <w:i/>
        </w:rPr>
        <w:t xml:space="preserve">C. difficile</w:t>
      </w:r>
      <w:r>
        <w:t xml:space="preserve"> </w:t>
      </w:r>
      <w:r>
        <w:t xml:space="preserve">colonization, the strongest was affiliated with the</w:t>
      </w:r>
      <w:r>
        <w:t xml:space="preserve"> </w:t>
      </w:r>
      <w:r>
        <w:rPr>
          <w:i/>
        </w:rPr>
        <w:t xml:space="preserve">Escherichia</w:t>
      </w:r>
      <w:r>
        <w:t xml:space="preserve"> </w:t>
      </w:r>
      <w:r>
        <w:t xml:space="preserve">(OTU 3; ρ=0.54). By performing an OTU-based analysis we were able to observe intra-family and genus differences in association with</w:t>
      </w:r>
      <w:r>
        <w:t xml:space="preserve"> </w:t>
      </w:r>
      <w:r>
        <w:rPr>
          <w:i/>
        </w:rPr>
        <w:t xml:space="preserve">C. difficile</w:t>
      </w:r>
      <w:r>
        <w:t xml:space="preserve"> </w:t>
      </w:r>
      <w:r>
        <w:t xml:space="preserve">colonization. For example, the Lachnospiraceae have been associated with protection against</w:t>
      </w:r>
      <w:r>
        <w:t xml:space="preserve"> </w:t>
      </w:r>
      <w:r>
        <w:rPr>
          <w:i/>
        </w:rPr>
        <w:t xml:space="preserve">C. difficile</w:t>
      </w:r>
      <w:r>
        <w:t xml:space="preserve"> </w:t>
      </w:r>
      <w:r>
        <w:t xml:space="preserve">and although we observed 3 OTUs that were associated with low levels of</w:t>
      </w:r>
      <w:r>
        <w:t xml:space="preserve"> </w:t>
      </w:r>
      <w:r>
        <w:rPr>
          <w:i/>
        </w:rPr>
        <w:t xml:space="preserve">C. difficile</w:t>
      </w:r>
      <w:r>
        <w:t xml:space="preserve"> </w:t>
      </w:r>
      <w:r>
        <w:t xml:space="preserve">and 1 OTU that was associated with high levels of</w:t>
      </w:r>
      <w:r>
        <w:t xml:space="preserve"> </w:t>
      </w:r>
      <w:r>
        <w:rPr>
          <w:i/>
        </w:rPr>
        <w:t xml:space="preserve">C. difficile</w:t>
      </w:r>
      <w:r>
        <w:t xml:space="preserve">. In addition we observed 3</w:t>
      </w:r>
      <w:r>
        <w:t xml:space="preserve"> </w:t>
      </w:r>
      <w:r>
        <w:rPr>
          <w:i/>
        </w:rPr>
        <w:t xml:space="preserve">Lactobacillus</w:t>
      </w:r>
      <w:r>
        <w:t xml:space="preserve"> </w:t>
      </w:r>
      <w:r>
        <w:t xml:space="preserve">OTUs from the</w:t>
      </w:r>
      <w:r>
        <w:t xml:space="preserve"> </w:t>
      </w:r>
      <w:r>
        <w:rPr>
          <w:i/>
        </w:rPr>
        <w:t xml:space="preserve">Lactobacilliaceae</w:t>
      </w:r>
      <w:r>
        <w:t xml:space="preserve"> </w:t>
      </w:r>
      <w:r>
        <w:t xml:space="preserve">where 2 were associated with low levels of</w:t>
      </w:r>
      <w:r>
        <w:t xml:space="preserve"> </w:t>
      </w:r>
      <w:r>
        <w:rPr>
          <w:i/>
        </w:rPr>
        <w:t xml:space="preserve">C. difficile</w:t>
      </w:r>
      <w:r>
        <w:t xml:space="preserve"> </w:t>
      </w:r>
      <w:r>
        <w:t xml:space="preserve">and 1 was associated with high levels. The broad taxonomic representation of OTUs associated with low levels of</w:t>
      </w:r>
      <w:r>
        <w:t xml:space="preserve"> </w:t>
      </w:r>
      <w:r>
        <w:rPr>
          <w:i/>
        </w:rPr>
        <w:t xml:space="preserve">C. difficile</w:t>
      </w:r>
      <w:r>
        <w:t xml:space="preserve"> </w:t>
      </w:r>
      <w:r>
        <w:t xml:space="preserve">again suggests that a diverse community is required to prevent the colonization</w:t>
      </w:r>
      <w:r>
        <w:t xml:space="preserve"> </w:t>
      </w:r>
      <w:r>
        <w:rPr>
          <w:i/>
        </w:rPr>
        <w:t xml:space="preserve">C. difficile</w:t>
      </w:r>
      <w:r>
        <w:t xml:space="preserve">.</w:t>
      </w:r>
    </w:p>
    <w:p>
      <w:r>
        <w:rPr>
          <w:b/>
        </w:rPr>
        <w:t xml:space="preserve">The composition of the disturbed gut microbiota is predictive of</w:t>
      </w:r>
      <w:r>
        <w:t xml:space="preserve"> </w:t>
      </w:r>
      <w:r>
        <w:rPr>
          <w:i/>
          <w:b/>
        </w:rPr>
        <w:t xml:space="preserve">C. difficile</w:t>
      </w:r>
      <w:r>
        <w:t xml:space="preserve"> </w:t>
      </w:r>
      <w:r>
        <w:rPr>
          <w:b/>
        </w:rPr>
        <w:t xml:space="preserve">colonization levels.</w:t>
      </w:r>
      <w:r>
        <w:t xml:space="preserve"> </w:t>
      </w:r>
      <w:r>
        <w:t xml:space="preserve">These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those OTUs had the opposite or not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using the composition of the microbiota at the time of challenge as predictor variables. The model explained 77.2% of the variation in the observed</w:t>
      </w:r>
      <w:r>
        <w:t xml:space="preserve"> </w:t>
      </w:r>
      <w:r>
        <w:rPr>
          <w:i/>
        </w:rPr>
        <w:t xml:space="preserve">C. difficile</w:t>
      </w:r>
      <w:r>
        <w:t xml:space="preserve"> </w:t>
      </w:r>
      <w:r>
        <w:t xml:space="preserve">colonization levels (Figures 5). When we only included the top 12 OTUs based on the percent increase in the mean squared error when each OTU was removed, the resulting model explained 77.1% of the variation in the observed</w:t>
      </w:r>
      <w:r>
        <w:t xml:space="preserve"> </w:t>
      </w:r>
      <w:r>
        <w:rPr>
          <w:i/>
        </w:rPr>
        <w:t xml:space="preserve">C. difficile</w:t>
      </w:r>
      <w:r>
        <w:t xml:space="preserve"> </w:t>
      </w:r>
      <w:r>
        <w:t xml:space="preserve">colonization levels. The OTUs that were ranked as being the most important in defining the random forest model, further validated the observations from the correlation-based analysis (</w:t>
      </w:r>
      <w:r>
        <w:rPr>
          <w:b/>
        </w:rPr>
        <w:t xml:space="preserve">Figures S4</w:t>
      </w:r>
      <w:r>
        <w:t xml:space="preserve">). According to the random forest model, colonization resistance was associated with members of the</w:t>
      </w:r>
      <w:r>
        <w:t xml:space="preserve"> </w:t>
      </w:r>
      <w:r>
        <w:rPr>
          <w:i/>
        </w:rPr>
        <w:t xml:space="preserve">Porphyromonadaceae</w:t>
      </w:r>
      <w:r>
        <w:t xml:space="preserve"> </w:t>
      </w:r>
      <w:r>
        <w:t xml:space="preserve">(OTU 15, 10, 6, 18, and 11),</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w:t>
      </w:r>
      <w:r>
        <w:t xml:space="preserve"> </w:t>
      </w:r>
      <w:r>
        <w:rPr>
          <w:i/>
        </w:rPr>
        <w:t xml:space="preserve">Alistipes</w:t>
      </w:r>
      <w:r>
        <w:t xml:space="preserve"> </w:t>
      </w:r>
      <w:r>
        <w:t xml:space="preserve">(OTU 12), and</w:t>
      </w:r>
      <w:r>
        <w:t xml:space="preserve"> </w:t>
      </w:r>
      <w:r>
        <w:rPr>
          <w:i/>
        </w:rPr>
        <w:t xml:space="preserve">Turicibacter</w:t>
      </w:r>
      <w:r>
        <w:t xml:space="preserve"> </w:t>
      </w:r>
      <w:r>
        <w:t xml:space="preserve">(OTU 9;</w:t>
      </w:r>
      <w:r>
        <w:t xml:space="preserve"> </w:t>
      </w:r>
      <w:r>
        <w:rPr>
          <w:b/>
        </w:rPr>
        <w:t xml:space="preserve">Figure 6</w:t>
      </w:r>
      <w:r>
        <w:t xml:space="preserve">). A loss in these populations, concurrently with a gain of</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was associated with an increased susceptibility to infection (</w:t>
      </w:r>
      <w:r>
        <w:rPr>
          <w:b/>
        </w:rPr>
        <w:t xml:space="preserve">Figure 6</w:t>
      </w:r>
      <w:r>
        <w:t xml:space="preserve">). As we observed in the titration experiments, the relationship between</w:t>
      </w:r>
      <w:r>
        <w:t xml:space="preserve"> </w:t>
      </w:r>
      <w:r>
        <w:rPr>
          <w:i/>
        </w:rPr>
        <w:t xml:space="preserve">Akkermansia</w:t>
      </w:r>
      <w:r>
        <w:t xml:space="preserve"> </w:t>
      </w:r>
      <w:r>
        <w:t xml:space="preserve">(OTU 4) and</w:t>
      </w:r>
      <w:r>
        <w:t xml:space="preserve"> </w:t>
      </w:r>
      <w:r>
        <w:rPr>
          <w:i/>
        </w:rPr>
        <w:t xml:space="preserve">C. difficile</w:t>
      </w:r>
      <w:r>
        <w:t xml:space="preserve"> </w:t>
      </w:r>
      <w:r>
        <w:t xml:space="preserve">indicated that wide variation in the relative abundance of</w:t>
      </w:r>
      <w:r>
        <w:t xml:space="preserve"> </w:t>
      </w:r>
      <w:r>
        <w:rPr>
          <w:i/>
        </w:rPr>
        <w:t xml:space="preserve">Akkermansia</w:t>
      </w:r>
      <w:r>
        <w:t xml:space="preserve"> </w:t>
      </w:r>
      <w:r>
        <w:t xml:space="preserve">was associated with varying levels of</w:t>
      </w:r>
      <w:r>
        <w:t xml:space="preserve"> </w:t>
      </w:r>
      <w:r>
        <w:rPr>
          <w:i/>
        </w:rPr>
        <w:t xml:space="preserve">C. difficile</w:t>
      </w:r>
      <w:r>
        <w:t xml:space="preserve">. There were varying abundances of</w:t>
      </w:r>
      <w:r>
        <w:t xml:space="preserve"> </w:t>
      </w:r>
      <w:r>
        <w:rPr>
          <w:i/>
        </w:rPr>
        <w:t xml:space="preserve">Akkermansia</w:t>
      </w:r>
      <w:r>
        <w:t xml:space="preserve"> </w:t>
      </w:r>
      <w:r>
        <w:t xml:space="preserve">in mice regardless of the level of</w:t>
      </w:r>
      <w:r>
        <w:t xml:space="preserve"> </w:t>
      </w:r>
      <w:r>
        <w:rPr>
          <w:i/>
        </w:rPr>
        <w:t xml:space="preserve">C. difficile</w:t>
      </w:r>
      <w:r>
        <w:t xml:space="preserve"> </w:t>
      </w:r>
      <w:r>
        <w:t xml:space="preserve">colonization. Finally, as indicated by the number of OTUs with relative abundances below the limit of detection, those mice could harbor varying levels of</w:t>
      </w:r>
      <w:r>
        <w:t xml:space="preserve"> </w:t>
      </w:r>
      <w:r>
        <w:rPr>
          <w:i/>
        </w:rPr>
        <w:t xml:space="preserve">C. difficle</w:t>
      </w:r>
      <w:r>
        <w:t xml:space="preserve">. These observations bolster the hypothesis that colonization is context dependent.</w:t>
      </w:r>
    </w:p>
    <w:bookmarkStart w:id="discussion" w:name="discussion"/>
    <w:p>
      <w:pPr>
        <w:pStyle w:val="Heading3"/>
      </w:pPr>
      <w:r>
        <w:t xml:space="preserve">Discussion</w:t>
      </w:r>
    </w:p>
    <w:bookmarkEnd w:id="discussion"/>
    <w:p>
      <w:r>
        <w:t xml:space="preserve">Previous attempts to study the role of the gut microbiota in colonization resistance against</w:t>
      </w:r>
      <w:r>
        <w:t xml:space="preserve"> </w:t>
      </w:r>
      <w:r>
        <w:rPr>
          <w:i/>
        </w:rPr>
        <w:t xml:space="preserve">C. difficile</w:t>
      </w:r>
      <w:r>
        <w:t xml:space="preserve"> </w:t>
      </w:r>
      <w:r>
        <w:t xml:space="preserve">infection have utilized a single perturbation to the community. Here, we used 7 antibiotics from 6 classes that were given to mice in varying doses and with varying post-antibiotic recovery periods. The result was a combination of 15 different perturbations and the non-pertrubed microbiota, which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is not driven by individual populations, but by a consortium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protective against</w:t>
      </w:r>
      <w:r>
        <w:t xml:space="preserve"> </w:t>
      </w:r>
      <w:r>
        <w:rPr>
          <w:i/>
        </w:rPr>
        <w:t xml:space="preserve">C. difficile</w:t>
      </w:r>
      <w:r>
        <w:t xml:space="preserve"> </w:t>
      </w:r>
      <w:r>
        <w:t xml:space="preserve">{Buffie, 2012 #977; Reeves, 2012 #126}. Although we observed similar results in a subset of our perturbations, by using a large number of perturbations, we were able to demonstrate that a varied collection of populations was important for colonization resistance. Overall, these results suggest that</w:t>
      </w:r>
      <w:r>
        <w:t xml:space="preserve"> </w:t>
      </w:r>
      <w:r>
        <w:rPr>
          <w:i/>
        </w:rPr>
        <w:t xml:space="preserve">C. difficile</w:t>
      </w:r>
      <w:r>
        <w:t xml:space="preserve"> </w:t>
      </w:r>
      <w:r>
        <w:t xml:space="preserve">is a generalist that is capable of exploiting a variety of niches in the gastrointestinal tract.</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#599}.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#126}.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{Lawley, 2012 #36; Buffie, 2015 #981}.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#1003; Seekatz, 2014 #1051; Weingarden, 2015 #1054}. By generating a diverse collection of communities that were challenged with</w:t>
      </w:r>
      <w:r>
        <w:t xml:space="preserve"> </w:t>
      </w:r>
      <w:r>
        <w:rPr>
          <w:b/>
        </w:rPr>
        <w:t xml:space="preserve">C. difficile</w:t>
      </w:r>
      <w:r>
        <w:t xml:space="preserv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Several of these populatins have been examined for their potential as a probiotic for preventing</w:t>
      </w:r>
      <w:r>
        <w:t xml:space="preserve"> </w:t>
      </w:r>
      <w:r>
        <w:rPr>
          <w:i/>
        </w:rPr>
        <w:t xml:space="preserve">C. difficile</w:t>
      </w:r>
      <w:r>
        <w:t xml:space="preserve"> </w:t>
      </w:r>
      <w:r>
        <w:t xml:space="preserve">infection. A 6-species cocktail, including isolates of</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w:t>
      </w:r>
      <w:r>
        <w:t xml:space="preserve"> </w:t>
      </w:r>
      <w:r>
        <w:rPr>
          <w:i/>
        </w:rPr>
        <w:t xml:space="preserve">Coriobacteriaceae</w:t>
      </w:r>
      <w:r>
        <w:t xml:space="preserve">,</w:t>
      </w:r>
      <w:r>
        <w:t xml:space="preserve"> </w:t>
      </w:r>
      <w:r>
        <w:rPr>
          <w:i/>
        </w:rPr>
        <w:t xml:space="preserve">Staphylococcus</w:t>
      </w:r>
      <w:r>
        <w:t xml:space="preserve">, and</w:t>
      </w:r>
      <w:r>
        <w:t xml:space="preserve"> </w:t>
      </w:r>
      <w:r>
        <w:rPr>
          <w:i/>
        </w:rPr>
        <w:t xml:space="preserve">Enterococcus</w:t>
      </w:r>
      <w:r>
        <w:t xml:space="preserve">, successfully resolved CDI in mice {Lawley, 2012 #36}. In humans,</w:t>
      </w:r>
      <w:r>
        <w:t xml:space="preserve"> </w:t>
      </w:r>
      <w:r>
        <w:rPr>
          <w:i/>
        </w:rPr>
        <w:t xml:space="preserve">Lactobacillus</w:t>
      </w:r>
      <w:r>
        <w:t xml:space="preserve">-based probiotics have been co-administered with antibiotics to deter the onset of antibiotic-associated diarrhea (AAD) and</w:t>
      </w:r>
      <w:r>
        <w:t xml:space="preserve"> </w:t>
      </w:r>
      <w:r>
        <w:rPr>
          <w:i/>
        </w:rPr>
        <w:t xml:space="preserve">C. difficile</w:t>
      </w:r>
      <w:r>
        <w:t xml:space="preserve"> </w:t>
      </w:r>
      <w:r>
        <w:t xml:space="preserve">infection {Pattani, 2013 #1004}. A more diverse probiotic contained 33 bacterial species included</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Ruminococcaeae</w:t>
      </w:r>
      <w:r>
        <w:t xml:space="preserve">,</w:t>
      </w:r>
      <w:r>
        <w:t xml:space="preserve"> </w:t>
      </w:r>
      <w:r>
        <w:rPr>
          <w:i/>
        </w:rPr>
        <w:t xml:space="preserve">Eubacteriaceae</w:t>
      </w:r>
      <w:r>
        <w:t xml:space="preserve">, and</w:t>
      </w:r>
      <w:r>
        <w:t xml:space="preserve"> </w:t>
      </w:r>
      <w:r>
        <w:rPr>
          <w:i/>
        </w:rPr>
        <w:t xml:space="preserve">Lactobacillus</w:t>
      </w:r>
      <w:r>
        <w:t xml:space="preserve"> </w:t>
      </w:r>
      <w:r>
        <w:t xml:space="preserve">isolates, successfully restored colonization resistance in recurrent</w:t>
      </w:r>
      <w:r>
        <w:t xml:space="preserve"> </w:t>
      </w:r>
      <w:r>
        <w:rPr>
          <w:i/>
        </w:rPr>
        <w:t xml:space="preserve">C. difficile</w:t>
      </w:r>
      <w:r>
        <w:t xml:space="preserve"> </w:t>
      </w:r>
      <w:r>
        <w:t xml:space="preserve">infection and eliminated diarrhea up to 6 months post treatment {Petrof, 2013 #2}. Given this evidence, we feel confident that an effective probiotic community could be designed based on our findings to recover colonization resistance against</w:t>
      </w:r>
      <w:r>
        <w:t xml:space="preserve"> </w:t>
      </w:r>
      <w:r>
        <w:rPr>
          <w:b/>
        </w:rPr>
        <w:t xml:space="preserve">C. difficile</w:t>
      </w:r>
      <w:r>
        <w:t xml:space="preserve">.</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associations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#1048}.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overlap between the results from the current study and past human studies and the power of random forest models suggest that it should be possible to model a patient’s risk of developing a</w:t>
      </w:r>
      <w:r>
        <w:t xml:space="preserve"> </w:t>
      </w:r>
      <w:r>
        <w:rPr>
          <w:i/>
        </w:rPr>
        <w:t xml:space="preserve">C. difficile</w:t>
      </w:r>
      <w:r>
        <w:t xml:space="preserve"> </w:t>
      </w:r>
      <w:r>
        <w:t xml:space="preserve">infection based on their gut microbiota composition at admission.</w:t>
      </w:r>
    </w:p>
    <w:bookmarkStart w:id="materials-and-methods" w:name="materials-and-methods"/>
    <w:p>
      <w:pPr>
        <w:pStyle w:val="Heading3"/>
      </w:pPr>
      <w:r>
        <w:t xml:space="preserve">Materials and Methods</w:t>
      </w:r>
    </w:p>
    <w:bookmarkEnd w:id="materials-and-methods"/>
    <w:p>
      <w:r>
        <w:rPr>
          <w:b/>
        </w:rPr>
        <w:t xml:space="preserve">Animal care.</w:t>
      </w:r>
      <w:r>
        <w:t xml:space="preserve"> </w:t>
      </w:r>
      <w:r>
        <w:t xml:space="preserve">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w:t>
      </w:r>
      <w:r>
        <w:rPr>
          <w:b/>
        </w:rPr>
        <w:t xml:space="preserve">Table 1</w:t>
      </w:r>
      <w: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r>
        <w:rPr>
          <w:i/>
          <w:b/>
        </w:rPr>
        <w:t xml:space="preserve">C. difficile</w:t>
      </w:r>
      <w:r>
        <w:t xml:space="preserve"> </w:t>
      </w:r>
      <w:r>
        <w:rPr>
          <w:b/>
        </w:rPr>
        <w:t xml:space="preserve">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#1055}. Spores were stored long term at 4°C.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#1059}.</w:t>
      </w:r>
    </w:p>
    <w:p>
      <w:r>
        <w:rPr>
          <w:b/>
        </w:rPr>
        <w:t xml:space="preserve">DNA extraction and sequencing.</w:t>
      </w:r>
      <w:r>
        <w:t xml:space="preserve"> </w:t>
      </w:r>
      <w:r>
        <w:t xml:space="preserve">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{Kozich, 2013 #40}.</w:t>
      </w:r>
    </w:p>
    <w:p>
      <w:r>
        <w:rPr>
          <w:b/>
        </w:rPr>
        <w:t xml:space="preserve">Sequence curation.</w:t>
      </w:r>
      <w:r>
        <w:t xml:space="preserve"> </w:t>
      </w:r>
      <w:r>
        <w:t xml:space="preserve">These sequences were curated using mothur (v.1.35) as previously described {Kozich, 2013 #40; Schloss, 2009 #812}.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XXXXXX.</w:t>
      </w:r>
    </w:p>
    <w:p>
      <w:r>
        <w:rPr>
          <w:b/>
        </w:rPr>
        <w:t xml:space="preserve">Statistical analysis and modeling.</w:t>
      </w:r>
      <w:r>
        <w:t xml:space="preserve"> </w:t>
      </w:r>
      <w:r>
        <w:t xml:space="preserve">Complete scripts for regenerating our analysis adn this paper are available at the online repository for this study (https://github.com/SchlossLab/Schubert_AbxD01_mBio_2015). Comparisons between the antibiotic-treated communities were made by calculating dissimilarity matrices based on the metric of Yue and Clayton {Yue, 2005 #1039}. To avoid biases due to uneven sampling, the dissimiarlity matrices were calculated by rarefying the samples to 1,625 sequences per sample. We then used analysis of molecular variance (AMOVA) to test for differences in community structure using 10,000 permutations {Anderson, 2001 #788}.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{Benjamini, 1995 #1041}. Random forest regression models were constructed using the randomForest R package using 10,000 trees {Cutler, 2007 #1061}. The regression was performed using the log (base 10) transformation of the number of CFU/g fecal material as the dependent variable and the 38 OTUs as predictor variables.</w:t>
      </w:r>
    </w:p>
    <w:bookmarkStart w:id="acknowledgements" w:name="acknowledgements"/>
    <w:p>
      <w:pPr>
        <w:pStyle w:val="Heading3"/>
      </w:pPr>
      <w:r>
        <w:t xml:space="preserve">Acknowledgements</w:t>
      </w:r>
    </w:p>
    <w:bookmarkEnd w:id="acknowledgements"/>
    <w:p>
      <w:r>
        <w:t xml:space="preserve">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p>
      <w:r>
        <w:t xml:space="preserve">| Antibiotic | Administration | Class | Mechanism | Target | |:---------:|:--------------:|:-----:|:---------:|:---------:| Ciprofloxacin | Oral gavage, one time | Fluoroquinolone | Inhibits DNA gyrase | Gram +/- Clindamycin | IP injection, one time | Lincosamide | Inhibits protein synthesis | Anaerobes Vancomycin |</w:t>
      </w:r>
      <w:r>
        <w:t xml:space="preserve"> </w:t>
      </w:r>
      <w:r>
        <w:rPr>
          <w:i/>
        </w:rPr>
        <w:t xml:space="preserve">Ad libitum</w:t>
      </w:r>
      <w:r>
        <w:t xml:space="preserve"> </w:t>
      </w:r>
      <w:r>
        <w:t xml:space="preserve">in drinking water, five days | Glycopeptide | Inhibits peptidoglycan synthesis | Gram + Streptomycin |</w:t>
      </w:r>
      <w:r>
        <w:t xml:space="preserve"> </w:t>
      </w:r>
      <w:r>
        <w:rPr>
          <w:i/>
        </w:rPr>
        <w:t xml:space="preserve">Ad libitum</w:t>
      </w:r>
      <w:r>
        <w:t xml:space="preserve"> </w:t>
      </w:r>
      <w:r>
        <w:t xml:space="preserve">in drinking water, five days | Aminoglycoside | Inhibits protein synthesis | Gram +/- Cefoperazone |</w:t>
      </w:r>
      <w:r>
        <w:t xml:space="preserve"> </w:t>
      </w:r>
      <w:r>
        <w:rPr>
          <w:i/>
        </w:rPr>
        <w:t xml:space="preserve">Ad libitum</w:t>
      </w:r>
      <w:r>
        <w:t xml:space="preserve"> </w:t>
      </w:r>
      <w:r>
        <w:t xml:space="preserve">in drinking water, five days | β-lactam: Cephalosporin | Inhibits peptidoglycan synthesis | Gram +/- Ampicillin |</w:t>
      </w:r>
      <w:r>
        <w:t xml:space="preserve"> </w:t>
      </w:r>
      <w:r>
        <w:rPr>
          <w:i/>
        </w:rPr>
        <w:t xml:space="preserve">Ad libitum</w:t>
      </w:r>
      <w:r>
        <w:t xml:space="preserve"> </w:t>
      </w:r>
      <w:r>
        <w:t xml:space="preserve">in drinking water, five days | β-lactam: Penicillin | Inhibits peptidoglycan synthesis | Gram +/- Metronidazole |</w:t>
      </w:r>
      <w:r>
        <w:t xml:space="preserve"> </w:t>
      </w:r>
      <w:r>
        <w:rPr>
          <w:i/>
        </w:rPr>
        <w:t xml:space="preserve">Ad libitum</w:t>
      </w:r>
      <w:r>
        <w:t xml:space="preserve"> </w:t>
      </w:r>
      <w:r>
        <w:t xml:space="preserve">in drinking water, five days | Nitromidazole | Destabilizes bacterial DNA | Anaerobes</w:t>
      </w:r>
    </w:p>
    <w:bookmarkStart w:id="figure-legends" w:name="figure-legends"/>
    <w:p>
      <w:pPr>
        <w:pStyle w:val="Heading3"/>
      </w:pPr>
      <w:r>
        <w:t xml:space="preserve">Figure Legends</w:t>
      </w:r>
    </w:p>
    <w:bookmarkEnd w:id="figure-legends"/>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The error bars indicate the interquartile range. The median level</w:t>
      </w:r>
      <w:r>
        <w:t xml:space="preserve"> </w:t>
      </w:r>
      <w:r>
        <w:rPr>
          <w:i/>
        </w:rPr>
        <w:t xml:space="preserve">C. difficile</w:t>
      </w:r>
      <w:r>
        <w:t xml:space="preserve"> </w:t>
      </w:r>
      <w:r>
        <w:t xml:space="preserve">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r>
        <w:rPr>
          <w:b/>
        </w:rPr>
        <w:t xml:space="preserve">Figure 2. Titration of antibiotic perturbations results in altered community structures and</w:t>
      </w:r>
      <w:r>
        <w:t xml:space="preserve"> </w:t>
      </w:r>
      <w:r>
        <w:rPr>
          <w:i/>
          <w:b/>
        </w:rPr>
        <w:t xml:space="preserve">C. difficile</w:t>
      </w:r>
      <w: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t xml:space="preserve"> </w:t>
      </w:r>
      <w:r>
        <w:rPr>
          <w:i/>
          <w:b/>
        </w:rPr>
        <w:t xml:space="preserve">C. difficile</w:t>
      </w:r>
      <w: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OTUs are grouped by the taxonomic family and the letters in the parentheses correspond to the phylum that the taxa belong to. B: Bacteroidetes, F: Firmicutes, P: Proteobacteria, A: Actinobacteria, T: Tenericutes.</w:t>
      </w:r>
    </w:p>
    <w:p>
      <w:r>
        <w:rPr>
          <w:b/>
        </w:rPr>
        <w:t xml:space="preserve">Figure 5. Random forest regression model predicts</w:t>
      </w:r>
      <w:r>
        <w:t xml:space="preserve"> </w:t>
      </w:r>
      <w:r>
        <w:rPr>
          <w:i/>
          <w:b/>
        </w:rPr>
        <w:t xml:space="preserve">C. difficile</w:t>
      </w:r>
      <w:r>
        <w:t xml:space="preserve"> </w:t>
      </w:r>
      <w:r>
        <w:rPr>
          <w:b/>
        </w:rPr>
        <w:t xml:space="preserve">colonization levels based on the structure of the microbiota.</w:t>
      </w:r>
      <w:r>
        <w:t xml:space="preserve"> </w:t>
      </w:r>
      <w:r>
        <w:t xml:space="preserve">The overall model explained 77.2% of the variation in the data. Each pane shows antibiotic treatment groups in color and the other points as gray circles.</w:t>
      </w:r>
    </w:p>
    <w:p>
      <w:r>
        <w:rPr>
          <w:b/>
        </w:rPr>
        <w:t xml:space="preserve">Figure 6. Relationship between OTU relative abundance and</w:t>
      </w:r>
      <w:r>
        <w:t xml:space="preserve"> </w:t>
      </w:r>
      <w:r>
        <w:rPr>
          <w:i/>
          <w:b/>
        </w:rPr>
        <w:t xml:space="preserve">C. difficile</w:t>
      </w:r>
      <w:r>
        <w:t xml:space="preserve"> </w:t>
      </w:r>
      <w:r>
        <w:rPr>
          <w:b/>
        </w:rPr>
        <w:t xml:space="preserve">colonization levels indicates non-linearity and context-dependency.</w:t>
      </w:r>
      <w:r>
        <w:t xml:space="preserve"> </w:t>
      </w:r>
      <w:r>
        <w:t xml:space="preserve">The 12 OTUs that resulted in the greatest change in percent mean squared error when removed from the random forest regression model are shown in each pane and together explain 77.1% of the variation in the data. The Spearman correlation value between that OTUs abundance and</w:t>
      </w:r>
      <w:r>
        <w:t xml:space="preserve"> </w:t>
      </w:r>
      <w:r>
        <w:rPr>
          <w:b/>
        </w:rPr>
        <w:t xml:space="preserve">C. difficile</w:t>
      </w:r>
      <w:r>
        <w:t xml:space="preserve"> </w:t>
      </w:r>
      <w:r>
        <w:t xml:space="preserve">levels are shown for each pane. The color and symbols represent the same antibiotic dose and recovery period as in Figure 5.</w:t>
      </w:r>
    </w:p>
    <w:p>
      <w:r>
        <w:rPr>
          <w:b/>
        </w:rPr>
        <w:t xml:space="preserve">Figure S1. Effect of antibiotic perturbations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