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ADFA7" w14:textId="77777777" w:rsidR="004F205E" w:rsidRPr="001B30B3" w:rsidRDefault="001B30B3" w:rsidP="00670D0B">
      <w:pPr>
        <w:spacing w:line="480" w:lineRule="auto"/>
        <w:jc w:val="both"/>
        <w:rPr>
          <w:szCs w:val="22"/>
        </w:rPr>
      </w:pPr>
      <w:r w:rsidRPr="001B30B3">
        <w:rPr>
          <w:szCs w:val="22"/>
        </w:rPr>
        <w:t xml:space="preserve">Antibiotic induced alterations of the murine gut microbiota and subsequent effects on colonization resistance against </w:t>
      </w:r>
      <w:r w:rsidRPr="001B30B3">
        <w:rPr>
          <w:i/>
          <w:szCs w:val="22"/>
        </w:rPr>
        <w:t>Clostridium difficile</w:t>
      </w:r>
    </w:p>
    <w:p w14:paraId="2ED2FDBC" w14:textId="77777777" w:rsidR="004F205E" w:rsidRPr="001B30B3" w:rsidRDefault="001B30B3" w:rsidP="00670D0B">
      <w:pPr>
        <w:spacing w:line="480" w:lineRule="auto"/>
        <w:jc w:val="both"/>
        <w:rPr>
          <w:szCs w:val="22"/>
        </w:rPr>
      </w:pPr>
      <w:r w:rsidRPr="001B30B3">
        <w:rPr>
          <w:b/>
          <w:szCs w:val="22"/>
        </w:rPr>
        <w:t>Running title:</w:t>
      </w:r>
      <w:r w:rsidRPr="001B30B3">
        <w:rPr>
          <w:szCs w:val="22"/>
        </w:rPr>
        <w:t xml:space="preserve"> Colonization resistance against </w:t>
      </w:r>
      <w:r w:rsidRPr="001B30B3">
        <w:rPr>
          <w:i/>
          <w:szCs w:val="22"/>
        </w:rPr>
        <w:t>C. difficile</w:t>
      </w:r>
    </w:p>
    <w:p w14:paraId="6F5CD6A2" w14:textId="77777777" w:rsidR="004F205E" w:rsidRPr="001B30B3" w:rsidRDefault="001B30B3" w:rsidP="00670D0B">
      <w:pPr>
        <w:spacing w:line="480" w:lineRule="auto"/>
        <w:jc w:val="both"/>
        <w:rPr>
          <w:szCs w:val="22"/>
        </w:rPr>
      </w:pPr>
      <w:r w:rsidRPr="001B30B3">
        <w:rPr>
          <w:szCs w:val="22"/>
        </w:rPr>
        <w:t>Alyxandria M. Schubert, Hamide Sinani, and Patrick D. Schloss*</w:t>
      </w:r>
    </w:p>
    <w:p w14:paraId="57A2EDAD" w14:textId="77777777" w:rsidR="004F205E" w:rsidRPr="001B30B3" w:rsidRDefault="001B30B3" w:rsidP="00670D0B">
      <w:pPr>
        <w:spacing w:line="480" w:lineRule="auto"/>
        <w:jc w:val="both"/>
        <w:rPr>
          <w:szCs w:val="22"/>
        </w:rPr>
      </w:pPr>
      <w:r w:rsidRPr="001B30B3">
        <w:rPr>
          <w:szCs w:val="22"/>
        </w:rPr>
        <w:t>Correspondence:</w:t>
      </w:r>
    </w:p>
    <w:p w14:paraId="2084E42F" w14:textId="77777777" w:rsidR="00670D0B" w:rsidRPr="001B30B3" w:rsidRDefault="001B30B3" w:rsidP="00670D0B">
      <w:pPr>
        <w:pStyle w:val="BlockQuote"/>
        <w:spacing w:line="480" w:lineRule="auto"/>
        <w:jc w:val="both"/>
        <w:rPr>
          <w:rFonts w:ascii="Arial" w:hAnsi="Arial"/>
          <w:sz w:val="22"/>
          <w:szCs w:val="22"/>
        </w:rPr>
      </w:pPr>
      <w:proofErr w:type="gramStart"/>
      <w:r w:rsidRPr="001B30B3">
        <w:rPr>
          <w:rFonts w:ascii="Arial" w:hAnsi="Arial"/>
          <w:sz w:val="22"/>
          <w:szCs w:val="22"/>
        </w:rPr>
        <w:t>Department of Microbiology and Immunology University of Michigan 1520A Medical Science Research Bldg.</w:t>
      </w:r>
      <w:proofErr w:type="gramEnd"/>
      <w:r w:rsidRPr="001B30B3">
        <w:rPr>
          <w:rFonts w:ascii="Arial" w:hAnsi="Arial"/>
          <w:sz w:val="22"/>
          <w:szCs w:val="22"/>
        </w:rPr>
        <w:t xml:space="preserve"> I 1500 W. Medical Center Dr. Ann Arbor, MI 48109 pschloss@umich.edu 734.647.5801</w:t>
      </w:r>
    </w:p>
    <w:p w14:paraId="2532ACDA" w14:textId="77777777" w:rsidR="00670D0B" w:rsidRPr="001B30B3" w:rsidRDefault="00670D0B" w:rsidP="00670D0B">
      <w:pPr>
        <w:jc w:val="both"/>
        <w:rPr>
          <w:szCs w:val="22"/>
        </w:rPr>
        <w:sectPr w:rsidR="00670D0B" w:rsidRPr="001B30B3" w:rsidSect="001B30B3">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241DEF81" w14:textId="77777777" w:rsidR="004F205E" w:rsidRPr="001B30B3" w:rsidRDefault="001B30B3" w:rsidP="00670D0B">
      <w:pPr>
        <w:pStyle w:val="Heading3"/>
        <w:spacing w:line="480" w:lineRule="auto"/>
        <w:jc w:val="both"/>
        <w:rPr>
          <w:rFonts w:ascii="Arial" w:hAnsi="Arial"/>
          <w:sz w:val="22"/>
          <w:szCs w:val="22"/>
        </w:rPr>
      </w:pPr>
      <w:bookmarkStart w:id="0" w:name="abstract"/>
      <w:r w:rsidRPr="001B30B3">
        <w:rPr>
          <w:rFonts w:ascii="Arial" w:hAnsi="Arial"/>
          <w:sz w:val="22"/>
          <w:szCs w:val="22"/>
        </w:rPr>
        <w:lastRenderedPageBreak/>
        <w:t>Abstract</w:t>
      </w:r>
    </w:p>
    <w:bookmarkEnd w:id="0"/>
    <w:p w14:paraId="2B79E635" w14:textId="77777777" w:rsidR="004F205E" w:rsidRPr="001B30B3" w:rsidRDefault="001B30B3" w:rsidP="00670D0B">
      <w:pPr>
        <w:spacing w:line="480" w:lineRule="auto"/>
        <w:jc w:val="both"/>
        <w:rPr>
          <w:szCs w:val="22"/>
        </w:rPr>
      </w:pPr>
      <w:r w:rsidRPr="001B30B3">
        <w:rPr>
          <w:szCs w:val="22"/>
        </w:rPr>
        <w:t xml:space="preserve">Perturbations to the gut microbiota result in a loss of colonization resistance against gastrointestinal pathogens such as </w:t>
      </w:r>
      <w:r w:rsidRPr="001B30B3">
        <w:rPr>
          <w:i/>
          <w:szCs w:val="22"/>
        </w:rPr>
        <w:t>Clostridium difficile</w:t>
      </w:r>
      <w:r w:rsidRPr="001B30B3">
        <w:rPr>
          <w:szCs w:val="22"/>
        </w:rPr>
        <w:t xml:space="preserve">. Although </w:t>
      </w:r>
      <w:r w:rsidRPr="001B30B3">
        <w:rPr>
          <w:i/>
          <w:szCs w:val="22"/>
        </w:rPr>
        <w:t>C. difficile</w:t>
      </w:r>
      <w:r w:rsidRPr="001B30B3">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 then challenged with </w:t>
      </w:r>
      <w:r w:rsidRPr="001B30B3">
        <w:rPr>
          <w:i/>
          <w:szCs w:val="22"/>
        </w:rPr>
        <w:t>C. difficile</w:t>
      </w:r>
      <w:r w:rsidRPr="001B30B3">
        <w:rPr>
          <w:szCs w:val="22"/>
        </w:rPr>
        <w:t xml:space="preserve"> spores. Across these treatments we observed that </w:t>
      </w:r>
      <w:r w:rsidRPr="001B30B3">
        <w:rPr>
          <w:i/>
          <w:szCs w:val="22"/>
        </w:rPr>
        <w:t>C. difficile</w:t>
      </w:r>
      <w:r w:rsidRPr="001B30B3">
        <w:rPr>
          <w:szCs w:val="22"/>
        </w:rPr>
        <w:t xml:space="preserve"> resistance was never attributable to a single organism, but rather it was the result of multiple microbiota members interacting in a context-dependent manner. Using relative abundance data, we built machine learning regression models to predict the levels </w:t>
      </w:r>
      <w:r w:rsidRPr="001B30B3">
        <w:rPr>
          <w:i/>
          <w:szCs w:val="22"/>
        </w:rPr>
        <w:t>C. difficile</w:t>
      </w:r>
      <w:r w:rsidRPr="001B30B3">
        <w:rPr>
          <w:szCs w:val="22"/>
        </w:rPr>
        <w:t xml:space="preserve"> that were found 24 hours after challenging the perturbed communities. This model was able to explain 77.2% of the variation in the observed number of </w:t>
      </w:r>
      <w:r w:rsidRPr="001B30B3">
        <w:rPr>
          <w:i/>
          <w:szCs w:val="22"/>
        </w:rPr>
        <w:t>C. difficile</w:t>
      </w:r>
      <w:r w:rsidRPr="001B30B3">
        <w:rPr>
          <w:szCs w:val="22"/>
        </w:rPr>
        <w:t xml:space="preserve"> per gram of feces. This model revealed important bacterial populations within the microbiota, which correlation analysis alone did not detect. Specifically, we observed that populations associated with the </w:t>
      </w:r>
      <w:r w:rsidRPr="001B30B3">
        <w:rPr>
          <w:i/>
          <w:szCs w:val="22"/>
        </w:rPr>
        <w:t>Porphyromonadaceae</w:t>
      </w:r>
      <w:r w:rsidRPr="001B30B3">
        <w:rPr>
          <w:szCs w:val="22"/>
        </w:rPr>
        <w:t xml:space="preserve">, </w:t>
      </w:r>
      <w:r w:rsidRPr="001B30B3">
        <w:rPr>
          <w:i/>
          <w:szCs w:val="22"/>
        </w:rPr>
        <w:t>Lachnospiraceae</w:t>
      </w:r>
      <w:r w:rsidRPr="001B30B3">
        <w:rPr>
          <w:szCs w:val="22"/>
        </w:rPr>
        <w:t xml:space="preserve">, </w:t>
      </w:r>
      <w:r w:rsidRPr="001B30B3">
        <w:rPr>
          <w:i/>
          <w:szCs w:val="22"/>
        </w:rPr>
        <w:t>Lactobacillus</w:t>
      </w:r>
      <w:r w:rsidRPr="001B30B3">
        <w:rPr>
          <w:szCs w:val="22"/>
        </w:rPr>
        <w:t xml:space="preserve">, and </w:t>
      </w:r>
      <w:r w:rsidRPr="001B30B3">
        <w:rPr>
          <w:i/>
          <w:szCs w:val="22"/>
        </w:rPr>
        <w:t>Alistipes</w:t>
      </w:r>
      <w:r w:rsidRPr="001B30B3">
        <w:rPr>
          <w:szCs w:val="22"/>
        </w:rPr>
        <w:t xml:space="preserve"> were protective and populations associated with </w:t>
      </w:r>
      <w:r w:rsidRPr="001B30B3">
        <w:rPr>
          <w:i/>
          <w:szCs w:val="22"/>
        </w:rPr>
        <w:t>Escherichia</w:t>
      </w:r>
      <w:r w:rsidRPr="001B30B3">
        <w:rPr>
          <w:szCs w:val="22"/>
        </w:rPr>
        <w:t xml:space="preserve"> and </w:t>
      </w:r>
      <w:r w:rsidRPr="001B30B3">
        <w:rPr>
          <w:i/>
          <w:szCs w:val="22"/>
        </w:rPr>
        <w:t>Streptococcus</w:t>
      </w:r>
      <w:r w:rsidRPr="001B30B3">
        <w:rPr>
          <w:szCs w:val="22"/>
        </w:rPr>
        <w:t xml:space="preserve"> were associated with high levels of colonization. In addition, a population affiliated with </w:t>
      </w:r>
      <w:r w:rsidRPr="001B30B3">
        <w:rPr>
          <w:i/>
          <w:szCs w:val="22"/>
        </w:rPr>
        <w:t>Akkermansia</w:t>
      </w:r>
      <w:r w:rsidRPr="001B30B3">
        <w:rPr>
          <w:szCs w:val="22"/>
        </w:rPr>
        <w:t xml:space="preserve"> indicated a strong context dependency on other members of the microbiota. Together, these results indicate that individual bacterial populations do not drive colonization resistance to </w:t>
      </w:r>
      <w:r w:rsidRPr="001B30B3">
        <w:rPr>
          <w:i/>
          <w:szCs w:val="22"/>
        </w:rPr>
        <w:t>C. difficile</w:t>
      </w:r>
      <w:r w:rsidRPr="001B30B3">
        <w:rPr>
          <w:szCs w:val="22"/>
        </w:rPr>
        <w:t>. Rather, resistance can be achieved with multiple diverse assemblages.</w:t>
      </w:r>
    </w:p>
    <w:p w14:paraId="7E813786" w14:textId="77777777" w:rsidR="00670D0B" w:rsidRPr="001B30B3" w:rsidRDefault="00670D0B" w:rsidP="00670D0B">
      <w:pPr>
        <w:jc w:val="both"/>
        <w:rPr>
          <w:szCs w:val="22"/>
        </w:rPr>
        <w:sectPr w:rsidR="00670D0B" w:rsidRPr="001B30B3" w:rsidSect="001B30B3">
          <w:pgSz w:w="12240" w:h="15840"/>
          <w:pgMar w:top="1440" w:right="1440" w:bottom="1440" w:left="1440" w:header="720" w:footer="720" w:gutter="0"/>
          <w:lnNumType w:countBy="1" w:restart="continuous"/>
          <w:cols w:space="720"/>
          <w:docGrid w:linePitch="360"/>
        </w:sectPr>
      </w:pPr>
      <w:bookmarkStart w:id="1" w:name="importance"/>
    </w:p>
    <w:p w14:paraId="3E3BF954" w14:textId="77777777" w:rsidR="004F205E" w:rsidRPr="001B30B3" w:rsidRDefault="001B30B3" w:rsidP="00670D0B">
      <w:pPr>
        <w:pStyle w:val="Heading3"/>
        <w:spacing w:line="480" w:lineRule="auto"/>
        <w:jc w:val="both"/>
        <w:rPr>
          <w:rFonts w:ascii="Arial" w:hAnsi="Arial"/>
          <w:sz w:val="22"/>
          <w:szCs w:val="22"/>
        </w:rPr>
      </w:pPr>
      <w:r w:rsidRPr="001B30B3">
        <w:rPr>
          <w:rFonts w:ascii="Arial" w:hAnsi="Arial"/>
          <w:sz w:val="22"/>
          <w:szCs w:val="22"/>
        </w:rPr>
        <w:lastRenderedPageBreak/>
        <w:t>Importance</w:t>
      </w:r>
    </w:p>
    <w:bookmarkEnd w:id="1"/>
    <w:p w14:paraId="1DD8E9DA" w14:textId="77777777" w:rsidR="004F205E" w:rsidRPr="001B30B3" w:rsidRDefault="001B30B3" w:rsidP="00670D0B">
      <w:pPr>
        <w:spacing w:line="480" w:lineRule="auto"/>
        <w:jc w:val="both"/>
        <w:rPr>
          <w:szCs w:val="22"/>
        </w:rPr>
      </w:pPr>
      <w:r w:rsidRPr="001B30B3">
        <w:rPr>
          <w:szCs w:val="22"/>
        </w:rPr>
        <w:t xml:space="preserve">The gastrointestinal tract harbors a complex community of bacteria, known as the microbiota, which plays an integral role in resisting the invasion by gut pathogens. This resistance has been shown to be crucial for protection against </w:t>
      </w:r>
      <w:r w:rsidRPr="001B30B3">
        <w:rPr>
          <w:i/>
          <w:szCs w:val="22"/>
        </w:rPr>
        <w:t>C. difficile</w:t>
      </w:r>
      <w:r w:rsidRPr="001B30B3">
        <w:rPr>
          <w:szCs w:val="22"/>
        </w:rPr>
        <w:t xml:space="preserve"> infections (CDI), which are the leading source of hospital-acquired infections in the United States. Antibiotics are a major risk factor for acquiring CDI due to their effect on the normal structure of the indigenous gut microbiota. We showed that diverse antibiotic perturbations gave rise to altered communities that varied in their susceptibility to </w:t>
      </w:r>
      <w:r w:rsidRPr="001B30B3">
        <w:rPr>
          <w:i/>
          <w:szCs w:val="22"/>
        </w:rPr>
        <w:t>C. difficile</w:t>
      </w:r>
      <w:r w:rsidRPr="001B30B3">
        <w:rPr>
          <w:szCs w:val="22"/>
        </w:rPr>
        <w:t xml:space="preserve"> colonization. Instead of being dependent on one specific population of bacteria, we found that multiple co-existing populations conferred resistance. By understanding the relationships between </w:t>
      </w:r>
      <w:r w:rsidRPr="001B30B3">
        <w:rPr>
          <w:i/>
          <w:szCs w:val="22"/>
        </w:rPr>
        <w:t>C. difficile</w:t>
      </w:r>
      <w:r w:rsidRPr="001B30B3">
        <w:rPr>
          <w:szCs w:val="22"/>
        </w:rPr>
        <w:t xml:space="preserve"> and members of the microbiota it will be possible to better manage this important infection.</w:t>
      </w:r>
    </w:p>
    <w:p w14:paraId="25901DF9" w14:textId="77777777" w:rsidR="00670D0B" w:rsidRPr="001B30B3" w:rsidRDefault="00670D0B" w:rsidP="00670D0B">
      <w:pPr>
        <w:jc w:val="both"/>
        <w:rPr>
          <w:szCs w:val="22"/>
        </w:rPr>
        <w:sectPr w:rsidR="00670D0B" w:rsidRPr="001B30B3" w:rsidSect="001B30B3">
          <w:pgSz w:w="12240" w:h="15840"/>
          <w:pgMar w:top="1440" w:right="1440" w:bottom="1440" w:left="1440" w:header="720" w:footer="720" w:gutter="0"/>
          <w:lnNumType w:countBy="1" w:restart="continuous"/>
          <w:cols w:space="720"/>
          <w:docGrid w:linePitch="360"/>
        </w:sectPr>
      </w:pPr>
      <w:bookmarkStart w:id="2" w:name="introduction"/>
    </w:p>
    <w:p w14:paraId="24DAA1C4" w14:textId="77777777" w:rsidR="004F205E" w:rsidRPr="001B30B3" w:rsidRDefault="001B30B3" w:rsidP="00670D0B">
      <w:pPr>
        <w:pStyle w:val="Heading3"/>
        <w:spacing w:line="480" w:lineRule="auto"/>
        <w:jc w:val="both"/>
        <w:rPr>
          <w:rFonts w:ascii="Arial" w:hAnsi="Arial"/>
          <w:sz w:val="22"/>
          <w:szCs w:val="22"/>
        </w:rPr>
      </w:pPr>
      <w:r w:rsidRPr="001B30B3">
        <w:rPr>
          <w:rFonts w:ascii="Arial" w:hAnsi="Arial"/>
          <w:sz w:val="22"/>
          <w:szCs w:val="22"/>
        </w:rPr>
        <w:lastRenderedPageBreak/>
        <w:t>Introduction</w:t>
      </w:r>
    </w:p>
    <w:bookmarkEnd w:id="2"/>
    <w:p w14:paraId="727C9A8A" w14:textId="77777777" w:rsidR="004F205E" w:rsidRPr="001B30B3" w:rsidRDefault="001B30B3" w:rsidP="00670D0B">
      <w:pPr>
        <w:spacing w:line="480" w:lineRule="auto"/>
        <w:jc w:val="both"/>
        <w:rPr>
          <w:szCs w:val="22"/>
        </w:rPr>
      </w:pPr>
      <w:r w:rsidRPr="001B30B3">
        <w:rPr>
          <w:szCs w:val="22"/>
        </w:rPr>
        <w:t xml:space="preserve">The microbiota, or the diverse community of microorganisms living in and on the body, has an integral role in deterring pathogen colonization and infection {Vollaard, 1994 #683}. This native protection by the microbiota from invasive pathogenic species is termed colonization resistance. It is well established that the gut bacterial microbiota is critical in the hosts’ defense against the pathogen </w:t>
      </w:r>
      <w:r w:rsidRPr="001B30B3">
        <w:rPr>
          <w:i/>
          <w:szCs w:val="22"/>
        </w:rPr>
        <w:t>Clostridium difficile</w:t>
      </w:r>
      <w:r w:rsidRPr="001B30B3">
        <w:rPr>
          <w:szCs w:val="22"/>
        </w:rPr>
        <w:t xml:space="preserve"> {Wilson, 1985 #1045}{Chang, 2008 #590}{Reeves, 2011 #118}.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 </w:t>
      </w:r>
      <w:r w:rsidRPr="001B30B3">
        <w:rPr>
          <w:i/>
          <w:szCs w:val="22"/>
        </w:rPr>
        <w:t>C. difficile</w:t>
      </w:r>
      <w:r w:rsidRPr="001B30B3">
        <w:rPr>
          <w:szCs w:val="22"/>
        </w:rPr>
        <w:t xml:space="preserve"> spores from their environment {Bauer, 2015 #1047}. </w:t>
      </w:r>
      <w:r w:rsidRPr="001B30B3">
        <w:rPr>
          <w:i/>
          <w:szCs w:val="22"/>
        </w:rPr>
        <w:t xml:space="preserve">C. </w:t>
      </w:r>
      <w:proofErr w:type="gramStart"/>
      <w:r w:rsidRPr="001B30B3">
        <w:rPr>
          <w:i/>
          <w:szCs w:val="22"/>
        </w:rPr>
        <w:t>difficile</w:t>
      </w:r>
      <w:proofErr w:type="gramEnd"/>
      <w:r w:rsidRPr="001B30B3">
        <w:rPr>
          <w:szCs w:val="22"/>
        </w:rPr>
        <w:t xml:space="preserve"> infections (CDI) are the most reported hospital-acquired infection in the United States and are responsible for 14,000 deaths a year {Lessa, 2015 #950}.</w:t>
      </w:r>
    </w:p>
    <w:p w14:paraId="3141A522" w14:textId="77777777" w:rsidR="004F205E" w:rsidRPr="001B30B3" w:rsidRDefault="001B30B3" w:rsidP="00670D0B">
      <w:pPr>
        <w:spacing w:line="480" w:lineRule="auto"/>
        <w:jc w:val="both"/>
        <w:rPr>
          <w:szCs w:val="22"/>
        </w:rPr>
      </w:pPr>
      <w:r w:rsidRPr="001B30B3">
        <w:rPr>
          <w:szCs w:val="22"/>
        </w:rPr>
        <w:t xml:space="preserve">It is not completely understood how different perturbations to the gut microbiota result in a loss of colonization resistance to </w:t>
      </w:r>
      <w:r w:rsidRPr="001B30B3">
        <w:rPr>
          <w:i/>
          <w:szCs w:val="22"/>
        </w:rPr>
        <w:t>C. difficile</w:t>
      </w:r>
      <w:r w:rsidRPr="001B30B3">
        <w:rPr>
          <w:szCs w:val="22"/>
        </w:rPr>
        <w:t xml:space="preserve">. There is a clear need to better understand the ecology of </w:t>
      </w:r>
      <w:r w:rsidRPr="001B30B3">
        <w:rPr>
          <w:i/>
          <w:szCs w:val="22"/>
        </w:rPr>
        <w:t>C. difficile</w:t>
      </w:r>
      <w:r w:rsidRPr="001B30B3">
        <w:rPr>
          <w:szCs w:val="22"/>
        </w:rPr>
        <w:t xml:space="preserve"> and its interactions with members of the microbiota. In mouse models of CDI, the baseline, untreated murine microbiota is completely resistant to </w:t>
      </w:r>
      <w:r w:rsidRPr="001B30B3">
        <w:rPr>
          <w:i/>
          <w:szCs w:val="22"/>
        </w:rPr>
        <w:t>C. difficile</w:t>
      </w:r>
      <w:r w:rsidRPr="001B30B3">
        <w:rPr>
          <w:szCs w:val="22"/>
        </w:rPr>
        <w:t xml:space="preserve"> colonization. It was previously shown that C57Bl/6 mice treated with cefoperazone {Reeves, 2011 #118}{Theriot, 2011 #79}, tigecycline {Bassis, 2014 #945}, clindamycin {Buffie, 2012 #977}, or clindamycin in combination with a five antibiotic cocktail {Chang, 2008 #590} had decreased colonization resistance. These studies suggest that a loss of </w:t>
      </w:r>
      <w:r w:rsidRPr="001B30B3">
        <w:rPr>
          <w:i/>
          <w:szCs w:val="22"/>
        </w:rPr>
        <w:t>Lachnospiraceae</w:t>
      </w:r>
      <w:r w:rsidRPr="001B30B3">
        <w:rPr>
          <w:szCs w:val="22"/>
        </w:rPr>
        <w:t xml:space="preserve"> and </w:t>
      </w:r>
      <w:r w:rsidRPr="001B30B3">
        <w:rPr>
          <w:i/>
          <w:szCs w:val="22"/>
        </w:rPr>
        <w:t>Barnesiella</w:t>
      </w:r>
      <w:r w:rsidRPr="001B30B3">
        <w:rPr>
          <w:szCs w:val="22"/>
        </w:rPr>
        <w:t xml:space="preserve"> and a bloom of </w:t>
      </w:r>
      <w:r w:rsidRPr="001B30B3">
        <w:rPr>
          <w:i/>
          <w:szCs w:val="22"/>
        </w:rPr>
        <w:t>Lactobacilliaceae</w:t>
      </w:r>
      <w:r w:rsidRPr="001B30B3">
        <w:rPr>
          <w:szCs w:val="22"/>
        </w:rPr>
        <w:t xml:space="preserve"> and </w:t>
      </w:r>
      <w:r w:rsidRPr="001B30B3">
        <w:rPr>
          <w:i/>
          <w:szCs w:val="22"/>
        </w:rPr>
        <w:t>Enterobacteriaceae</w:t>
      </w:r>
      <w:r w:rsidRPr="001B30B3">
        <w:rPr>
          <w:szCs w:val="22"/>
        </w:rPr>
        <w:t xml:space="preserve"> are responsible for the loss of colonization resistance. These results are largely supported by human association studies {Vincent, 2013 #37}{Schubert, 2014 #1048}. We observed significant differences between the gut microbiota of hospitalized individuals with and without </w:t>
      </w:r>
      <w:r w:rsidRPr="001B30B3">
        <w:rPr>
          <w:i/>
          <w:szCs w:val="22"/>
        </w:rPr>
        <w:t>C. difficile</w:t>
      </w:r>
      <w:r w:rsidRPr="001B30B3">
        <w:rPr>
          <w:szCs w:val="22"/>
        </w:rPr>
        <w:t xml:space="preserve"> and non-hospitalized controls {Schubert, 2014 #1048}. In addition, fecal microbiota transplants increase </w:t>
      </w:r>
      <w:r w:rsidRPr="001B30B3">
        <w:rPr>
          <w:i/>
          <w:szCs w:val="22"/>
        </w:rPr>
        <w:t>Bacteroidetes</w:t>
      </w:r>
      <w:r w:rsidRPr="001B30B3">
        <w:rPr>
          <w:szCs w:val="22"/>
        </w:rPr>
        <w:t xml:space="preserve"> and decrease </w:t>
      </w:r>
      <w:r w:rsidRPr="001B30B3">
        <w:rPr>
          <w:i/>
          <w:szCs w:val="22"/>
        </w:rPr>
        <w:lastRenderedPageBreak/>
        <w:t>Proteobacteria</w:t>
      </w:r>
      <w:r w:rsidRPr="001B30B3">
        <w:rPr>
          <w:szCs w:val="22"/>
        </w:rPr>
        <w:t xml:space="preserve"> levels in recipients, resulting in a successful restoration of colonization resistance in patients {Seekatz, 2014 #1051}. Precisely how this occurs is not fully understood, but it emphasizes the importance of the gut microbiota in colonization resistance against </w:t>
      </w:r>
      <w:r w:rsidRPr="001B30B3">
        <w:rPr>
          <w:i/>
          <w:szCs w:val="22"/>
        </w:rPr>
        <w:t>C. difficile</w:t>
      </w:r>
      <w:r w:rsidRPr="001B30B3">
        <w:rPr>
          <w:szCs w:val="22"/>
        </w:rPr>
        <w:t>.</w:t>
      </w:r>
    </w:p>
    <w:p w14:paraId="3E68CCB6" w14:textId="77777777" w:rsidR="004F205E" w:rsidRPr="001B30B3" w:rsidRDefault="001B30B3" w:rsidP="00670D0B">
      <w:pPr>
        <w:spacing w:line="480" w:lineRule="auto"/>
        <w:jc w:val="both"/>
        <w:rPr>
          <w:szCs w:val="22"/>
        </w:rPr>
      </w:pPr>
      <w:r w:rsidRPr="001B30B3">
        <w:rPr>
          <w:szCs w:val="22"/>
        </w:rPr>
        <w:t xml:space="preserve">Because the gut microbiota is a complex community we need tools that can enable us to dissect the interactions within the community and with </w:t>
      </w:r>
      <w:r w:rsidRPr="001B30B3">
        <w:rPr>
          <w:i/>
          <w:szCs w:val="22"/>
        </w:rPr>
        <w:t>C. difficile</w:t>
      </w:r>
      <w:r w:rsidRPr="001B30B3">
        <w:rPr>
          <w:szCs w:val="22"/>
        </w:rPr>
        <w:t xml:space="preserve">. One approach is the use of models to identify associations between members of the microbiota and </w:t>
      </w:r>
      <w:r w:rsidRPr="001B30B3">
        <w:rPr>
          <w:i/>
          <w:szCs w:val="22"/>
        </w:rPr>
        <w:t>C. difficile</w:t>
      </w:r>
      <w:r w:rsidRPr="001B30B3">
        <w:rPr>
          <w:szCs w:val="22"/>
        </w:rPr>
        <w:t xml:space="preserve">. Models have been used to predict </w:t>
      </w:r>
      <w:r w:rsidRPr="001B30B3">
        <w:rPr>
          <w:i/>
          <w:szCs w:val="22"/>
        </w:rPr>
        <w:t>C. difficile</w:t>
      </w:r>
      <w:r w:rsidRPr="001B30B3">
        <w:rPr>
          <w:szCs w:val="22"/>
        </w:rPr>
        <w:t xml:space="preserve"> {Stein, 2013 #988}{Schubert, 2014 #1048} and </w:t>
      </w:r>
      <w:r w:rsidRPr="001B30B3">
        <w:rPr>
          <w:i/>
          <w:szCs w:val="22"/>
        </w:rPr>
        <w:t>Citrobacter</w:t>
      </w:r>
      <w:r w:rsidRPr="001B30B3">
        <w:rPr>
          <w:szCs w:val="22"/>
        </w:rPr>
        <w:t xml:space="preserve"> infection {Belzer, 2014 #1053}, colon cancer {Zackular, 2013 #472}, and psoriasis {Statnikov, 2013 #477} based on the composition of the gut microbiota. By using models to explain the relationship between members of the gut microbiota, we hope to identify the subset of the normal murine microbiota that are responsible for colonization resistance.</w:t>
      </w:r>
    </w:p>
    <w:p w14:paraId="55824745" w14:textId="77777777" w:rsidR="004F205E" w:rsidRPr="001B30B3" w:rsidRDefault="001B30B3" w:rsidP="00670D0B">
      <w:pPr>
        <w:spacing w:line="480" w:lineRule="auto"/>
        <w:jc w:val="both"/>
        <w:rPr>
          <w:szCs w:val="22"/>
        </w:rPr>
      </w:pPr>
      <w:r w:rsidRPr="001B30B3">
        <w:rPr>
          <w:szCs w:val="22"/>
        </w:rPr>
        <w:t xml:space="preserve">The purpose of this investigation was to expand our current knowledge of the effects of various perturbations on colonization resistance against </w:t>
      </w:r>
      <w:r w:rsidRPr="001B30B3">
        <w:rPr>
          <w:i/>
          <w:szCs w:val="22"/>
        </w:rPr>
        <w:t>C. difficile</w:t>
      </w:r>
      <w:r w:rsidRPr="001B30B3">
        <w:rPr>
          <w:szCs w:val="22"/>
        </w:rPr>
        <w:t xml:space="preserve">. Through the administration of different antibiotic classes, doses, recovery times we altered the murine gut microbiota and challenged the communities with C. difficile spores and observed differences in colonization resistance. We then used 16S rRNA gene sequencing to identify structural changes within the microbiota that would be predictive of colonization resistance. Using these data, we built a random forest model to predict </w:t>
      </w:r>
      <w:r w:rsidRPr="001B30B3">
        <w:rPr>
          <w:i/>
          <w:szCs w:val="22"/>
        </w:rPr>
        <w:t>C. difficile</w:t>
      </w:r>
      <w:r w:rsidRPr="001B30B3">
        <w:rPr>
          <w:szCs w:val="22"/>
        </w:rPr>
        <w:t xml:space="preserve"> colonization levels. Through this analysis, we have identified groups of related bacteria that are associated with </w:t>
      </w:r>
      <w:r w:rsidRPr="001B30B3">
        <w:rPr>
          <w:i/>
          <w:szCs w:val="22"/>
        </w:rPr>
        <w:t>C. difficile</w:t>
      </w:r>
      <w:r w:rsidRPr="001B30B3">
        <w:rPr>
          <w:szCs w:val="22"/>
        </w:rPr>
        <w:t xml:space="preserve"> 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p w14:paraId="01F50427" w14:textId="77777777" w:rsidR="004F205E" w:rsidRPr="001B30B3" w:rsidRDefault="001B30B3" w:rsidP="00670D0B">
      <w:pPr>
        <w:pStyle w:val="Heading3"/>
        <w:spacing w:line="480" w:lineRule="auto"/>
        <w:jc w:val="both"/>
        <w:rPr>
          <w:rFonts w:ascii="Arial" w:hAnsi="Arial"/>
          <w:sz w:val="22"/>
          <w:szCs w:val="22"/>
        </w:rPr>
      </w:pPr>
      <w:bookmarkStart w:id="3" w:name="results"/>
      <w:r w:rsidRPr="001B30B3">
        <w:rPr>
          <w:rFonts w:ascii="Arial" w:hAnsi="Arial"/>
          <w:sz w:val="22"/>
          <w:szCs w:val="22"/>
        </w:rPr>
        <w:lastRenderedPageBreak/>
        <w:t>Results</w:t>
      </w:r>
    </w:p>
    <w:bookmarkEnd w:id="3"/>
    <w:p w14:paraId="2FACF6BB" w14:textId="77777777" w:rsidR="004F205E" w:rsidRPr="001B30B3" w:rsidRDefault="001B30B3" w:rsidP="00670D0B">
      <w:pPr>
        <w:spacing w:line="480" w:lineRule="auto"/>
        <w:jc w:val="both"/>
        <w:rPr>
          <w:szCs w:val="22"/>
        </w:rPr>
      </w:pPr>
      <w:r w:rsidRPr="001B30B3">
        <w:rPr>
          <w:b/>
          <w:szCs w:val="22"/>
        </w:rPr>
        <w:t>Antibiotics differentially alter the structure of the microbiota and their colonization resistance to* C. difficile</w:t>
      </w:r>
      <w:proofErr w:type="gramStart"/>
      <w:r w:rsidRPr="001B30B3">
        <w:rPr>
          <w:b/>
          <w:i/>
          <w:szCs w:val="22"/>
        </w:rPr>
        <w:t>.</w:t>
      </w:r>
      <w:r w:rsidRPr="001B30B3">
        <w:rPr>
          <w:b/>
          <w:szCs w:val="22"/>
        </w:rPr>
        <w:t>*</w:t>
      </w:r>
      <w:proofErr w:type="gramEnd"/>
      <w:r w:rsidRPr="001B30B3">
        <w:rPr>
          <w:b/>
          <w:szCs w:val="22"/>
        </w:rPr>
        <w:t xml:space="preserve"> We selected a panel of seven antibiotics from six classes with the goal of differentially altering the microbiota and assessing their resistance to </w:t>
      </w:r>
      <w:r w:rsidRPr="001B30B3">
        <w:rPr>
          <w:b/>
          <w:i/>
          <w:szCs w:val="22"/>
        </w:rPr>
        <w:t>C. difficile</w:t>
      </w:r>
      <w:r w:rsidRPr="001B30B3">
        <w:rPr>
          <w:b/>
          <w:szCs w:val="22"/>
        </w:rPr>
        <w:t xml:space="preserve"> colonization (</w:t>
      </w:r>
      <w:r w:rsidRPr="001B30B3">
        <w:rPr>
          <w:szCs w:val="22"/>
        </w:rPr>
        <w:t>Table 1</w:t>
      </w:r>
      <w:r w:rsidRPr="001B30B3">
        <w:rPr>
          <w:b/>
          <w:szCs w:val="22"/>
        </w:rPr>
        <w:t xml:space="preserve">). On the day after the mice were challenged with </w:t>
      </w:r>
      <w:r w:rsidRPr="001B30B3">
        <w:rPr>
          <w:b/>
          <w:i/>
          <w:szCs w:val="22"/>
        </w:rPr>
        <w:t>C. difficile</w:t>
      </w:r>
      <w:r w:rsidRPr="001B30B3">
        <w:rPr>
          <w:b/>
          <w:szCs w:val="22"/>
        </w:rPr>
        <w:t xml:space="preserve"> we enumerated the density of </w:t>
      </w:r>
      <w:r w:rsidRPr="001B30B3">
        <w:rPr>
          <w:b/>
          <w:i/>
          <w:szCs w:val="22"/>
        </w:rPr>
        <w:t>C. difficile</w:t>
      </w:r>
      <w:r w:rsidRPr="001B30B3">
        <w:rPr>
          <w:b/>
          <w:szCs w:val="22"/>
        </w:rPr>
        <w:t xml:space="preserve"> in the animals' feces. We observed reproducibly high levels of </w:t>
      </w:r>
      <w:r w:rsidRPr="001B30B3">
        <w:rPr>
          <w:b/>
          <w:i/>
          <w:szCs w:val="22"/>
        </w:rPr>
        <w:t>C. difficile</w:t>
      </w:r>
      <w:r w:rsidRPr="001B30B3">
        <w:rPr>
          <w:b/>
          <w:szCs w:val="22"/>
        </w:rPr>
        <w:t xml:space="preserve"> colonization in mice treated with cefoperazone, metronidazole, and streptomycin (</w:t>
      </w:r>
      <w:r w:rsidRPr="001B30B3">
        <w:rPr>
          <w:szCs w:val="22"/>
        </w:rPr>
        <w:t>Figure 1</w:t>
      </w:r>
      <w:r w:rsidRPr="001B30B3">
        <w:rPr>
          <w:b/>
          <w:szCs w:val="22"/>
        </w:rPr>
        <w:t xml:space="preserve">). We observed variable levels of </w:t>
      </w:r>
      <w:r w:rsidRPr="001B30B3">
        <w:rPr>
          <w:b/>
          <w:i/>
          <w:szCs w:val="22"/>
        </w:rPr>
        <w:t>C. difficile</w:t>
      </w:r>
      <w:r w:rsidRPr="001B30B3">
        <w:rPr>
          <w:b/>
          <w:szCs w:val="22"/>
        </w:rPr>
        <w:t xml:space="preserve"> colonization in mice treated with ampicillin. Only one of six mice receiving vancomycin was colonized with </w:t>
      </w:r>
      <w:r w:rsidRPr="001B30B3">
        <w:rPr>
          <w:b/>
          <w:i/>
          <w:szCs w:val="22"/>
        </w:rPr>
        <w:t>C. difficile</w:t>
      </w:r>
      <w:r w:rsidRPr="001B30B3">
        <w:rPr>
          <w:b/>
          <w:szCs w:val="22"/>
        </w:rPr>
        <w:t xml:space="preserve"> and none of the mice that received ciprofloxacin were colonized. We sequenced the 16S rRNA genes from the fecal communities of treated and untreated mice prior to </w:t>
      </w:r>
      <w:r w:rsidRPr="001B30B3">
        <w:rPr>
          <w:b/>
          <w:i/>
          <w:szCs w:val="22"/>
        </w:rPr>
        <w:t>C. difficile</w:t>
      </w:r>
      <w:r w:rsidRPr="001B30B3">
        <w:rPr>
          <w:b/>
          <w:szCs w:val="22"/>
        </w:rPr>
        <w:t xml:space="preserve"> challenge to identify populations within the microbiota that conferred colonization resistance. All of the antibiotic treatments, except for the ciprofloxacin-treated mice (AMOVA</w:t>
      </w:r>
      <w:proofErr w:type="gramStart"/>
      <w:r w:rsidRPr="001B30B3">
        <w:rPr>
          <w:b/>
          <w:szCs w:val="22"/>
        </w:rPr>
        <w:t>, ,</w:t>
      </w:r>
      <w:proofErr w:type="gramEnd"/>
      <w:r w:rsidRPr="001B30B3">
        <w:rPr>
          <w:b/>
          <w:szCs w:val="22"/>
        </w:rPr>
        <w:t xml:space="preserve"> P=0.09), resulted in distinct and reproducible changes to the structure of the microbiota relative to the untreated animals (</w:t>
      </w:r>
      <w:r w:rsidRPr="001B30B3">
        <w:rPr>
          <w:szCs w:val="22"/>
        </w:rPr>
        <w:t xml:space="preserve">Figures 1 and S1**; AMOVA, ,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1B30B3">
        <w:rPr>
          <w:i/>
          <w:szCs w:val="22"/>
        </w:rPr>
        <w:t>C. difficile</w:t>
      </w:r>
      <w:r w:rsidRPr="001B30B3">
        <w:rPr>
          <w:szCs w:val="22"/>
        </w:rPr>
        <w:t>.</w:t>
      </w:r>
    </w:p>
    <w:p w14:paraId="19821E02" w14:textId="77777777" w:rsidR="004F205E" w:rsidRPr="001B30B3" w:rsidRDefault="001B30B3" w:rsidP="00670D0B">
      <w:pPr>
        <w:spacing w:line="480" w:lineRule="auto"/>
        <w:jc w:val="both"/>
        <w:rPr>
          <w:szCs w:val="22"/>
        </w:rPr>
      </w:pPr>
      <w:r w:rsidRPr="001B30B3">
        <w:rPr>
          <w:b/>
          <w:szCs w:val="22"/>
        </w:rPr>
        <w:t>Reduced perturbations result in altered levels of colonization.</w:t>
      </w:r>
      <w:r w:rsidRPr="001B30B3">
        <w:rPr>
          <w:szCs w:val="22"/>
        </w:rPr>
        <w:t xml:space="preserve"> Based on the </w:t>
      </w:r>
      <w:r w:rsidRPr="001B30B3">
        <w:rPr>
          <w:i/>
          <w:szCs w:val="22"/>
        </w:rPr>
        <w:t>C. difficile</w:t>
      </w:r>
      <w:r w:rsidRPr="001B30B3">
        <w:rPr>
          <w:szCs w:val="22"/>
        </w:rPr>
        <w:t xml:space="preserve"> colonization levels in our seven antibiotic treatments, we hypothesized that titrating the dose of antibiotics that the mice received would result in smaller perturbations to the microbiota and a reduced sensitivity to </w:t>
      </w:r>
      <w:r w:rsidRPr="001B30B3">
        <w:rPr>
          <w:i/>
          <w:szCs w:val="22"/>
        </w:rPr>
        <w:t>C. difficile</w:t>
      </w:r>
      <w:r w:rsidRPr="001B30B3">
        <w:rPr>
          <w:szCs w:val="22"/>
        </w:rPr>
        <w:t xml:space="preserve">. In addition to the previous treatments, we treated mice with </w:t>
      </w:r>
      <w:r w:rsidRPr="001B30B3">
        <w:rPr>
          <w:szCs w:val="22"/>
        </w:rPr>
        <w:lastRenderedPageBreak/>
        <w:t>lower concentrations of cefoperazone, streptomycin, and vancomycin (</w:t>
      </w:r>
      <w:r w:rsidRPr="001B30B3">
        <w:rPr>
          <w:b/>
          <w:szCs w:val="22"/>
        </w:rPr>
        <w:t>Figures 2 and S2</w:t>
      </w:r>
      <w:r w:rsidRPr="001B30B3">
        <w:rPr>
          <w:szCs w:val="22"/>
        </w:rPr>
        <w:t>). These antibiotics were selected because they are thought to target a broad spectrum of bacteria (i.e. cefoperazone), Gram-negative (i.e. streptomycin), and Gram-positive (i.e. vancomycin) bacteria (</w:t>
      </w:r>
      <w:r w:rsidRPr="001B30B3">
        <w:rPr>
          <w:b/>
          <w:szCs w:val="22"/>
        </w:rPr>
        <w:t>Table 1</w:t>
      </w:r>
      <w:r w:rsidRPr="001B30B3">
        <w:rPr>
          <w:szCs w:val="22"/>
        </w:rPr>
        <w:t xml:space="preserve">). As expected, colonization levels decreased significantly in all mice receiving titrated doses of cefoperazone (P&lt;0.02; </w:t>
      </w:r>
      <w:r w:rsidRPr="001B30B3">
        <w:rPr>
          <w:b/>
          <w:szCs w:val="22"/>
        </w:rPr>
        <w:t>Figure 2</w:t>
      </w:r>
      <w:r w:rsidRPr="001B30B3">
        <w:rPr>
          <w:szCs w:val="22"/>
        </w:rPr>
        <w:t xml:space="preserve">). Titrating the dose of cefoperazone in the animals' drinking water resulted in significant decreases in the relative abundance of an OTU associated with the genus </w:t>
      </w:r>
      <w:r w:rsidRPr="001B30B3">
        <w:rPr>
          <w:i/>
          <w:szCs w:val="22"/>
        </w:rPr>
        <w:t>Escherichia</w:t>
      </w:r>
      <w:r w:rsidRPr="001B30B3">
        <w:rPr>
          <w:szCs w:val="22"/>
        </w:rPr>
        <w:t xml:space="preserve"> (OTU 3) and increases in the relative abundances of an OTU associated with the family </w:t>
      </w:r>
      <w:r w:rsidRPr="001B30B3">
        <w:rPr>
          <w:i/>
          <w:szCs w:val="22"/>
        </w:rPr>
        <w:t>Porphyromonadaceae</w:t>
      </w:r>
      <w:r w:rsidRPr="001B30B3">
        <w:rPr>
          <w:szCs w:val="22"/>
        </w:rPr>
        <w:t xml:space="preserve"> (OTU 5) and an OTU associated with the genus </w:t>
      </w:r>
      <w:r w:rsidRPr="001B30B3">
        <w:rPr>
          <w:i/>
          <w:szCs w:val="22"/>
        </w:rPr>
        <w:t>Pseudomonas</w:t>
      </w:r>
      <w:r w:rsidRPr="001B30B3">
        <w:rPr>
          <w:szCs w:val="22"/>
        </w:rPr>
        <w:t xml:space="preserve"> (OTU 65; Figure 2). The dose response for these three OTUs qualitatively followed what we had expected based on the correlation-based analysis. Reducing the dose of streptomycin significantly reduced the colonization levels (P&lt;0.01; Figure 2). Titrating the dose of streptomycin in the drinking water resulted in significant changes in the relative abundance of OTUs associated with the </w:t>
      </w:r>
      <w:r w:rsidRPr="001B30B3">
        <w:rPr>
          <w:i/>
          <w:szCs w:val="22"/>
        </w:rPr>
        <w:t>Porphyromonadaceae</w:t>
      </w:r>
      <w:r w:rsidRPr="001B30B3">
        <w:rPr>
          <w:szCs w:val="22"/>
        </w:rPr>
        <w:t xml:space="preserve"> (OTUs 2, 3, 5, 9, 10, 13), </w:t>
      </w:r>
      <w:r w:rsidRPr="001B30B3">
        <w:rPr>
          <w:i/>
          <w:szCs w:val="22"/>
        </w:rPr>
        <w:t>Alistipes</w:t>
      </w:r>
      <w:r w:rsidRPr="001B30B3">
        <w:rPr>
          <w:szCs w:val="22"/>
        </w:rPr>
        <w:t xml:space="preserve"> (OTU 11), and </w:t>
      </w:r>
      <w:r w:rsidRPr="001B30B3">
        <w:rPr>
          <w:i/>
          <w:szCs w:val="22"/>
        </w:rPr>
        <w:t>Bacteroidales</w:t>
      </w:r>
      <w:r w:rsidRPr="001B30B3">
        <w:rPr>
          <w:szCs w:val="22"/>
        </w:rPr>
        <w:t xml:space="preserve"> (OTU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 </w:t>
      </w:r>
      <w:r w:rsidRPr="001B30B3">
        <w:rPr>
          <w:i/>
          <w:szCs w:val="22"/>
        </w:rPr>
        <w:t>Porphyromonadaceae</w:t>
      </w:r>
      <w:r w:rsidRPr="001B30B3">
        <w:rPr>
          <w:szCs w:val="22"/>
        </w:rPr>
        <w:t xml:space="preserve"> (OTUs 2, 3, and 5) and one was affiliated with a member of the genus </w:t>
      </w:r>
      <w:r w:rsidRPr="001B30B3">
        <w:rPr>
          <w:i/>
          <w:szCs w:val="22"/>
        </w:rPr>
        <w:t>Bacteroides</w:t>
      </w:r>
      <w:r w:rsidRPr="001B30B3">
        <w:rPr>
          <w:szCs w:val="22"/>
        </w:rPr>
        <w:t xml:space="preserve"> (OTU 1). Two OTUs affiliated with the </w:t>
      </w:r>
      <w:r w:rsidRPr="001B30B3">
        <w:rPr>
          <w:i/>
          <w:szCs w:val="22"/>
        </w:rPr>
        <w:t>Akkermansia</w:t>
      </w:r>
      <w:r w:rsidRPr="001B30B3">
        <w:rPr>
          <w:szCs w:val="22"/>
        </w:rPr>
        <w:t xml:space="preserve"> (OTU 6) and </w:t>
      </w:r>
      <w:r w:rsidRPr="001B30B3">
        <w:rPr>
          <w:i/>
          <w:szCs w:val="22"/>
        </w:rPr>
        <w:t>Lactobacillus</w:t>
      </w:r>
      <w:r w:rsidRPr="001B30B3">
        <w:rPr>
          <w:szCs w:val="22"/>
        </w:rPr>
        <w:t xml:space="preserve"> (OTU 8) genera increased with increasing dose and a third OTU affiliated with </w:t>
      </w:r>
      <w:r w:rsidRPr="001B30B3">
        <w:rPr>
          <w:i/>
          <w:szCs w:val="22"/>
        </w:rPr>
        <w:t>Escherichia</w:t>
      </w:r>
      <w:r w:rsidRPr="001B30B3">
        <w:rPr>
          <w:szCs w:val="22"/>
        </w:rPr>
        <w:t xml:space="preserve"> (OTU 4) had a mixed response to the dose level. These results suggest that the </w:t>
      </w:r>
      <w:r w:rsidRPr="001B30B3">
        <w:rPr>
          <w:szCs w:val="22"/>
        </w:rPr>
        <w:lastRenderedPageBreak/>
        <w:t xml:space="preserve">context of the microbiota is important in determining the overall resistance to </w:t>
      </w:r>
      <w:r w:rsidRPr="001B30B3">
        <w:rPr>
          <w:i/>
          <w:szCs w:val="22"/>
        </w:rPr>
        <w:t>C. difficile</w:t>
      </w:r>
      <w:r w:rsidRPr="001B30B3">
        <w:rPr>
          <w:szCs w:val="22"/>
        </w:rPr>
        <w:t xml:space="preserve">. For example, the relationship between the </w:t>
      </w:r>
      <w:r w:rsidRPr="001B30B3">
        <w:rPr>
          <w:i/>
          <w:szCs w:val="22"/>
        </w:rPr>
        <w:t>Bacteroides</w:t>
      </w:r>
      <w:r w:rsidRPr="001B30B3">
        <w:rPr>
          <w:szCs w:val="22"/>
        </w:rPr>
        <w:t xml:space="preserve"> (OTU 1) and </w:t>
      </w:r>
      <w:r w:rsidRPr="001B30B3">
        <w:rPr>
          <w:i/>
          <w:szCs w:val="22"/>
        </w:rPr>
        <w:t>C. difficile</w:t>
      </w:r>
      <w:r w:rsidRPr="001B30B3">
        <w:rPr>
          <w:szCs w:val="22"/>
        </w:rPr>
        <w:t xml:space="preserve"> colonization is positive in streptomycin-treated mice and it is negative in cefoperazone-treated mice. In addition, cefoperazone and streptomycin-treated mice have high levels of </w:t>
      </w:r>
      <w:r w:rsidRPr="001B30B3">
        <w:rPr>
          <w:i/>
          <w:szCs w:val="22"/>
        </w:rPr>
        <w:t>C. difficile</w:t>
      </w:r>
      <w:r w:rsidRPr="001B30B3">
        <w:rPr>
          <w:szCs w:val="22"/>
        </w:rPr>
        <w:t xml:space="preserve"> although the former have significantly higher levels of </w:t>
      </w:r>
      <w:r w:rsidRPr="001B30B3">
        <w:rPr>
          <w:i/>
          <w:szCs w:val="22"/>
        </w:rPr>
        <w:t>Escherichia</w:t>
      </w:r>
      <w:r w:rsidRPr="001B30B3">
        <w:rPr>
          <w:szCs w:val="22"/>
        </w:rPr>
        <w:t xml:space="preserve"> (OTU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14:paraId="2FC5F471" w14:textId="77777777" w:rsidR="004F205E" w:rsidRPr="001B30B3" w:rsidRDefault="001B30B3" w:rsidP="00670D0B">
      <w:pPr>
        <w:spacing w:line="480" w:lineRule="auto"/>
        <w:jc w:val="both"/>
        <w:rPr>
          <w:szCs w:val="22"/>
        </w:rPr>
      </w:pPr>
      <w:r w:rsidRPr="001B30B3">
        <w:rPr>
          <w:b/>
          <w:szCs w:val="22"/>
        </w:rPr>
        <w:t>Reduced perturbations result in altered levels of colonization.</w:t>
      </w:r>
      <w:r w:rsidRPr="001B30B3">
        <w:rPr>
          <w:szCs w:val="22"/>
        </w:rPr>
        <w:t xml:space="preserve"> Based on the </w:t>
      </w:r>
      <w:r w:rsidRPr="001B30B3">
        <w:rPr>
          <w:i/>
          <w:szCs w:val="22"/>
        </w:rPr>
        <w:t>C. difficile</w:t>
      </w:r>
      <w:r w:rsidRPr="001B30B3">
        <w:rPr>
          <w:szCs w:val="22"/>
        </w:rPr>
        <w:t xml:space="preserve"> colonization levels in our seven antibiotic treatments, we hypothesized that titrating the dose of antibiotics that the mice received would result in smaller perturbations to the microbiota and a reduced sensitivity to </w:t>
      </w:r>
      <w:r w:rsidRPr="001B30B3">
        <w:rPr>
          <w:i/>
          <w:szCs w:val="22"/>
        </w:rPr>
        <w:t>C. difficile</w:t>
      </w:r>
      <w:r w:rsidRPr="001B30B3">
        <w:rPr>
          <w:szCs w:val="22"/>
        </w:rP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water resulted in significant decreases in the relative abundance of an OTU associated with the genus </w:t>
      </w:r>
      <w:r w:rsidRPr="001B30B3">
        <w:rPr>
          <w:i/>
          <w:szCs w:val="22"/>
        </w:rPr>
        <w:t>Escherichia</w:t>
      </w:r>
      <w:r w:rsidRPr="001B30B3">
        <w:rPr>
          <w:szCs w:val="22"/>
        </w:rPr>
        <w:t xml:space="preserve"> (OTU 4) and increases in the relative abundances of an OTU associated with the family </w:t>
      </w:r>
      <w:r w:rsidRPr="001B30B3">
        <w:rPr>
          <w:i/>
          <w:szCs w:val="22"/>
        </w:rPr>
        <w:t>Porphyromonadaceae</w:t>
      </w:r>
      <w:r w:rsidRPr="001B30B3">
        <w:rPr>
          <w:szCs w:val="22"/>
        </w:rPr>
        <w:t xml:space="preserve"> (OTU 9) and an OTU associated with the genus </w:t>
      </w:r>
      <w:r w:rsidRPr="001B30B3">
        <w:rPr>
          <w:i/>
          <w:szCs w:val="22"/>
        </w:rPr>
        <w:t>Pseudomonas</w:t>
      </w:r>
      <w:r w:rsidRPr="001B30B3">
        <w:rPr>
          <w:szCs w:val="22"/>
        </w:rPr>
        <w:t xml:space="preserve"> (OTU 65; </w:t>
      </w:r>
      <w:r w:rsidRPr="001B30B3">
        <w:rPr>
          <w:b/>
          <w:szCs w:val="22"/>
        </w:rPr>
        <w:t>Figure 2</w:t>
      </w:r>
      <w:r w:rsidRPr="001B30B3">
        <w:rPr>
          <w:szCs w:val="22"/>
        </w:rPr>
        <w:t xml:space="preserve">). The dose response for these three OTUs qualitatively followed what we had expected based on the correlation-based analysis. Reducing the dose of streptomycin significantly reduced the colonization levels (P&lt;0.01; </w:t>
      </w:r>
      <w:r w:rsidRPr="001B30B3">
        <w:rPr>
          <w:b/>
          <w:szCs w:val="22"/>
        </w:rPr>
        <w:t>Figure 2</w:t>
      </w:r>
      <w:r w:rsidRPr="001B30B3">
        <w:rPr>
          <w:szCs w:val="22"/>
        </w:rPr>
        <w:t xml:space="preserve">). Titrating the dose of streptomycin in the drinking water resulted in significant changes in the relative abundance of OTUs associated with the </w:t>
      </w:r>
      <w:r w:rsidRPr="001B30B3">
        <w:rPr>
          <w:i/>
          <w:szCs w:val="22"/>
        </w:rPr>
        <w:t>Porphyromonadaceae</w:t>
      </w:r>
      <w:r w:rsidRPr="001B30B3">
        <w:rPr>
          <w:szCs w:val="22"/>
        </w:rPr>
        <w:t xml:space="preserve"> (OTUs 2, 3, 5, 9, 10, 13), </w:t>
      </w:r>
      <w:r w:rsidRPr="001B30B3">
        <w:rPr>
          <w:i/>
          <w:szCs w:val="22"/>
        </w:rPr>
        <w:t>Alistipes</w:t>
      </w:r>
      <w:r w:rsidRPr="001B30B3">
        <w:rPr>
          <w:szCs w:val="22"/>
        </w:rPr>
        <w:t xml:space="preserve"> (OTU 11), </w:t>
      </w:r>
      <w:r w:rsidRPr="001B30B3">
        <w:rPr>
          <w:szCs w:val="22"/>
        </w:rPr>
        <w:lastRenderedPageBreak/>
        <w:t xml:space="preserve">and </w:t>
      </w:r>
      <w:r w:rsidRPr="001B30B3">
        <w:rPr>
          <w:i/>
          <w:szCs w:val="22"/>
        </w:rPr>
        <w:t>Bacteroidales</w:t>
      </w:r>
      <w:r w:rsidRPr="001B30B3">
        <w:rPr>
          <w:szCs w:val="22"/>
        </w:rPr>
        <w:t xml:space="preserve"> (OTU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 </w:t>
      </w:r>
      <w:r w:rsidRPr="001B30B3">
        <w:rPr>
          <w:i/>
          <w:szCs w:val="22"/>
        </w:rPr>
        <w:t>Porphyromonadaceae</w:t>
      </w:r>
      <w:r w:rsidRPr="001B30B3">
        <w:rPr>
          <w:szCs w:val="22"/>
        </w:rPr>
        <w:t xml:space="preserve"> (OTUs 2, 3, and 5) and one was affiliated with a member of the genus </w:t>
      </w:r>
      <w:r w:rsidRPr="001B30B3">
        <w:rPr>
          <w:i/>
          <w:szCs w:val="22"/>
        </w:rPr>
        <w:t>Bacteroides</w:t>
      </w:r>
      <w:r w:rsidRPr="001B30B3">
        <w:rPr>
          <w:szCs w:val="22"/>
        </w:rPr>
        <w:t xml:space="preserve"> (OTU 1). Two OTUs affiliated with the </w:t>
      </w:r>
      <w:r w:rsidRPr="001B30B3">
        <w:rPr>
          <w:i/>
          <w:szCs w:val="22"/>
        </w:rPr>
        <w:t>Akkermansia</w:t>
      </w:r>
      <w:r w:rsidRPr="001B30B3">
        <w:rPr>
          <w:szCs w:val="22"/>
        </w:rPr>
        <w:t xml:space="preserve"> (OTU 6) and </w:t>
      </w:r>
      <w:r w:rsidRPr="001B30B3">
        <w:rPr>
          <w:i/>
          <w:szCs w:val="22"/>
        </w:rPr>
        <w:t>Lactobacillus</w:t>
      </w:r>
      <w:r w:rsidRPr="001B30B3">
        <w:rPr>
          <w:szCs w:val="22"/>
        </w:rPr>
        <w:t xml:space="preserve"> (OTU 8) genera increased with increasing dose and a third OTU affiliated with </w:t>
      </w:r>
      <w:r w:rsidRPr="001B30B3">
        <w:rPr>
          <w:i/>
          <w:szCs w:val="22"/>
        </w:rPr>
        <w:t>Escherichia</w:t>
      </w:r>
      <w:r w:rsidRPr="001B30B3">
        <w:rPr>
          <w:szCs w:val="22"/>
        </w:rPr>
        <w:t xml:space="preserve"> (OTU 4) had a mixed response to the dose level. These results suggest that the context of the microbiota is important in determining the overall resistance to </w:t>
      </w:r>
      <w:r w:rsidRPr="001B30B3">
        <w:rPr>
          <w:i/>
          <w:szCs w:val="22"/>
        </w:rPr>
        <w:t>C. difficile</w:t>
      </w:r>
      <w:r w:rsidRPr="001B30B3">
        <w:rPr>
          <w:szCs w:val="22"/>
        </w:rPr>
        <w:t xml:space="preserve">. For example, the relationship between the </w:t>
      </w:r>
      <w:r w:rsidRPr="001B30B3">
        <w:rPr>
          <w:i/>
          <w:szCs w:val="22"/>
        </w:rPr>
        <w:t>Bacteroides</w:t>
      </w:r>
      <w:r w:rsidRPr="001B30B3">
        <w:rPr>
          <w:szCs w:val="22"/>
        </w:rPr>
        <w:t xml:space="preserve"> (OTU 1) and </w:t>
      </w:r>
      <w:r w:rsidRPr="001B30B3">
        <w:rPr>
          <w:i/>
          <w:szCs w:val="22"/>
        </w:rPr>
        <w:t>C. difficile</w:t>
      </w:r>
      <w:r w:rsidRPr="001B30B3">
        <w:rPr>
          <w:szCs w:val="22"/>
        </w:rPr>
        <w:t xml:space="preserve"> colonization is positive in streptomycin-treated mice and it is negative in cefoperazone-treated mice. In addition, cefoperazone and streptomycin-treated mice have high levels of </w:t>
      </w:r>
      <w:r w:rsidRPr="001B30B3">
        <w:rPr>
          <w:i/>
          <w:szCs w:val="22"/>
        </w:rPr>
        <w:t>C. difficile</w:t>
      </w:r>
      <w:r w:rsidRPr="001B30B3">
        <w:rPr>
          <w:szCs w:val="22"/>
        </w:rPr>
        <w:t xml:space="preserve"> although the former have significantly higher levels of </w:t>
      </w:r>
      <w:r w:rsidRPr="001B30B3">
        <w:rPr>
          <w:i/>
          <w:szCs w:val="22"/>
        </w:rPr>
        <w:t>Escherichia</w:t>
      </w:r>
      <w:r w:rsidRPr="001B30B3">
        <w:rPr>
          <w:szCs w:val="22"/>
        </w:rPr>
        <w:t xml:space="preserve"> (OTU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14:paraId="583F51FD" w14:textId="77777777" w:rsidR="004F205E" w:rsidRPr="001B30B3" w:rsidRDefault="001B30B3" w:rsidP="00670D0B">
      <w:pPr>
        <w:spacing w:line="480" w:lineRule="auto"/>
        <w:jc w:val="both"/>
        <w:rPr>
          <w:szCs w:val="22"/>
        </w:rPr>
      </w:pPr>
      <w:r w:rsidRPr="001B30B3">
        <w:rPr>
          <w:b/>
          <w:szCs w:val="22"/>
        </w:rPr>
        <w:t>Allowing recovery of the microbiota restores colonization resistance.</w:t>
      </w:r>
      <w:r w:rsidRPr="001B30B3">
        <w:rPr>
          <w:szCs w:val="22"/>
        </w:rPr>
        <w:t xml:space="preserve"> In the experiments we have described thus far, we have allowed the gut microbiota to recover for 24 hours before challenging them with </w:t>
      </w:r>
      <w:r w:rsidRPr="001B30B3">
        <w:rPr>
          <w:i/>
          <w:szCs w:val="22"/>
        </w:rPr>
        <w:t>C. difficile</w:t>
      </w:r>
      <w:r w:rsidRPr="001B30B3">
        <w:rPr>
          <w:szCs w:val="22"/>
        </w:rPr>
        <w:t xml:space="preserve">. Several studies have demonstrated that perturbed communities can return to a "healthy" state in which resistance to </w:t>
      </w:r>
      <w:r w:rsidRPr="001B30B3">
        <w:rPr>
          <w:i/>
          <w:szCs w:val="22"/>
        </w:rPr>
        <w:t>C. difficile</w:t>
      </w:r>
      <w:r w:rsidRPr="001B30B3">
        <w:rPr>
          <w:szCs w:val="22"/>
        </w:rPr>
        <w:t xml:space="preserve"> is restored </w:t>
      </w:r>
      <w:r w:rsidRPr="001B30B3">
        <w:rPr>
          <w:szCs w:val="22"/>
        </w:rPr>
        <w:lastRenderedPageBreak/>
        <w:t xml:space="preserve">{Reeves,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(Figure S3). Among the metronidazole-treated mice, those with extended recovery had a 1.86e+06-fold reduction in colonization (P&lt;0.001; </w:t>
      </w:r>
      <w:r w:rsidRPr="001B30B3">
        <w:rPr>
          <w:b/>
          <w:szCs w:val="22"/>
        </w:rPr>
        <w:t>Figure 3</w:t>
      </w:r>
      <w:r w:rsidRPr="001B30B3">
        <w:rPr>
          <w:szCs w:val="22"/>
        </w:rPr>
        <w:t xml:space="preserve">). In addition, of the 14 mice given the longer recovery period, 7 had no detectable </w:t>
      </w:r>
      <w:r w:rsidRPr="001B30B3">
        <w:rPr>
          <w:i/>
          <w:szCs w:val="22"/>
        </w:rPr>
        <w:t>C. difficile</w:t>
      </w:r>
      <w:r w:rsidRPr="001B30B3">
        <w:rPr>
          <w:szCs w:val="22"/>
        </w:rPr>
        <w:t xml:space="preserve"> 24 hours after challenge. We detected six OTUs that were differentially represented in the two sets of metronidazole-treated mice (Figure 3). Most notable among these was a member of the </w:t>
      </w:r>
      <w:r w:rsidRPr="001B30B3">
        <w:rPr>
          <w:i/>
          <w:szCs w:val="22"/>
        </w:rPr>
        <w:t>Barnesiella</w:t>
      </w:r>
      <w:r w:rsidRPr="001B30B3">
        <w:rPr>
          <w:szCs w:val="22"/>
        </w:rPr>
        <w:t xml:space="preserve"> (OTU 2) and the </w:t>
      </w:r>
      <w:r w:rsidRPr="001B30B3">
        <w:rPr>
          <w:i/>
          <w:szCs w:val="22"/>
        </w:rPr>
        <w:t>Escherichia</w:t>
      </w:r>
      <w:r w:rsidRPr="001B30B3">
        <w:rPr>
          <w:szCs w:val="22"/>
        </w:rPr>
        <w:t xml:space="preserve"> (OTU 3). The relative abundance of this </w:t>
      </w:r>
      <w:r w:rsidRPr="001B30B3">
        <w:rPr>
          <w:i/>
          <w:szCs w:val="22"/>
        </w:rPr>
        <w:t>Barnesiella</w:t>
      </w:r>
      <w:r w:rsidRPr="001B30B3">
        <w:rPr>
          <w:szCs w:val="22"/>
        </w:rPr>
        <w:t xml:space="preserve"> OTU increased with the delay, and the relative abundance of this </w:t>
      </w:r>
      <w:r w:rsidRPr="001B30B3">
        <w:rPr>
          <w:i/>
          <w:szCs w:val="22"/>
        </w:rPr>
        <w:t>Escherichia</w:t>
      </w:r>
      <w:r w:rsidRPr="001B30B3">
        <w:rPr>
          <w:szCs w:val="22"/>
        </w:rPr>
        <w:t xml:space="preserve"> OTU decreased. Similar to the metronidazole-treated mice, the ampicillin-treated mice that were allowed to recover an additional five days before challenge had a significant decrease in </w:t>
      </w:r>
      <w:r w:rsidRPr="001B30B3">
        <w:rPr>
          <w:i/>
          <w:szCs w:val="22"/>
        </w:rPr>
        <w:t>C. difficile</w:t>
      </w:r>
      <w:r w:rsidRPr="001B30B3">
        <w:rPr>
          <w:szCs w:val="22"/>
        </w:rPr>
        <w:t xml:space="preserve"> colonization (P=0.03). As before, we observed a similar increase and decrease in relative abundances for </w:t>
      </w:r>
      <w:r w:rsidRPr="001B30B3">
        <w:rPr>
          <w:i/>
          <w:szCs w:val="22"/>
        </w:rPr>
        <w:t>Barnesiella</w:t>
      </w:r>
      <w:r w:rsidRPr="001B30B3">
        <w:rPr>
          <w:szCs w:val="22"/>
        </w:rPr>
        <w:t xml:space="preserve"> (OTU 2) and </w:t>
      </w:r>
      <w:r w:rsidRPr="001B30B3">
        <w:rPr>
          <w:i/>
          <w:szCs w:val="22"/>
        </w:rPr>
        <w:t>Escherichia</w:t>
      </w:r>
      <w:r w:rsidRPr="001B30B3">
        <w:rPr>
          <w:szCs w:val="22"/>
        </w:rPr>
        <w:t xml:space="preserve"> (OTU 3). However untreated, fully resistant mice harbor significantly lower levels of </w:t>
      </w:r>
      <w:r w:rsidRPr="001B30B3">
        <w:rPr>
          <w:i/>
          <w:szCs w:val="22"/>
        </w:rPr>
        <w:t>Barnesiella</w:t>
      </w:r>
      <w:r w:rsidRPr="001B30B3">
        <w:rPr>
          <w:szCs w:val="22"/>
        </w:rPr>
        <w:t xml:space="preserve"> OTU 2. Rather, untreated mice have high levels of various </w:t>
      </w:r>
      <w:r w:rsidRPr="001B30B3">
        <w:rPr>
          <w:i/>
          <w:szCs w:val="22"/>
        </w:rPr>
        <w:t>Porphyromonadaceae</w:t>
      </w:r>
      <w:r w:rsidRPr="001B30B3">
        <w:rPr>
          <w:szCs w:val="22"/>
        </w:rPr>
        <w:t xml:space="preserve"> OTUs (</w:t>
      </w:r>
      <w:r w:rsidRPr="001B30B3">
        <w:rPr>
          <w:b/>
          <w:szCs w:val="22"/>
        </w:rPr>
        <w:t>Figure 1</w:t>
      </w:r>
      <w:r w:rsidRPr="001B30B3">
        <w:rPr>
          <w:szCs w:val="22"/>
        </w:rPr>
        <w:t>). These findings further confirm the context-dependency of colonization resistance suggested by the results of our titration experiments.</w:t>
      </w:r>
    </w:p>
    <w:p w14:paraId="103946EE" w14:textId="77777777" w:rsidR="004F205E" w:rsidRPr="001B30B3" w:rsidRDefault="001B30B3" w:rsidP="00670D0B">
      <w:pPr>
        <w:spacing w:line="480" w:lineRule="auto"/>
        <w:jc w:val="both"/>
        <w:rPr>
          <w:szCs w:val="22"/>
        </w:rPr>
      </w:pPr>
      <w:r w:rsidRPr="001B30B3">
        <w:rPr>
          <w:b/>
          <w:szCs w:val="22"/>
        </w:rPr>
        <w:t>Correlation analysis reveals potentially protective bacteria.</w:t>
      </w:r>
      <w:r w:rsidRPr="001B30B3">
        <w:rPr>
          <w:szCs w:val="22"/>
        </w:rPr>
        <w:t xml:space="preserve"> To identify bacterial taxa that could be associated with resistance or susceptibility to </w:t>
      </w:r>
      <w:r w:rsidRPr="001B30B3">
        <w:rPr>
          <w:i/>
          <w:szCs w:val="22"/>
        </w:rPr>
        <w:t>C. difficile</w:t>
      </w:r>
      <w:r w:rsidRPr="001B30B3">
        <w:rPr>
          <w:szCs w:val="22"/>
        </w:rPr>
        <w:t xml:space="preserve">, we measured the correlation between the relative abundance of each OTU on the day of inoculation with the level of </w:t>
      </w:r>
      <w:r w:rsidRPr="001B30B3">
        <w:rPr>
          <w:i/>
          <w:szCs w:val="22"/>
        </w:rPr>
        <w:t>C. difficile</w:t>
      </w:r>
      <w:r w:rsidRPr="001B30B3">
        <w:rPr>
          <w:szCs w:val="22"/>
        </w:rPr>
        <w:t xml:space="preserve"> colonization 24 hours later (</w:t>
      </w:r>
      <w:r w:rsidRPr="001B30B3">
        <w:rPr>
          <w:b/>
          <w:szCs w:val="22"/>
        </w:rPr>
        <w:t>Figure 4</w:t>
      </w:r>
      <w:r w:rsidRPr="001B30B3">
        <w:rPr>
          <w:szCs w:val="22"/>
        </w:rPr>
        <w:t xml:space="preserve">). OTUs associated with providing resistance against </w:t>
      </w:r>
      <w:r w:rsidRPr="001B30B3">
        <w:rPr>
          <w:i/>
          <w:szCs w:val="22"/>
        </w:rPr>
        <w:t>C. difficile</w:t>
      </w:r>
      <w:r w:rsidRPr="001B30B3">
        <w:rPr>
          <w:szCs w:val="22"/>
        </w:rPr>
        <w:t xml:space="preserve"> (N=22) outnumbered those with associated with susceptibility (N=9). Among various bacterial families the </w:t>
      </w:r>
      <w:r w:rsidRPr="001B30B3">
        <w:rPr>
          <w:i/>
          <w:szCs w:val="22"/>
        </w:rPr>
        <w:t>Porphyromonadaceae</w:t>
      </w:r>
      <w:r w:rsidRPr="001B30B3">
        <w:rPr>
          <w:szCs w:val="22"/>
        </w:rPr>
        <w:t xml:space="preserve"> (ρaverage&lt;&gt;=-0.52, N=11 OTUs) and </w:t>
      </w:r>
      <w:r w:rsidRPr="001B30B3">
        <w:rPr>
          <w:i/>
          <w:szCs w:val="22"/>
        </w:rPr>
        <w:t>Ruminococcaceae</w:t>
      </w:r>
      <w:r w:rsidRPr="001B30B3">
        <w:rPr>
          <w:szCs w:val="22"/>
        </w:rPr>
        <w:t xml:space="preserve"> (ρaverage&lt;&gt;=NA, N=NA OTUs) were consistently associated with low levels </w:t>
      </w:r>
      <w:r w:rsidRPr="001B30B3">
        <w:rPr>
          <w:szCs w:val="22"/>
        </w:rPr>
        <w:lastRenderedPageBreak/>
        <w:t xml:space="preserve">of </w:t>
      </w:r>
      <w:r w:rsidRPr="001B30B3">
        <w:rPr>
          <w:i/>
          <w:szCs w:val="22"/>
        </w:rPr>
        <w:t>C. difficile</w:t>
      </w:r>
      <w:r w:rsidRPr="001B30B3">
        <w:rPr>
          <w:szCs w:val="22"/>
        </w:rPr>
        <w:t xml:space="preserve"> colonization. Two OTUs from the </w:t>
      </w:r>
      <w:r w:rsidRPr="001B30B3">
        <w:rPr>
          <w:i/>
          <w:szCs w:val="22"/>
        </w:rPr>
        <w:t>Proteobacteria</w:t>
      </w:r>
      <w:r w:rsidRPr="001B30B3">
        <w:rPr>
          <w:szCs w:val="22"/>
        </w:rPr>
        <w:t xml:space="preserve"> had a significant association with </w:t>
      </w:r>
      <w:r w:rsidRPr="001B30B3">
        <w:rPr>
          <w:i/>
          <w:szCs w:val="22"/>
        </w:rPr>
        <w:t>C. difficile</w:t>
      </w:r>
      <w:r w:rsidRPr="001B30B3">
        <w:rPr>
          <w:szCs w:val="22"/>
        </w:rPr>
        <w:t xml:space="preserve"> colonization. These included OTUs associated with the genera (ρ=0.2) and </w:t>
      </w:r>
      <w:r w:rsidRPr="001B30B3">
        <w:rPr>
          <w:i/>
          <w:szCs w:val="22"/>
        </w:rPr>
        <w:t>Escherichia</w:t>
      </w:r>
      <w:r w:rsidRPr="001B30B3">
        <w:rPr>
          <w:szCs w:val="22"/>
        </w:rPr>
        <w:t xml:space="preserve"> (ρ=0.54). These associations have been suggested previously {Reeves, 2011 #118;Schubert, 2014 #1048;Bassis, 2014 #945;Buffie, 2012 #977}. In addition, by performing an OTU-based analysis we observed several bacterial families that were represented by OTUs that were associated with low and high levels of </w:t>
      </w:r>
      <w:r w:rsidRPr="001B30B3">
        <w:rPr>
          <w:i/>
          <w:szCs w:val="22"/>
        </w:rPr>
        <w:t>C. difficile</w:t>
      </w:r>
      <w:r w:rsidRPr="001B30B3">
        <w:rPr>
          <w:szCs w:val="22"/>
        </w:rPr>
        <w:t xml:space="preserve"> colonization. For example, the Lachnospiraceae have been associated with protection against C. difficile and although we observed 3 OTUs that were associated with low levels of </w:t>
      </w:r>
      <w:r w:rsidRPr="001B30B3">
        <w:rPr>
          <w:i/>
          <w:szCs w:val="22"/>
        </w:rPr>
        <w:t>C. difficile</w:t>
      </w:r>
      <w:r w:rsidRPr="001B30B3">
        <w:rPr>
          <w:szCs w:val="22"/>
        </w:rPr>
        <w:t xml:space="preserve"> and 1 OTU that was associated with high levels of </w:t>
      </w:r>
      <w:r w:rsidRPr="001B30B3">
        <w:rPr>
          <w:i/>
          <w:szCs w:val="22"/>
        </w:rPr>
        <w:t>C. difficile</w:t>
      </w:r>
      <w:r w:rsidRPr="001B30B3">
        <w:rPr>
          <w:szCs w:val="22"/>
        </w:rPr>
        <w:t xml:space="preserve">. In addition we observed 3 </w:t>
      </w:r>
      <w:r w:rsidRPr="001B30B3">
        <w:rPr>
          <w:i/>
          <w:szCs w:val="22"/>
        </w:rPr>
        <w:t>Lactobacillus</w:t>
      </w:r>
      <w:r w:rsidRPr="001B30B3">
        <w:rPr>
          <w:szCs w:val="22"/>
        </w:rPr>
        <w:t xml:space="preserve"> OTUs from the </w:t>
      </w:r>
      <w:r w:rsidRPr="001B30B3">
        <w:rPr>
          <w:i/>
          <w:szCs w:val="22"/>
        </w:rPr>
        <w:t>Lactobacilliaceae</w:t>
      </w:r>
      <w:r w:rsidRPr="001B30B3">
        <w:rPr>
          <w:szCs w:val="22"/>
        </w:rPr>
        <w:t xml:space="preserve"> where 2 were associated with low levels of </w:t>
      </w:r>
      <w:r w:rsidRPr="001B30B3">
        <w:rPr>
          <w:i/>
          <w:szCs w:val="22"/>
        </w:rPr>
        <w:t>C. difficile</w:t>
      </w:r>
      <w:r w:rsidRPr="001B30B3">
        <w:rPr>
          <w:szCs w:val="22"/>
        </w:rPr>
        <w:t xml:space="preserve"> and 1 was associated with high levels. The broad taxonomic representation of OTUs associated with low levels of </w:t>
      </w:r>
      <w:r w:rsidRPr="001B30B3">
        <w:rPr>
          <w:i/>
          <w:szCs w:val="22"/>
        </w:rPr>
        <w:t>C. difficile</w:t>
      </w:r>
      <w:r w:rsidRPr="001B30B3">
        <w:rPr>
          <w:szCs w:val="22"/>
        </w:rPr>
        <w:t xml:space="preserve"> suggests that a diverse community is required to prevent the colonization </w:t>
      </w:r>
      <w:r w:rsidRPr="001B30B3">
        <w:rPr>
          <w:i/>
          <w:szCs w:val="22"/>
        </w:rPr>
        <w:t>C. difficile</w:t>
      </w:r>
      <w:r w:rsidRPr="001B30B3">
        <w:rPr>
          <w:szCs w:val="22"/>
        </w:rPr>
        <w:t>.</w:t>
      </w:r>
    </w:p>
    <w:p w14:paraId="0062E125" w14:textId="77777777" w:rsidR="004F205E" w:rsidRPr="001B30B3" w:rsidRDefault="001B30B3" w:rsidP="00670D0B">
      <w:pPr>
        <w:spacing w:line="480" w:lineRule="auto"/>
        <w:jc w:val="both"/>
        <w:rPr>
          <w:szCs w:val="22"/>
        </w:rPr>
      </w:pPr>
      <w:r w:rsidRPr="001B30B3">
        <w:rPr>
          <w:b/>
          <w:szCs w:val="22"/>
        </w:rPr>
        <w:t>The composition of the disturbed gut microbiota is predictive of C. difficile colonization levels.</w:t>
      </w:r>
      <w:r w:rsidRPr="001B30B3">
        <w:rPr>
          <w:szCs w:val="22"/>
        </w:rPr>
        <w:t xml:space="preserve"> The three sets of experiments demonstrated that in certain contexts individual OTUs could be associated with </w:t>
      </w:r>
      <w:r w:rsidRPr="001B30B3">
        <w:rPr>
          <w:i/>
          <w:szCs w:val="22"/>
        </w:rPr>
        <w:t>C. difficile</w:t>
      </w:r>
      <w:r w:rsidRPr="001B30B3">
        <w:rPr>
          <w:szCs w:val="22"/>
        </w:rPr>
        <w:t xml:space="preserve"> colonization, but in other contexts they were not. Correlation-based analyses cannot predict these types of context dependencies because they do not take into account the non-linearity and statistical interactions between populations. This suggests that colonization is a phenotype that is driven by multiple populations that act independently and possibly in concert to resist colonization. Therefore, we used a regression-based random forest machine learning algorithm to predict the level of </w:t>
      </w:r>
      <w:r w:rsidRPr="001B30B3">
        <w:rPr>
          <w:i/>
          <w:szCs w:val="22"/>
        </w:rPr>
        <w:t>C. difficile</w:t>
      </w:r>
      <w:r w:rsidRPr="001B30B3">
        <w:rPr>
          <w:szCs w:val="22"/>
        </w:rPr>
        <w:t xml:space="preserve"> colonization observed in the three sets of experiments based on the composition of the microbiota at the time of challenge. The model explained 77.2% of the variation in the observed </w:t>
      </w:r>
      <w:r w:rsidRPr="001B30B3">
        <w:rPr>
          <w:i/>
          <w:szCs w:val="22"/>
        </w:rPr>
        <w:t>C. difficile</w:t>
      </w:r>
      <w:r w:rsidRPr="001B30B3">
        <w:rPr>
          <w:szCs w:val="22"/>
        </w:rPr>
        <w:t xml:space="preserve"> colonization levels (Figures 5 and S4). When we only included the top 7 OTUs based on the percent increase in the mean squared error when each OTU was removed, the resulting model explained 76.8% of the variation in the observed </w:t>
      </w:r>
      <w:r w:rsidRPr="001B30B3">
        <w:rPr>
          <w:i/>
          <w:szCs w:val="22"/>
        </w:rPr>
        <w:t>C. difficile</w:t>
      </w:r>
      <w:r w:rsidRPr="001B30B3">
        <w:rPr>
          <w:szCs w:val="22"/>
        </w:rPr>
        <w:t xml:space="preserve"> colonization levels. Many of the </w:t>
      </w:r>
      <w:r w:rsidRPr="001B30B3">
        <w:rPr>
          <w:szCs w:val="22"/>
        </w:rPr>
        <w:lastRenderedPageBreak/>
        <w:t xml:space="preserve">OTUs that contributed the most to the quality of the fit included members of the </w:t>
      </w:r>
      <w:r w:rsidRPr="001B30B3">
        <w:rPr>
          <w:i/>
          <w:szCs w:val="22"/>
        </w:rPr>
        <w:t>Porphyromonadaceae</w:t>
      </w:r>
      <w:r w:rsidRPr="001B30B3">
        <w:rPr>
          <w:szCs w:val="22"/>
        </w:rPr>
        <w:t xml:space="preserve">, </w:t>
      </w:r>
      <w:r w:rsidRPr="001B30B3">
        <w:rPr>
          <w:i/>
          <w:szCs w:val="22"/>
        </w:rPr>
        <w:t>Alistipes</w:t>
      </w:r>
      <w:r w:rsidRPr="001B30B3">
        <w:rPr>
          <w:szCs w:val="22"/>
        </w:rPr>
        <w:t xml:space="preserve">, </w:t>
      </w:r>
      <w:r w:rsidRPr="001B30B3">
        <w:rPr>
          <w:i/>
          <w:szCs w:val="22"/>
        </w:rPr>
        <w:t>Lachnospiraceae</w:t>
      </w:r>
      <w:r w:rsidRPr="001B30B3">
        <w:rPr>
          <w:szCs w:val="22"/>
        </w:rPr>
        <w:t xml:space="preserve">, </w:t>
      </w:r>
      <w:r w:rsidRPr="001B30B3">
        <w:rPr>
          <w:i/>
          <w:szCs w:val="22"/>
        </w:rPr>
        <w:t>Lactobacillus</w:t>
      </w:r>
      <w:r w:rsidRPr="001B30B3">
        <w:rPr>
          <w:szCs w:val="22"/>
        </w:rPr>
        <w:t xml:space="preserve">, and </w:t>
      </w:r>
      <w:r w:rsidRPr="001B30B3">
        <w:rPr>
          <w:i/>
          <w:szCs w:val="22"/>
        </w:rPr>
        <w:t>Escherichia</w:t>
      </w:r>
      <w:r w:rsidRPr="001B30B3">
        <w:rPr>
          <w:szCs w:val="22"/>
        </w:rPr>
        <w:t xml:space="preserve"> (</w:t>
      </w:r>
      <w:r w:rsidRPr="001B30B3">
        <w:rPr>
          <w:b/>
          <w:szCs w:val="22"/>
        </w:rPr>
        <w:t>Figure 6</w:t>
      </w:r>
      <w:r w:rsidRPr="001B30B3">
        <w:rPr>
          <w:szCs w:val="22"/>
        </w:rPr>
        <w:t xml:space="preserve">). These results further validate the observations from the correlation-based analysis. Together these results suggest that colonization resistance is likely conferred by </w:t>
      </w:r>
      <w:r w:rsidRPr="001B30B3">
        <w:rPr>
          <w:i/>
          <w:szCs w:val="22"/>
        </w:rPr>
        <w:t>Porphyromonadaceae</w:t>
      </w:r>
      <w:r w:rsidRPr="001B30B3">
        <w:rPr>
          <w:szCs w:val="22"/>
        </w:rPr>
        <w:t xml:space="preserve"> (OTU 15, 10, and 6), </w:t>
      </w:r>
      <w:r w:rsidRPr="001B30B3">
        <w:rPr>
          <w:i/>
          <w:szCs w:val="22"/>
        </w:rPr>
        <w:t>Lachnospiraceae</w:t>
      </w:r>
      <w:r w:rsidRPr="001B30B3">
        <w:rPr>
          <w:szCs w:val="22"/>
        </w:rPr>
        <w:t xml:space="preserve"> (OTU 25), </w:t>
      </w:r>
      <w:r w:rsidRPr="001B30B3">
        <w:rPr>
          <w:i/>
          <w:szCs w:val="22"/>
        </w:rPr>
        <w:t>Lactobacillus</w:t>
      </w:r>
      <w:r w:rsidRPr="001B30B3">
        <w:rPr>
          <w:szCs w:val="22"/>
        </w:rPr>
        <w:t xml:space="preserve"> (OTU 23), and </w:t>
      </w:r>
      <w:r w:rsidRPr="001B30B3">
        <w:rPr>
          <w:i/>
          <w:szCs w:val="22"/>
        </w:rPr>
        <w:t>Alistipes</w:t>
      </w:r>
      <w:r w:rsidRPr="001B30B3">
        <w:rPr>
          <w:szCs w:val="22"/>
        </w:rPr>
        <w:t xml:space="preserve"> (OTU 12). A loss in these populations, concurrently with a gain of </w:t>
      </w:r>
      <w:r w:rsidRPr="001B30B3">
        <w:rPr>
          <w:i/>
          <w:szCs w:val="22"/>
        </w:rPr>
        <w:t>Escherichia</w:t>
      </w:r>
      <w:r w:rsidRPr="001B30B3">
        <w:rPr>
          <w:szCs w:val="22"/>
        </w:rPr>
        <w:t xml:space="preserve"> (OTU 3) or </w:t>
      </w:r>
      <w:r w:rsidRPr="001B30B3">
        <w:rPr>
          <w:i/>
          <w:szCs w:val="22"/>
        </w:rPr>
        <w:t>Streptococcus</w:t>
      </w:r>
      <w:r w:rsidRPr="001B30B3">
        <w:rPr>
          <w:szCs w:val="22"/>
        </w:rPr>
        <w:t xml:space="preserve"> (OTU 90), can result in increased susceptibility to infection (Figure 6). As we observed in the titration experiments, the relationship between </w:t>
      </w:r>
      <w:r w:rsidRPr="001B30B3">
        <w:rPr>
          <w:i/>
          <w:szCs w:val="22"/>
        </w:rPr>
        <w:t>Akkermansia</w:t>
      </w:r>
      <w:r w:rsidRPr="001B30B3">
        <w:rPr>
          <w:szCs w:val="22"/>
        </w:rPr>
        <w:t xml:space="preserve"> (OTU 4) and </w:t>
      </w:r>
      <w:r w:rsidRPr="001B30B3">
        <w:rPr>
          <w:i/>
          <w:szCs w:val="22"/>
        </w:rPr>
        <w:t>C. difficile</w:t>
      </w:r>
      <w:r w:rsidRPr="001B30B3">
        <w:rPr>
          <w:szCs w:val="22"/>
        </w:rPr>
        <w:t xml:space="preserve"> colonization appears to be context dependent. There were varying abundances of </w:t>
      </w:r>
      <w:r w:rsidRPr="001B30B3">
        <w:rPr>
          <w:i/>
          <w:szCs w:val="22"/>
        </w:rPr>
        <w:t>Akkermansia</w:t>
      </w:r>
      <w:r w:rsidRPr="001B30B3">
        <w:rPr>
          <w:szCs w:val="22"/>
        </w:rPr>
        <w:t xml:space="preserve"> in mice regardless of the level of </w:t>
      </w:r>
      <w:r w:rsidRPr="001B30B3">
        <w:rPr>
          <w:i/>
          <w:szCs w:val="22"/>
        </w:rPr>
        <w:t>C. difficile</w:t>
      </w:r>
      <w:r w:rsidRPr="001B30B3">
        <w:rPr>
          <w:szCs w:val="22"/>
        </w:rPr>
        <w:t xml:space="preserve"> colonization.</w:t>
      </w:r>
    </w:p>
    <w:p w14:paraId="6C640342" w14:textId="77777777" w:rsidR="004F205E" w:rsidRPr="001B30B3" w:rsidRDefault="001B30B3" w:rsidP="00670D0B">
      <w:pPr>
        <w:pStyle w:val="Heading3"/>
        <w:spacing w:line="480" w:lineRule="auto"/>
        <w:jc w:val="both"/>
        <w:rPr>
          <w:rFonts w:ascii="Arial" w:hAnsi="Arial"/>
          <w:sz w:val="22"/>
          <w:szCs w:val="22"/>
        </w:rPr>
      </w:pPr>
      <w:bookmarkStart w:id="4" w:name="discussion"/>
      <w:r w:rsidRPr="001B30B3">
        <w:rPr>
          <w:rFonts w:ascii="Arial" w:hAnsi="Arial"/>
          <w:sz w:val="22"/>
          <w:szCs w:val="22"/>
        </w:rPr>
        <w:t>Discussion</w:t>
      </w:r>
    </w:p>
    <w:bookmarkEnd w:id="4"/>
    <w:p w14:paraId="53DDEB5F" w14:textId="77777777" w:rsidR="004F205E" w:rsidRPr="001B30B3" w:rsidRDefault="001B30B3" w:rsidP="00670D0B">
      <w:pPr>
        <w:spacing w:line="480" w:lineRule="auto"/>
        <w:jc w:val="both"/>
        <w:rPr>
          <w:szCs w:val="22"/>
        </w:rPr>
      </w:pPr>
      <w:r w:rsidRPr="001B30B3">
        <w:rPr>
          <w:szCs w:val="22"/>
        </w:rPr>
        <w:t xml:space="preserve">Previous attempts to study the role of the gut microbiota in colonization resistance against C. difficile infection have utilized a single perturbation to the community. Here, we used 7 antibiotics from 6 classes that were given to mice in varying doses and with varying post-antibiotic recovery periods. The result was a combination of 15 different perturbations that allowed us to generate distinct community profiles that displayed varying susceptibility to </w:t>
      </w:r>
      <w:r w:rsidRPr="001B30B3">
        <w:rPr>
          <w:i/>
          <w:szCs w:val="22"/>
        </w:rPr>
        <w:t>C. difficile</w:t>
      </w:r>
      <w:r w:rsidRPr="001B30B3">
        <w:rPr>
          <w:szCs w:val="22"/>
        </w:rPr>
        <w:t xml:space="preserve"> colonization. Our findings demonstrated that colonization resistance is not driven by individual populations, but by a community of organisms. Others have demonstrated that </w:t>
      </w:r>
      <w:r w:rsidRPr="001B30B3">
        <w:rPr>
          <w:i/>
          <w:szCs w:val="22"/>
        </w:rPr>
        <w:t>Barnesiella</w:t>
      </w:r>
      <w:r w:rsidRPr="001B30B3">
        <w:rPr>
          <w:szCs w:val="22"/>
        </w:rPr>
        <w:t xml:space="preserve"> or </w:t>
      </w:r>
      <w:r w:rsidRPr="001B30B3">
        <w:rPr>
          <w:i/>
          <w:szCs w:val="22"/>
        </w:rPr>
        <w:t>Lachnospiraceae</w:t>
      </w:r>
      <w:r w:rsidRPr="001B30B3">
        <w:rPr>
          <w:szCs w:val="22"/>
        </w:rPr>
        <w:t xml:space="preserve"> are protective against </w:t>
      </w:r>
      <w:r w:rsidRPr="001B30B3">
        <w:rPr>
          <w:i/>
          <w:szCs w:val="22"/>
        </w:rPr>
        <w:t>C. difficile</w:t>
      </w:r>
      <w:r w:rsidRPr="001B30B3">
        <w:rPr>
          <w:szCs w:val="22"/>
        </w:rPr>
        <w:t xml:space="preserve"> {Buffie, 2012 #977}{Reeves, 2012 #126}. Although we observed similar results in a subset of our perturbations, by using a large number of perturbations, we were able to demonstrate that a varied collection of populations was important for colonization resistance. Overall, these results suggest that </w:t>
      </w:r>
      <w:r w:rsidRPr="001B30B3">
        <w:rPr>
          <w:i/>
          <w:szCs w:val="22"/>
        </w:rPr>
        <w:t>C. difficile</w:t>
      </w:r>
      <w:r w:rsidRPr="001B30B3">
        <w:rPr>
          <w:szCs w:val="22"/>
        </w:rPr>
        <w:t xml:space="preserve"> is a generalist that is capable of exploiting a variety of niches in the gastrointestinal tract.</w:t>
      </w:r>
    </w:p>
    <w:p w14:paraId="039B6F10" w14:textId="77777777" w:rsidR="004F205E" w:rsidRPr="001B30B3" w:rsidRDefault="001B30B3" w:rsidP="00670D0B">
      <w:pPr>
        <w:spacing w:line="480" w:lineRule="auto"/>
        <w:jc w:val="both"/>
        <w:rPr>
          <w:szCs w:val="22"/>
        </w:rPr>
      </w:pPr>
      <w:r w:rsidRPr="001B30B3">
        <w:rPr>
          <w:szCs w:val="22"/>
        </w:rPr>
        <w:t xml:space="preserve">There is clear need for more efficient therapies for treatment of </w:t>
      </w:r>
      <w:r w:rsidRPr="001B30B3">
        <w:rPr>
          <w:i/>
          <w:szCs w:val="22"/>
        </w:rPr>
        <w:t>C. difficile</w:t>
      </w:r>
      <w:r w:rsidRPr="001B30B3">
        <w:rPr>
          <w:szCs w:val="22"/>
        </w:rPr>
        <w:t xml:space="preserve"> infections in humans aimed at restoration of the microbiota. Current first line treatments of CDI include regimens of </w:t>
      </w:r>
      <w:r w:rsidRPr="001B30B3">
        <w:rPr>
          <w:szCs w:val="22"/>
        </w:rPr>
        <w:lastRenderedPageBreak/>
        <w:t xml:space="preserve">either metronidazole or vancomycin, which further perturb the microbiota. As such, relapse rates for CDI are typically around 25-30% {Wilcox, 1998 #599}. Interestingly, we observed that treatment with either antibiotic induced susceptibility to </w:t>
      </w:r>
      <w:r w:rsidRPr="001B30B3">
        <w:rPr>
          <w:i/>
          <w:szCs w:val="22"/>
        </w:rPr>
        <w:t>C. difficile</w:t>
      </w:r>
      <w:r w:rsidRPr="001B30B3">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r w:rsidRPr="001B30B3">
        <w:rPr>
          <w:i/>
          <w:szCs w:val="22"/>
        </w:rPr>
        <w:t>Lachnospiraceae</w:t>
      </w:r>
      <w:r w:rsidRPr="001B30B3">
        <w:rPr>
          <w:szCs w:val="22"/>
        </w:rPr>
        <w:t xml:space="preserve"> isolate only reduced the level of </w:t>
      </w:r>
      <w:r w:rsidRPr="001B30B3">
        <w:rPr>
          <w:i/>
          <w:szCs w:val="22"/>
        </w:rPr>
        <w:t>C. difficile</w:t>
      </w:r>
      <w:r w:rsidRPr="001B30B3">
        <w:rPr>
          <w:szCs w:val="22"/>
        </w:rPr>
        <w:t xml:space="preserve"> colonization by 10 to 100-fold {Reeves, 2012 #126}. Using conventional mice, mixtures of bacteria rather than individual populations have been shown to restore colonization resistance and mediate clearance of </w:t>
      </w:r>
      <w:r w:rsidRPr="001B30B3">
        <w:rPr>
          <w:i/>
          <w:szCs w:val="22"/>
        </w:rPr>
        <w:t>C. difficile</w:t>
      </w:r>
      <w:r w:rsidRPr="001B30B3">
        <w:rPr>
          <w:szCs w:val="22"/>
        </w:rPr>
        <w:t xml:space="preserve"> {Lawley, 2012 #36}{Buffie, 2015 #981}. Fecal transplants, which represent a diverse collection of bacterial populations, have been highly effective in treating humans with recurrent </w:t>
      </w:r>
      <w:r w:rsidRPr="001B30B3">
        <w:rPr>
          <w:i/>
          <w:szCs w:val="22"/>
        </w:rPr>
        <w:t>C. difficile</w:t>
      </w:r>
      <w:r w:rsidRPr="001B30B3">
        <w:rPr>
          <w:szCs w:val="22"/>
        </w:rPr>
        <w:t xml:space="preserve"> {Kassam, 2013 #1003}{Seekatz, 2014 #1051}{Weingarden, 2015 #1054}. By generating a diverse collection of communities that were challenged with C. difficile, we have identified a subset of populations using random forest modeling that could be used as a probiotic cocktail to provide colonization resistance. These would include members of the </w:t>
      </w:r>
      <w:r w:rsidRPr="001B30B3">
        <w:rPr>
          <w:i/>
          <w:szCs w:val="22"/>
        </w:rPr>
        <w:t>Porphyromonadaceae</w:t>
      </w:r>
      <w:r w:rsidRPr="001B30B3">
        <w:rPr>
          <w:szCs w:val="22"/>
        </w:rPr>
        <w:t xml:space="preserve">, </w:t>
      </w:r>
      <w:r w:rsidRPr="001B30B3">
        <w:rPr>
          <w:i/>
          <w:szCs w:val="22"/>
        </w:rPr>
        <w:t>Lachnospiraceae</w:t>
      </w:r>
      <w:r w:rsidRPr="001B30B3">
        <w:rPr>
          <w:szCs w:val="22"/>
        </w:rPr>
        <w:t xml:space="preserve">, </w:t>
      </w:r>
      <w:r w:rsidRPr="001B30B3">
        <w:rPr>
          <w:i/>
          <w:szCs w:val="22"/>
        </w:rPr>
        <w:t>Lactobacillus</w:t>
      </w:r>
      <w:r w:rsidRPr="001B30B3">
        <w:rPr>
          <w:szCs w:val="22"/>
        </w:rPr>
        <w:t xml:space="preserve">, and </w:t>
      </w:r>
      <w:r w:rsidRPr="001B30B3">
        <w:rPr>
          <w:i/>
          <w:szCs w:val="22"/>
        </w:rPr>
        <w:t>Alistipes</w:t>
      </w:r>
      <w:r w:rsidRPr="001B30B3">
        <w:rPr>
          <w:szCs w:val="22"/>
        </w:rPr>
        <w:t xml:space="preserve">. </w:t>
      </w:r>
      <w:proofErr w:type="gramStart"/>
      <w:r w:rsidRPr="001B30B3">
        <w:rPr>
          <w:szCs w:val="22"/>
        </w:rPr>
        <w:t>[ It</w:t>
      </w:r>
      <w:proofErr w:type="gramEnd"/>
      <w:r w:rsidRPr="001B30B3">
        <w:rPr>
          <w:szCs w:val="22"/>
        </w:rPr>
        <w:t xml:space="preserve"> would be nice to comment on how these overlap with other cocktails ]</w:t>
      </w:r>
    </w:p>
    <w:p w14:paraId="7D005A3A" w14:textId="77777777" w:rsidR="004F205E" w:rsidRPr="001B30B3" w:rsidRDefault="001B30B3" w:rsidP="00670D0B">
      <w:pPr>
        <w:spacing w:line="480" w:lineRule="auto"/>
        <w:jc w:val="both"/>
        <w:rPr>
          <w:szCs w:val="22"/>
        </w:rPr>
      </w:pPr>
      <w:r w:rsidRPr="001B30B3">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w:t>
      </w:r>
      <w:proofErr w:type="gramStart"/>
      <w:r w:rsidRPr="001B30B3">
        <w:rPr>
          <w:szCs w:val="22"/>
        </w:rPr>
        <w:t>a context dependent or non-linear associations</w:t>
      </w:r>
      <w:proofErr w:type="gramEnd"/>
      <w:r w:rsidRPr="001B30B3">
        <w:rPr>
          <w:szCs w:val="22"/>
        </w:rPr>
        <w:t xml:space="preserve"> with </w:t>
      </w:r>
      <w:r w:rsidRPr="001B30B3">
        <w:rPr>
          <w:i/>
          <w:szCs w:val="22"/>
        </w:rPr>
        <w:t>C. difficile</w:t>
      </w:r>
      <w:r w:rsidRPr="001B30B3">
        <w:rPr>
          <w:szCs w:val="22"/>
        </w:rPr>
        <w:t xml:space="preserve"> colonization. Although the murine and human microbiota do not fully overlap, our previous analysis of humans infected with </w:t>
      </w:r>
      <w:r w:rsidRPr="001B30B3">
        <w:rPr>
          <w:i/>
          <w:szCs w:val="22"/>
        </w:rPr>
        <w:t>C. difficile</w:t>
      </w:r>
      <w:r w:rsidRPr="001B30B3">
        <w:rPr>
          <w:szCs w:val="22"/>
        </w:rPr>
        <w:t xml:space="preserve"> supports the populations that we associated with colonization {Schubert, 2014 #1048}. For instance, </w:t>
      </w:r>
      <w:r w:rsidRPr="001B30B3">
        <w:rPr>
          <w:i/>
          <w:szCs w:val="22"/>
        </w:rPr>
        <w:t>Escherichia</w:t>
      </w:r>
      <w:r w:rsidRPr="001B30B3">
        <w:rPr>
          <w:szCs w:val="22"/>
        </w:rPr>
        <w:t xml:space="preserve"> was previously associated with infected individuals and </w:t>
      </w:r>
      <w:r w:rsidRPr="001B30B3">
        <w:rPr>
          <w:i/>
          <w:szCs w:val="22"/>
        </w:rPr>
        <w:t>Lachnospiraceae</w:t>
      </w:r>
      <w:r w:rsidRPr="001B30B3">
        <w:rPr>
          <w:szCs w:val="22"/>
        </w:rPr>
        <w:t xml:space="preserve">, </w:t>
      </w:r>
      <w:r w:rsidRPr="001B30B3">
        <w:rPr>
          <w:i/>
          <w:szCs w:val="22"/>
        </w:rPr>
        <w:t>Ruminococcaceae</w:t>
      </w:r>
      <w:r w:rsidRPr="001B30B3">
        <w:rPr>
          <w:szCs w:val="22"/>
        </w:rPr>
        <w:t xml:space="preserve">, and </w:t>
      </w:r>
      <w:r w:rsidRPr="001B30B3">
        <w:rPr>
          <w:i/>
          <w:szCs w:val="22"/>
        </w:rPr>
        <w:t>Alistipes</w:t>
      </w:r>
      <w:r w:rsidRPr="001B30B3">
        <w:rPr>
          <w:szCs w:val="22"/>
        </w:rPr>
        <w:t xml:space="preserve"> were absent from infected individuals. The results of the current study suggest that it </w:t>
      </w:r>
      <w:r w:rsidRPr="001B30B3">
        <w:rPr>
          <w:szCs w:val="22"/>
        </w:rPr>
        <w:lastRenderedPageBreak/>
        <w:t xml:space="preserve">should be possible to model a patient’s risk of developing a </w:t>
      </w:r>
      <w:r w:rsidRPr="001B30B3">
        <w:rPr>
          <w:i/>
          <w:szCs w:val="22"/>
        </w:rPr>
        <w:t>C. difficile</w:t>
      </w:r>
      <w:r w:rsidRPr="001B30B3">
        <w:rPr>
          <w:szCs w:val="22"/>
        </w:rPr>
        <w:t xml:space="preserve"> infection based on their gut microbiota composition at admission.</w:t>
      </w:r>
    </w:p>
    <w:p w14:paraId="119263BA" w14:textId="77777777" w:rsidR="004F205E" w:rsidRPr="001B30B3" w:rsidRDefault="001B30B3" w:rsidP="00670D0B">
      <w:pPr>
        <w:pStyle w:val="Heading3"/>
        <w:spacing w:line="480" w:lineRule="auto"/>
        <w:jc w:val="both"/>
        <w:rPr>
          <w:rFonts w:ascii="Arial" w:hAnsi="Arial"/>
          <w:sz w:val="22"/>
          <w:szCs w:val="22"/>
        </w:rPr>
      </w:pPr>
      <w:bookmarkStart w:id="5" w:name="materials-and-methods"/>
      <w:r w:rsidRPr="001B30B3">
        <w:rPr>
          <w:rFonts w:ascii="Arial" w:hAnsi="Arial"/>
          <w:sz w:val="22"/>
          <w:szCs w:val="22"/>
        </w:rPr>
        <w:t>Materials and Methods</w:t>
      </w:r>
    </w:p>
    <w:bookmarkEnd w:id="5"/>
    <w:p w14:paraId="38088567" w14:textId="77777777" w:rsidR="004F205E" w:rsidRPr="001B30B3" w:rsidRDefault="001B30B3" w:rsidP="00670D0B">
      <w:pPr>
        <w:spacing w:line="480" w:lineRule="auto"/>
        <w:jc w:val="both"/>
        <w:rPr>
          <w:szCs w:val="22"/>
        </w:rPr>
      </w:pPr>
      <w:r w:rsidRPr="001B30B3">
        <w:rPr>
          <w:b/>
          <w:szCs w:val="22"/>
        </w:rPr>
        <w:t>Animal care.</w:t>
      </w:r>
      <w:r w:rsidRPr="001B30B3">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14:paraId="39F2880D" w14:textId="77777777" w:rsidR="004F205E" w:rsidRPr="001B30B3" w:rsidRDefault="001B30B3" w:rsidP="00670D0B">
      <w:pPr>
        <w:spacing w:line="480" w:lineRule="auto"/>
        <w:jc w:val="both"/>
        <w:rPr>
          <w:szCs w:val="22"/>
        </w:rPr>
      </w:pPr>
      <w:r w:rsidRPr="001B30B3">
        <w:rPr>
          <w:b/>
          <w:szCs w:val="22"/>
        </w:rPr>
        <w:t>Antibiotic administration.</w:t>
      </w:r>
      <w:r w:rsidRPr="001B30B3">
        <w:rPr>
          <w:szCs w:val="22"/>
        </w:rPr>
        <w:t xml:space="preserve"> Mice were administered one of seven different antibiotics including cefoperazone, vancomycin, metronidazole, streptomycin, ciprofloxacin, ampicillin, and clindamycin.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14:paraId="285A2714" w14:textId="77777777" w:rsidR="004F205E" w:rsidRPr="001B30B3" w:rsidRDefault="001B30B3" w:rsidP="00670D0B">
      <w:pPr>
        <w:spacing w:line="480" w:lineRule="auto"/>
        <w:jc w:val="both"/>
        <w:rPr>
          <w:szCs w:val="22"/>
        </w:rPr>
      </w:pPr>
      <w:r w:rsidRPr="001B30B3">
        <w:rPr>
          <w:b/>
          <w:szCs w:val="22"/>
        </w:rPr>
        <w:t xml:space="preserve">C. </w:t>
      </w:r>
      <w:proofErr w:type="gramStart"/>
      <w:r w:rsidRPr="001B30B3">
        <w:rPr>
          <w:b/>
          <w:szCs w:val="22"/>
        </w:rPr>
        <w:t>difficile</w:t>
      </w:r>
      <w:proofErr w:type="gramEnd"/>
      <w:r w:rsidRPr="001B30B3">
        <w:rPr>
          <w:b/>
          <w:szCs w:val="22"/>
        </w:rPr>
        <w:t xml:space="preserve"> preparation and challenge.</w:t>
      </w:r>
      <w:r w:rsidRPr="001B30B3">
        <w:rPr>
          <w:szCs w:val="22"/>
        </w:rPr>
        <w:t xml:space="preserve"> All antibiotic-treated mice were given 24 hours to recover with untreated drinking water prior to </w:t>
      </w:r>
      <w:r w:rsidRPr="001B30B3">
        <w:rPr>
          <w:i/>
          <w:szCs w:val="22"/>
        </w:rPr>
        <w:t>C. difficile</w:t>
      </w:r>
      <w:r w:rsidRPr="001B30B3">
        <w:rPr>
          <w:szCs w:val="22"/>
        </w:rPr>
        <w:t xml:space="preserve"> challenge. </w:t>
      </w:r>
      <w:r w:rsidRPr="001B30B3">
        <w:rPr>
          <w:i/>
          <w:szCs w:val="22"/>
        </w:rPr>
        <w:t xml:space="preserve">C. </w:t>
      </w:r>
      <w:proofErr w:type="gramStart"/>
      <w:r w:rsidRPr="001B30B3">
        <w:rPr>
          <w:i/>
          <w:szCs w:val="22"/>
        </w:rPr>
        <w:t>difficile</w:t>
      </w:r>
      <w:proofErr w:type="gramEnd"/>
      <w:r w:rsidRPr="001B30B3">
        <w:rPr>
          <w:szCs w:val="22"/>
        </w:rPr>
        <w:t xml:space="preserve"> strain 630Δerm spores were used in all experiments. Spores were prepared from a single large batch whose concentration was determined within the week prior to each </w:t>
      </w:r>
      <w:r w:rsidRPr="001B30B3">
        <w:rPr>
          <w:i/>
          <w:szCs w:val="22"/>
        </w:rPr>
        <w:t>C. difficile</w:t>
      </w:r>
      <w:r w:rsidRPr="001B30B3">
        <w:rPr>
          <w:szCs w:val="22"/>
        </w:rPr>
        <w:t xml:space="preserve"> challenge {Sorg, 2009 #1055}. Spores were stored long term at 4 °Celsius. On the day of challenge 10</w:t>
      </w:r>
      <w:r w:rsidRPr="001B30B3">
        <w:rPr>
          <w:szCs w:val="22"/>
          <w:vertAlign w:val="superscript"/>
        </w:rPr>
        <w:t>3</w:t>
      </w:r>
      <w:r w:rsidRPr="001B30B3">
        <w:rPr>
          <w:szCs w:val="22"/>
        </w:rPr>
        <w:t xml:space="preserve"> </w:t>
      </w:r>
      <w:r w:rsidRPr="001B30B3">
        <w:rPr>
          <w:i/>
          <w:szCs w:val="22"/>
        </w:rPr>
        <w:t>C. difficile</w:t>
      </w:r>
      <w:r w:rsidRPr="001B30B3">
        <w:rPr>
          <w:szCs w:val="22"/>
        </w:rPr>
        <w:t xml:space="preserve"> spores were administered to mice via oral gavage. Immediately following this challenge, the remaining </w:t>
      </w:r>
      <w:r w:rsidRPr="001B30B3">
        <w:rPr>
          <w:i/>
          <w:szCs w:val="22"/>
        </w:rPr>
        <w:t>C. difficile</w:t>
      </w:r>
      <w:r w:rsidRPr="001B30B3">
        <w:rPr>
          <w:szCs w:val="22"/>
        </w:rPr>
        <w:t xml:space="preserve"> inoculum was diluted in a series and plated to confirm the correct dosage.</w:t>
      </w:r>
    </w:p>
    <w:p w14:paraId="2599E144" w14:textId="77777777" w:rsidR="004F205E" w:rsidRPr="001B30B3" w:rsidRDefault="001B30B3" w:rsidP="00670D0B">
      <w:pPr>
        <w:spacing w:line="480" w:lineRule="auto"/>
        <w:jc w:val="both"/>
        <w:rPr>
          <w:szCs w:val="22"/>
        </w:rPr>
      </w:pPr>
      <w:proofErr w:type="gramStart"/>
      <w:r w:rsidRPr="001B30B3">
        <w:rPr>
          <w:b/>
          <w:szCs w:val="22"/>
        </w:rPr>
        <w:lastRenderedPageBreak/>
        <w:t>Sample collection and plating.</w:t>
      </w:r>
      <w:proofErr w:type="gramEnd"/>
      <w:r w:rsidRPr="001B30B3">
        <w:rPr>
          <w:szCs w:val="22"/>
        </w:rPr>
        <w:t xml:space="preserve"> Fecal samples were freshly collected for each mouse on the day of </w:t>
      </w:r>
      <w:r w:rsidRPr="001B30B3">
        <w:rPr>
          <w:i/>
          <w:szCs w:val="22"/>
        </w:rPr>
        <w:t>C. difficile</w:t>
      </w:r>
      <w:r w:rsidRPr="001B30B3">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{Buggy, 1983 #1059}.</w:t>
      </w:r>
    </w:p>
    <w:p w14:paraId="1B63AD9F" w14:textId="77777777" w:rsidR="004F205E" w:rsidRPr="001B30B3" w:rsidRDefault="001B30B3" w:rsidP="00670D0B">
      <w:pPr>
        <w:spacing w:line="480" w:lineRule="auto"/>
        <w:jc w:val="both"/>
        <w:rPr>
          <w:szCs w:val="22"/>
        </w:rPr>
      </w:pPr>
      <w:proofErr w:type="gramStart"/>
      <w:r w:rsidRPr="001B30B3">
        <w:rPr>
          <w:b/>
          <w:szCs w:val="22"/>
        </w:rPr>
        <w:t>DNA extraction and sequencing.</w:t>
      </w:r>
      <w:proofErr w:type="gramEnd"/>
      <w:r w:rsidRPr="001B30B3">
        <w:rPr>
          <w:szCs w:val="22"/>
        </w:rPr>
        <w:t xml:space="preserve"> Total bacterial DNA was extracted from each day 0 stool sample using the MOBIO PowerSoil®-htp 96 Well Soil DNA Isolation Kit. We generated amplicons of the V4 region within the 16S rRNA gene and sequenced the fragments using an Illumina MiSeq as previously described {Kozich, 2013 #40}.</w:t>
      </w:r>
    </w:p>
    <w:p w14:paraId="5A085DEA" w14:textId="77777777" w:rsidR="004F205E" w:rsidRPr="001B30B3" w:rsidRDefault="001B30B3" w:rsidP="00670D0B">
      <w:pPr>
        <w:spacing w:line="480" w:lineRule="auto"/>
        <w:jc w:val="both"/>
        <w:rPr>
          <w:szCs w:val="22"/>
        </w:rPr>
      </w:pPr>
      <w:r w:rsidRPr="001B30B3">
        <w:rPr>
          <w:b/>
          <w:szCs w:val="22"/>
        </w:rPr>
        <w:t>Sequence curation.</w:t>
      </w:r>
      <w:r w:rsidRPr="001B30B3">
        <w:rPr>
          <w:szCs w:val="22"/>
        </w:rPr>
        <w:t xml:space="preserve"> These sequences were curated using mothur as previously described {Kozich, 2013 #40</w:t>
      </w:r>
      <w:proofErr w:type="gramStart"/>
      <w:r w:rsidRPr="001B30B3">
        <w:rPr>
          <w:szCs w:val="22"/>
        </w:rPr>
        <w:t>;</w:t>
      </w:r>
      <w:proofErr w:type="gramEnd"/>
      <w:r w:rsidRPr="001B30B3">
        <w:rPr>
          <w:szCs w:val="22"/>
        </w:rPr>
        <w:t xml:space="preserve"> Schloss, 2009 #812}.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In parallel to the fecal samples, we also sequenced a mock community where we knew the true sequence of the 16S rRNA gene sequences. Analysis of the mock community data indicated that the error rate following our curation procedure was 0.02%. In order to avoid biases due to uneven sampling, samples were normalized to 1,625 sequences per samples {Schloss, 2011 #163}. All 16S rRNA gene sequence data and metadata are available through the Sequence Read Archive under accession XXXXXX.</w:t>
      </w:r>
    </w:p>
    <w:p w14:paraId="0E07B9D8" w14:textId="77777777" w:rsidR="004F205E" w:rsidRPr="001B30B3" w:rsidRDefault="001B30B3" w:rsidP="00670D0B">
      <w:pPr>
        <w:spacing w:line="480" w:lineRule="auto"/>
        <w:jc w:val="both"/>
        <w:rPr>
          <w:szCs w:val="22"/>
        </w:rPr>
      </w:pPr>
      <w:proofErr w:type="gramStart"/>
      <w:r w:rsidRPr="001B30B3">
        <w:rPr>
          <w:b/>
          <w:szCs w:val="22"/>
        </w:rPr>
        <w:t>Statistical analysis and modeling.</w:t>
      </w:r>
      <w:proofErr w:type="gramEnd"/>
      <w:r w:rsidRPr="001B30B3">
        <w:rPr>
          <w:szCs w:val="22"/>
        </w:rPr>
        <w:t xml:space="preserve"> All analyses were conducted using R version 3.1.2. OTUs were considered for analysis if their average relative abundance within any treatment group was at least 1% (39 OTUs). Comparison of bacterial levels among titration groups or delayed groups of the same antibiotic was performed using the Kruskall-Wallis rank sum test followed by </w:t>
      </w:r>
      <w:r w:rsidRPr="001B30B3">
        <w:rPr>
          <w:szCs w:val="22"/>
        </w:rPr>
        <w:lastRenderedPageBreak/>
        <w:t xml:space="preserve">pairwise Wilcoxon rank sum tests. Comparison of log (base 10) transformed </w:t>
      </w:r>
      <w:r w:rsidRPr="001B30B3">
        <w:rPr>
          <w:i/>
          <w:szCs w:val="22"/>
        </w:rPr>
        <w:t>C. difficile</w:t>
      </w:r>
      <w:r w:rsidRPr="001B30B3">
        <w:rPr>
          <w:szCs w:val="22"/>
        </w:rPr>
        <w:t xml:space="preserve"> CFU/g feces between experimental groups was calculated using the Kruskall-Wallis rank sum test followed by pairwise Wilcoxon rank sum tests. Spearman rank correlation analysis was performed between OTU counts and </w:t>
      </w:r>
      <w:r w:rsidRPr="001B30B3">
        <w:rPr>
          <w:i/>
          <w:szCs w:val="22"/>
        </w:rPr>
        <w:t>C. difficile</w:t>
      </w:r>
      <w:r w:rsidRPr="001B30B3">
        <w:rPr>
          <w:szCs w:val="22"/>
        </w:rPr>
        <w:t xml:space="preserve"> CFU/g feces. All P-values were corrected using a Benjamini and Hochberg adjustment with an experiment-wide Type I error rate of 0.05. Random forest regression models were constructed using the randomForest R package using 10,000 trees {Cutler, 2007 #1061</w:t>
      </w:r>
      <w:proofErr w:type="gramStart"/>
      <w:r w:rsidRPr="001B30B3">
        <w:rPr>
          <w:szCs w:val="22"/>
        </w:rPr>
        <w:t>} .</w:t>
      </w:r>
      <w:proofErr w:type="gramEnd"/>
      <w:r w:rsidRPr="001B30B3">
        <w:rPr>
          <w:szCs w:val="22"/>
        </w:rPr>
        <w:t xml:space="preserve"> The regression was performed using the log (base 10) transformation of the number of CFU/g fecal material as the dependent variable and the 39 OTUs as predictor variables. Complete analysis scripts are available at the online repository for this study (https://github.com/SchlossLab/Schubert_AbxD01_mBio_2015).</w:t>
      </w:r>
    </w:p>
    <w:p w14:paraId="59715328" w14:textId="77777777" w:rsidR="004F205E" w:rsidRPr="001B30B3" w:rsidRDefault="001B30B3" w:rsidP="00670D0B">
      <w:pPr>
        <w:pStyle w:val="Heading3"/>
        <w:spacing w:line="480" w:lineRule="auto"/>
        <w:jc w:val="both"/>
        <w:rPr>
          <w:rFonts w:ascii="Arial" w:hAnsi="Arial"/>
          <w:sz w:val="22"/>
          <w:szCs w:val="22"/>
        </w:rPr>
      </w:pPr>
      <w:bookmarkStart w:id="6" w:name="acknowledgements"/>
      <w:r w:rsidRPr="001B30B3">
        <w:rPr>
          <w:rFonts w:ascii="Arial" w:hAnsi="Arial"/>
          <w:sz w:val="22"/>
          <w:szCs w:val="22"/>
        </w:rPr>
        <w:t>Acknowledgements</w:t>
      </w:r>
    </w:p>
    <w:bookmarkEnd w:id="6"/>
    <w:p w14:paraId="6B900E81" w14:textId="77777777" w:rsidR="004F205E" w:rsidRPr="001B30B3" w:rsidRDefault="001B30B3" w:rsidP="00670D0B">
      <w:pPr>
        <w:spacing w:line="480" w:lineRule="auto"/>
        <w:jc w:val="both"/>
        <w:rPr>
          <w:szCs w:val="22"/>
        </w:rPr>
      </w:pPr>
      <w:r w:rsidRPr="001B30B3">
        <w:rPr>
          <w:szCs w:val="22"/>
        </w:rPr>
        <w:t>This work was supported by several grants from the National Institutes for Health R01GM099514, R01HG005975, U19AI090871, and P30DK034933. The funding agencies had no role in study design, data collection and analysis, decision to publish, or preparation of the manuscript.</w:t>
      </w:r>
    </w:p>
    <w:p w14:paraId="10895710" w14:textId="77777777" w:rsidR="00670D0B" w:rsidRPr="001B30B3" w:rsidRDefault="00670D0B" w:rsidP="00670D0B">
      <w:pPr>
        <w:spacing w:line="480" w:lineRule="auto"/>
        <w:jc w:val="both"/>
        <w:rPr>
          <w:b/>
          <w:szCs w:val="22"/>
        </w:rPr>
        <w:sectPr w:rsidR="00670D0B" w:rsidRPr="001B30B3" w:rsidSect="001B30B3">
          <w:pgSz w:w="12240" w:h="15840"/>
          <w:pgMar w:top="1440" w:right="1440" w:bottom="1440" w:left="1440" w:header="720" w:footer="720" w:gutter="0"/>
          <w:lnNumType w:countBy="1" w:restart="continuous"/>
          <w:cols w:space="720"/>
          <w:docGrid w:linePitch="360"/>
        </w:sectPr>
      </w:pPr>
    </w:p>
    <w:p w14:paraId="7FDDBF60" w14:textId="77777777" w:rsidR="004F205E" w:rsidRPr="001B30B3" w:rsidRDefault="001B30B3" w:rsidP="00670D0B">
      <w:pPr>
        <w:spacing w:line="480" w:lineRule="auto"/>
        <w:jc w:val="both"/>
        <w:rPr>
          <w:szCs w:val="22"/>
        </w:rPr>
      </w:pPr>
      <w:r w:rsidRPr="001B30B3">
        <w:rPr>
          <w:b/>
          <w:szCs w:val="22"/>
        </w:rPr>
        <w:lastRenderedPageBreak/>
        <w:t>Table 1. Description of Antibiotics used in this study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11"/>
        <w:gridCol w:w="2086"/>
        <w:gridCol w:w="2199"/>
        <w:gridCol w:w="1281"/>
      </w:tblGrid>
      <w:tr w:rsidR="00AE6A3C" w:rsidRPr="00AE6A3C" w14:paraId="174C3518" w14:textId="77777777" w:rsidTr="00AE6A3C">
        <w:tc>
          <w:tcPr>
            <w:tcW w:w="0" w:type="auto"/>
            <w:vAlign w:val="bottom"/>
          </w:tcPr>
          <w:p w14:paraId="2E5DA293" w14:textId="77777777" w:rsidR="00AE6A3C" w:rsidRPr="00AE6A3C" w:rsidRDefault="00AE6A3C" w:rsidP="00123FF2">
            <w:pPr>
              <w:pStyle w:val="Compact"/>
              <w:jc w:val="center"/>
              <w:rPr>
                <w:rFonts w:ascii="Arial" w:hAnsi="Arial"/>
                <w:sz w:val="22"/>
                <w:szCs w:val="22"/>
              </w:rPr>
            </w:pPr>
            <w:bookmarkStart w:id="7" w:name="figure-legends"/>
            <w:r w:rsidRPr="00AE6A3C">
              <w:rPr>
                <w:rFonts w:ascii="Arial" w:hAnsi="Arial"/>
                <w:sz w:val="22"/>
                <w:szCs w:val="22"/>
              </w:rPr>
              <w:t>Antibiotic</w:t>
            </w:r>
          </w:p>
        </w:tc>
        <w:tc>
          <w:tcPr>
            <w:tcW w:w="0" w:type="auto"/>
            <w:vAlign w:val="bottom"/>
          </w:tcPr>
          <w:p w14:paraId="59329B19"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Administration</w:t>
            </w:r>
          </w:p>
        </w:tc>
        <w:tc>
          <w:tcPr>
            <w:tcW w:w="0" w:type="auto"/>
            <w:vAlign w:val="bottom"/>
          </w:tcPr>
          <w:p w14:paraId="0574E2AE"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Class</w:t>
            </w:r>
          </w:p>
        </w:tc>
        <w:tc>
          <w:tcPr>
            <w:tcW w:w="0" w:type="auto"/>
            <w:vAlign w:val="bottom"/>
          </w:tcPr>
          <w:p w14:paraId="7028E375"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Mechanism</w:t>
            </w:r>
          </w:p>
        </w:tc>
        <w:tc>
          <w:tcPr>
            <w:tcW w:w="0" w:type="auto"/>
            <w:vAlign w:val="bottom"/>
          </w:tcPr>
          <w:p w14:paraId="6BAAECD2"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Target</w:t>
            </w:r>
          </w:p>
        </w:tc>
      </w:tr>
      <w:tr w:rsidR="00AE6A3C" w:rsidRPr="00AE6A3C" w14:paraId="19B33696" w14:textId="77777777" w:rsidTr="00AE6A3C">
        <w:tc>
          <w:tcPr>
            <w:tcW w:w="0" w:type="auto"/>
          </w:tcPr>
          <w:p w14:paraId="619D967C"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Ciprofloxacin</w:t>
            </w:r>
          </w:p>
        </w:tc>
        <w:tc>
          <w:tcPr>
            <w:tcW w:w="0" w:type="auto"/>
          </w:tcPr>
          <w:p w14:paraId="75A2F8CC"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Oral gavage, one time</w:t>
            </w:r>
          </w:p>
        </w:tc>
        <w:tc>
          <w:tcPr>
            <w:tcW w:w="0" w:type="auto"/>
          </w:tcPr>
          <w:p w14:paraId="082F9D94" w14:textId="77777777" w:rsidR="00AE6A3C" w:rsidRPr="00AE6A3C" w:rsidRDefault="00AE6A3C" w:rsidP="00123FF2">
            <w:pPr>
              <w:pStyle w:val="Compact"/>
              <w:jc w:val="center"/>
              <w:rPr>
                <w:rFonts w:ascii="Arial" w:hAnsi="Arial"/>
                <w:sz w:val="22"/>
                <w:szCs w:val="22"/>
              </w:rPr>
            </w:pPr>
            <w:proofErr w:type="spellStart"/>
            <w:r w:rsidRPr="00AE6A3C">
              <w:rPr>
                <w:rFonts w:ascii="Arial" w:hAnsi="Arial"/>
                <w:sz w:val="22"/>
                <w:szCs w:val="22"/>
              </w:rPr>
              <w:t>Fluoroquinolone</w:t>
            </w:r>
            <w:proofErr w:type="spellEnd"/>
          </w:p>
        </w:tc>
        <w:tc>
          <w:tcPr>
            <w:tcW w:w="0" w:type="auto"/>
          </w:tcPr>
          <w:p w14:paraId="25BCE6CC"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 xml:space="preserve">Inhibits DNA </w:t>
            </w:r>
            <w:proofErr w:type="spellStart"/>
            <w:r w:rsidRPr="00AE6A3C">
              <w:rPr>
                <w:rFonts w:ascii="Arial" w:hAnsi="Arial"/>
                <w:sz w:val="22"/>
                <w:szCs w:val="22"/>
              </w:rPr>
              <w:t>gyrase</w:t>
            </w:r>
            <w:proofErr w:type="spellEnd"/>
          </w:p>
        </w:tc>
        <w:tc>
          <w:tcPr>
            <w:tcW w:w="0" w:type="auto"/>
          </w:tcPr>
          <w:p w14:paraId="5AEEE425"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Gram +/-</w:t>
            </w:r>
          </w:p>
        </w:tc>
      </w:tr>
      <w:tr w:rsidR="00AE6A3C" w:rsidRPr="00AE6A3C" w14:paraId="205DFA97" w14:textId="77777777" w:rsidTr="00AE6A3C">
        <w:tc>
          <w:tcPr>
            <w:tcW w:w="0" w:type="auto"/>
          </w:tcPr>
          <w:p w14:paraId="0B41D57D"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Clindamycin</w:t>
            </w:r>
          </w:p>
        </w:tc>
        <w:tc>
          <w:tcPr>
            <w:tcW w:w="0" w:type="auto"/>
          </w:tcPr>
          <w:p w14:paraId="77A7CA57"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IP injection, one time</w:t>
            </w:r>
          </w:p>
        </w:tc>
        <w:tc>
          <w:tcPr>
            <w:tcW w:w="0" w:type="auto"/>
          </w:tcPr>
          <w:p w14:paraId="7B0A52B4" w14:textId="77777777" w:rsidR="00AE6A3C" w:rsidRPr="00AE6A3C" w:rsidRDefault="00AE6A3C" w:rsidP="00123FF2">
            <w:pPr>
              <w:pStyle w:val="Compact"/>
              <w:jc w:val="center"/>
              <w:rPr>
                <w:rFonts w:ascii="Arial" w:hAnsi="Arial"/>
                <w:sz w:val="22"/>
                <w:szCs w:val="22"/>
              </w:rPr>
            </w:pPr>
            <w:proofErr w:type="spellStart"/>
            <w:r w:rsidRPr="00AE6A3C">
              <w:rPr>
                <w:rFonts w:ascii="Arial" w:hAnsi="Arial"/>
                <w:sz w:val="22"/>
                <w:szCs w:val="22"/>
              </w:rPr>
              <w:t>Lincosamide</w:t>
            </w:r>
            <w:proofErr w:type="spellEnd"/>
          </w:p>
        </w:tc>
        <w:tc>
          <w:tcPr>
            <w:tcW w:w="0" w:type="auto"/>
          </w:tcPr>
          <w:p w14:paraId="5613C132"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Inhibits protein synthesis</w:t>
            </w:r>
          </w:p>
        </w:tc>
        <w:tc>
          <w:tcPr>
            <w:tcW w:w="0" w:type="auto"/>
          </w:tcPr>
          <w:p w14:paraId="4EE7741A"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Anaerobes</w:t>
            </w:r>
          </w:p>
        </w:tc>
      </w:tr>
      <w:tr w:rsidR="00AE6A3C" w:rsidRPr="00AE6A3C" w14:paraId="64CBFA69" w14:textId="77777777" w:rsidTr="00AE6A3C">
        <w:tc>
          <w:tcPr>
            <w:tcW w:w="0" w:type="auto"/>
          </w:tcPr>
          <w:p w14:paraId="506330F8"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Vancomycin</w:t>
            </w:r>
          </w:p>
        </w:tc>
        <w:tc>
          <w:tcPr>
            <w:tcW w:w="0" w:type="auto"/>
          </w:tcPr>
          <w:p w14:paraId="085A8A31" w14:textId="77777777" w:rsidR="00AE6A3C" w:rsidRPr="00AE6A3C" w:rsidRDefault="00AE6A3C" w:rsidP="00123FF2">
            <w:pPr>
              <w:pStyle w:val="Compact"/>
              <w:jc w:val="center"/>
              <w:rPr>
                <w:rFonts w:ascii="Arial" w:hAnsi="Arial"/>
                <w:sz w:val="22"/>
                <w:szCs w:val="22"/>
              </w:rPr>
            </w:pPr>
            <w:r w:rsidRPr="00AE6A3C">
              <w:rPr>
                <w:rFonts w:ascii="Arial" w:hAnsi="Arial"/>
                <w:i/>
                <w:sz w:val="22"/>
                <w:szCs w:val="22"/>
              </w:rPr>
              <w:t>Ad libitum</w:t>
            </w:r>
            <w:r w:rsidRPr="00AE6A3C">
              <w:rPr>
                <w:rFonts w:ascii="Arial" w:hAnsi="Arial"/>
                <w:sz w:val="22"/>
                <w:szCs w:val="22"/>
              </w:rPr>
              <w:t xml:space="preserve"> in drinking water, five days</w:t>
            </w:r>
          </w:p>
        </w:tc>
        <w:tc>
          <w:tcPr>
            <w:tcW w:w="0" w:type="auto"/>
          </w:tcPr>
          <w:p w14:paraId="14742317" w14:textId="77777777" w:rsidR="00AE6A3C" w:rsidRPr="00AE6A3C" w:rsidRDefault="00AE6A3C" w:rsidP="00123FF2">
            <w:pPr>
              <w:pStyle w:val="Compact"/>
              <w:jc w:val="center"/>
              <w:rPr>
                <w:rFonts w:ascii="Arial" w:hAnsi="Arial"/>
                <w:sz w:val="22"/>
                <w:szCs w:val="22"/>
              </w:rPr>
            </w:pPr>
            <w:proofErr w:type="spellStart"/>
            <w:r w:rsidRPr="00AE6A3C">
              <w:rPr>
                <w:rFonts w:ascii="Arial" w:hAnsi="Arial"/>
                <w:sz w:val="22"/>
                <w:szCs w:val="22"/>
              </w:rPr>
              <w:t>Glycopeptide</w:t>
            </w:r>
            <w:proofErr w:type="spellEnd"/>
          </w:p>
        </w:tc>
        <w:tc>
          <w:tcPr>
            <w:tcW w:w="0" w:type="auto"/>
          </w:tcPr>
          <w:p w14:paraId="4672E00E"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Inhibits peptidoglycan synthesis</w:t>
            </w:r>
          </w:p>
        </w:tc>
        <w:tc>
          <w:tcPr>
            <w:tcW w:w="0" w:type="auto"/>
          </w:tcPr>
          <w:p w14:paraId="400A437D"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Gram +</w:t>
            </w:r>
          </w:p>
        </w:tc>
      </w:tr>
      <w:tr w:rsidR="00AE6A3C" w:rsidRPr="00AE6A3C" w14:paraId="7258CC95" w14:textId="77777777" w:rsidTr="00AE6A3C">
        <w:tc>
          <w:tcPr>
            <w:tcW w:w="0" w:type="auto"/>
          </w:tcPr>
          <w:p w14:paraId="00526C7C"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Streptomycin</w:t>
            </w:r>
          </w:p>
        </w:tc>
        <w:tc>
          <w:tcPr>
            <w:tcW w:w="0" w:type="auto"/>
          </w:tcPr>
          <w:p w14:paraId="75187875" w14:textId="77777777" w:rsidR="00AE6A3C" w:rsidRPr="00AE6A3C" w:rsidRDefault="00AE6A3C" w:rsidP="00123FF2">
            <w:pPr>
              <w:pStyle w:val="Compact"/>
              <w:jc w:val="center"/>
              <w:rPr>
                <w:rFonts w:ascii="Arial" w:hAnsi="Arial"/>
                <w:sz w:val="22"/>
                <w:szCs w:val="22"/>
              </w:rPr>
            </w:pPr>
            <w:r w:rsidRPr="00AE6A3C">
              <w:rPr>
                <w:rFonts w:ascii="Arial" w:hAnsi="Arial"/>
                <w:i/>
                <w:sz w:val="22"/>
                <w:szCs w:val="22"/>
              </w:rPr>
              <w:t>Ad libitum</w:t>
            </w:r>
            <w:r w:rsidRPr="00AE6A3C">
              <w:rPr>
                <w:rFonts w:ascii="Arial" w:hAnsi="Arial"/>
                <w:sz w:val="22"/>
                <w:szCs w:val="22"/>
              </w:rPr>
              <w:t xml:space="preserve"> in drinking water, five days</w:t>
            </w:r>
          </w:p>
        </w:tc>
        <w:tc>
          <w:tcPr>
            <w:tcW w:w="0" w:type="auto"/>
          </w:tcPr>
          <w:p w14:paraId="46D20F2D"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Aminoglycoside</w:t>
            </w:r>
          </w:p>
        </w:tc>
        <w:tc>
          <w:tcPr>
            <w:tcW w:w="0" w:type="auto"/>
          </w:tcPr>
          <w:p w14:paraId="039CFE27"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Inhibits protein synthesis</w:t>
            </w:r>
          </w:p>
        </w:tc>
        <w:tc>
          <w:tcPr>
            <w:tcW w:w="0" w:type="auto"/>
          </w:tcPr>
          <w:p w14:paraId="38CED89D"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Gram +/-</w:t>
            </w:r>
          </w:p>
        </w:tc>
      </w:tr>
      <w:tr w:rsidR="00AE6A3C" w:rsidRPr="00AE6A3C" w14:paraId="670CCB87" w14:textId="77777777" w:rsidTr="00AE6A3C">
        <w:tc>
          <w:tcPr>
            <w:tcW w:w="0" w:type="auto"/>
          </w:tcPr>
          <w:p w14:paraId="53AD7041"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Cefoperazone</w:t>
            </w:r>
          </w:p>
        </w:tc>
        <w:tc>
          <w:tcPr>
            <w:tcW w:w="0" w:type="auto"/>
          </w:tcPr>
          <w:p w14:paraId="3FB85ED5" w14:textId="77777777" w:rsidR="00AE6A3C" w:rsidRPr="00AE6A3C" w:rsidRDefault="00AE6A3C" w:rsidP="00123FF2">
            <w:pPr>
              <w:pStyle w:val="Compact"/>
              <w:jc w:val="center"/>
              <w:rPr>
                <w:rFonts w:ascii="Arial" w:hAnsi="Arial"/>
                <w:sz w:val="22"/>
                <w:szCs w:val="22"/>
              </w:rPr>
            </w:pPr>
            <w:r w:rsidRPr="00AE6A3C">
              <w:rPr>
                <w:rFonts w:ascii="Arial" w:hAnsi="Arial"/>
                <w:i/>
                <w:sz w:val="22"/>
                <w:szCs w:val="22"/>
              </w:rPr>
              <w:t>Ad libitum</w:t>
            </w:r>
            <w:r w:rsidRPr="00AE6A3C">
              <w:rPr>
                <w:rFonts w:ascii="Arial" w:hAnsi="Arial"/>
                <w:sz w:val="22"/>
                <w:szCs w:val="22"/>
              </w:rPr>
              <w:t xml:space="preserve"> in drinking water, five days</w:t>
            </w:r>
          </w:p>
        </w:tc>
        <w:tc>
          <w:tcPr>
            <w:tcW w:w="0" w:type="auto"/>
          </w:tcPr>
          <w:p w14:paraId="1F1AD677"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β-lactam: Cephalosporin</w:t>
            </w:r>
          </w:p>
        </w:tc>
        <w:tc>
          <w:tcPr>
            <w:tcW w:w="0" w:type="auto"/>
          </w:tcPr>
          <w:p w14:paraId="63A258D6"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Inhibi</w:t>
            </w:r>
            <w:bookmarkStart w:id="8" w:name="_GoBack"/>
            <w:bookmarkEnd w:id="8"/>
            <w:r w:rsidRPr="00AE6A3C">
              <w:rPr>
                <w:rFonts w:ascii="Arial" w:hAnsi="Arial"/>
                <w:sz w:val="22"/>
                <w:szCs w:val="22"/>
              </w:rPr>
              <w:t>ts peptidoglycan synthesis</w:t>
            </w:r>
          </w:p>
        </w:tc>
        <w:tc>
          <w:tcPr>
            <w:tcW w:w="0" w:type="auto"/>
          </w:tcPr>
          <w:p w14:paraId="66370020"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Gram +/-</w:t>
            </w:r>
          </w:p>
        </w:tc>
      </w:tr>
      <w:tr w:rsidR="00AE6A3C" w:rsidRPr="00AE6A3C" w14:paraId="0DCC7F89" w14:textId="77777777" w:rsidTr="00AE6A3C">
        <w:tc>
          <w:tcPr>
            <w:tcW w:w="0" w:type="auto"/>
          </w:tcPr>
          <w:p w14:paraId="70E8D634"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Ampicillin</w:t>
            </w:r>
          </w:p>
        </w:tc>
        <w:tc>
          <w:tcPr>
            <w:tcW w:w="0" w:type="auto"/>
          </w:tcPr>
          <w:p w14:paraId="2F6E72C4" w14:textId="77777777" w:rsidR="00AE6A3C" w:rsidRPr="00AE6A3C" w:rsidRDefault="00AE6A3C" w:rsidP="00123FF2">
            <w:pPr>
              <w:pStyle w:val="Compact"/>
              <w:jc w:val="center"/>
              <w:rPr>
                <w:rFonts w:ascii="Arial" w:hAnsi="Arial"/>
                <w:sz w:val="22"/>
                <w:szCs w:val="22"/>
              </w:rPr>
            </w:pPr>
            <w:r w:rsidRPr="00AE6A3C">
              <w:rPr>
                <w:rFonts w:ascii="Arial" w:hAnsi="Arial"/>
                <w:i/>
                <w:sz w:val="22"/>
                <w:szCs w:val="22"/>
              </w:rPr>
              <w:t>Ad libitum</w:t>
            </w:r>
            <w:r w:rsidRPr="00AE6A3C">
              <w:rPr>
                <w:rFonts w:ascii="Arial" w:hAnsi="Arial"/>
                <w:sz w:val="22"/>
                <w:szCs w:val="22"/>
              </w:rPr>
              <w:t xml:space="preserve"> in drinking water, five days</w:t>
            </w:r>
          </w:p>
        </w:tc>
        <w:tc>
          <w:tcPr>
            <w:tcW w:w="0" w:type="auto"/>
          </w:tcPr>
          <w:p w14:paraId="3B359601"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β-lactam: Penicillin</w:t>
            </w:r>
          </w:p>
        </w:tc>
        <w:tc>
          <w:tcPr>
            <w:tcW w:w="0" w:type="auto"/>
          </w:tcPr>
          <w:p w14:paraId="11C8852C"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Inhibits peptidoglycan synthesis</w:t>
            </w:r>
          </w:p>
        </w:tc>
        <w:tc>
          <w:tcPr>
            <w:tcW w:w="0" w:type="auto"/>
          </w:tcPr>
          <w:p w14:paraId="54A9B689"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Gram +/-</w:t>
            </w:r>
          </w:p>
        </w:tc>
      </w:tr>
      <w:tr w:rsidR="00AE6A3C" w:rsidRPr="00AE6A3C" w14:paraId="3BB7E837" w14:textId="77777777" w:rsidTr="00AE6A3C">
        <w:tc>
          <w:tcPr>
            <w:tcW w:w="0" w:type="auto"/>
          </w:tcPr>
          <w:p w14:paraId="79457578"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Metronidazole</w:t>
            </w:r>
          </w:p>
        </w:tc>
        <w:tc>
          <w:tcPr>
            <w:tcW w:w="0" w:type="auto"/>
          </w:tcPr>
          <w:p w14:paraId="78B88077" w14:textId="77777777" w:rsidR="00AE6A3C" w:rsidRPr="00AE6A3C" w:rsidRDefault="00AE6A3C" w:rsidP="00123FF2">
            <w:pPr>
              <w:pStyle w:val="Compact"/>
              <w:jc w:val="center"/>
              <w:rPr>
                <w:rFonts w:ascii="Arial" w:hAnsi="Arial"/>
                <w:sz w:val="22"/>
                <w:szCs w:val="22"/>
              </w:rPr>
            </w:pPr>
            <w:r w:rsidRPr="00AE6A3C">
              <w:rPr>
                <w:rFonts w:ascii="Arial" w:hAnsi="Arial"/>
                <w:i/>
                <w:sz w:val="22"/>
                <w:szCs w:val="22"/>
              </w:rPr>
              <w:t>Ad libitum</w:t>
            </w:r>
            <w:r w:rsidRPr="00AE6A3C">
              <w:rPr>
                <w:rFonts w:ascii="Arial" w:hAnsi="Arial"/>
                <w:sz w:val="22"/>
                <w:szCs w:val="22"/>
              </w:rPr>
              <w:t xml:space="preserve"> in drinking water, five days</w:t>
            </w:r>
          </w:p>
        </w:tc>
        <w:tc>
          <w:tcPr>
            <w:tcW w:w="0" w:type="auto"/>
          </w:tcPr>
          <w:p w14:paraId="59254971" w14:textId="77777777" w:rsidR="00AE6A3C" w:rsidRPr="00AE6A3C" w:rsidRDefault="00AE6A3C" w:rsidP="00123FF2">
            <w:pPr>
              <w:pStyle w:val="Compact"/>
              <w:jc w:val="center"/>
              <w:rPr>
                <w:rFonts w:ascii="Arial" w:hAnsi="Arial"/>
                <w:sz w:val="22"/>
                <w:szCs w:val="22"/>
              </w:rPr>
            </w:pPr>
            <w:proofErr w:type="spellStart"/>
            <w:r w:rsidRPr="00AE6A3C">
              <w:rPr>
                <w:rFonts w:ascii="Arial" w:hAnsi="Arial"/>
                <w:sz w:val="22"/>
                <w:szCs w:val="22"/>
              </w:rPr>
              <w:t>Nitromidazole</w:t>
            </w:r>
            <w:proofErr w:type="spellEnd"/>
          </w:p>
        </w:tc>
        <w:tc>
          <w:tcPr>
            <w:tcW w:w="0" w:type="auto"/>
          </w:tcPr>
          <w:p w14:paraId="067F69C4"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Destabilizes bacterial DNA</w:t>
            </w:r>
          </w:p>
        </w:tc>
        <w:tc>
          <w:tcPr>
            <w:tcW w:w="0" w:type="auto"/>
          </w:tcPr>
          <w:p w14:paraId="61094564" w14:textId="77777777" w:rsidR="00AE6A3C" w:rsidRPr="00AE6A3C" w:rsidRDefault="00AE6A3C" w:rsidP="00123FF2">
            <w:pPr>
              <w:pStyle w:val="Compact"/>
              <w:jc w:val="center"/>
              <w:rPr>
                <w:rFonts w:ascii="Arial" w:hAnsi="Arial"/>
                <w:sz w:val="22"/>
                <w:szCs w:val="22"/>
              </w:rPr>
            </w:pPr>
            <w:r w:rsidRPr="00AE6A3C">
              <w:rPr>
                <w:rFonts w:ascii="Arial" w:hAnsi="Arial"/>
                <w:sz w:val="22"/>
                <w:szCs w:val="22"/>
              </w:rPr>
              <w:t>Anaerobes</w:t>
            </w:r>
          </w:p>
        </w:tc>
      </w:tr>
    </w:tbl>
    <w:p w14:paraId="19546C7C" w14:textId="77777777" w:rsidR="00AE6A3C" w:rsidRDefault="00AE6A3C" w:rsidP="00AE6A3C"/>
    <w:p w14:paraId="1EECF4F2" w14:textId="77777777" w:rsidR="00670D0B" w:rsidRPr="001B30B3" w:rsidRDefault="00670D0B" w:rsidP="00670D0B">
      <w:pPr>
        <w:pStyle w:val="Heading3"/>
        <w:spacing w:line="480" w:lineRule="auto"/>
        <w:jc w:val="both"/>
        <w:rPr>
          <w:rFonts w:ascii="Arial" w:hAnsi="Arial"/>
          <w:sz w:val="22"/>
          <w:szCs w:val="22"/>
        </w:rPr>
        <w:sectPr w:rsidR="00670D0B" w:rsidRPr="001B30B3" w:rsidSect="001B30B3">
          <w:pgSz w:w="12240" w:h="15840"/>
          <w:pgMar w:top="1440" w:right="1440" w:bottom="1440" w:left="1440" w:header="720" w:footer="720" w:gutter="0"/>
          <w:lnNumType w:countBy="1" w:restart="continuous"/>
          <w:cols w:space="720"/>
          <w:docGrid w:linePitch="360"/>
        </w:sectPr>
      </w:pPr>
    </w:p>
    <w:p w14:paraId="037DAEE0" w14:textId="77777777" w:rsidR="004F205E" w:rsidRPr="001B30B3" w:rsidRDefault="001B30B3" w:rsidP="00670D0B">
      <w:pPr>
        <w:pStyle w:val="Heading3"/>
        <w:spacing w:line="480" w:lineRule="auto"/>
        <w:jc w:val="both"/>
        <w:rPr>
          <w:rFonts w:ascii="Arial" w:hAnsi="Arial"/>
          <w:sz w:val="22"/>
          <w:szCs w:val="22"/>
        </w:rPr>
      </w:pPr>
      <w:r w:rsidRPr="001B30B3">
        <w:rPr>
          <w:rFonts w:ascii="Arial" w:hAnsi="Arial"/>
          <w:sz w:val="22"/>
          <w:szCs w:val="22"/>
        </w:rPr>
        <w:lastRenderedPageBreak/>
        <w:t>Figure Legends</w:t>
      </w:r>
    </w:p>
    <w:bookmarkEnd w:id="7"/>
    <w:p w14:paraId="07AA7B61" w14:textId="77777777" w:rsidR="004F205E" w:rsidRPr="001B30B3" w:rsidRDefault="001B30B3" w:rsidP="00670D0B">
      <w:pPr>
        <w:spacing w:line="480" w:lineRule="auto"/>
        <w:jc w:val="both"/>
        <w:rPr>
          <w:szCs w:val="22"/>
        </w:rPr>
      </w:pPr>
      <w:r w:rsidRPr="001B30B3">
        <w:rPr>
          <w:b/>
          <w:szCs w:val="22"/>
        </w:rPr>
        <w:t>Figure 1. Antibiotic treatments result in significant alterations to the structure of the microbiota and variation in colonization resistance.</w:t>
      </w:r>
      <w:r w:rsidRPr="001B30B3">
        <w:rPr>
          <w:szCs w:val="22"/>
        </w:rPr>
        <w:t xml:space="preserve"> Bars indicate the median percent relative abundance of those selected OTUs from all treatment groups on the day of </w:t>
      </w:r>
      <w:r w:rsidRPr="001B30B3">
        <w:rPr>
          <w:i/>
          <w:szCs w:val="22"/>
        </w:rPr>
        <w:t>C. difficile</w:t>
      </w:r>
      <w:r w:rsidRPr="001B30B3">
        <w:rPr>
          <w:szCs w:val="22"/>
        </w:rPr>
        <w:t xml:space="preserve"> challenge. Stars along the x-axis indicate those OTUs that were significantly different from untreated mice for that antibiotic treatment. The error bars indicate the interquartile range. The median level </w:t>
      </w:r>
      <w:r w:rsidRPr="001B30B3">
        <w:rPr>
          <w:i/>
          <w:szCs w:val="22"/>
        </w:rPr>
        <w:t>C. difficile</w:t>
      </w:r>
      <w:r w:rsidRPr="001B30B3">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324BEDF7" w14:textId="77777777" w:rsidR="004F205E" w:rsidRPr="001B30B3" w:rsidRDefault="001B30B3" w:rsidP="00670D0B">
      <w:pPr>
        <w:spacing w:line="480" w:lineRule="auto"/>
        <w:jc w:val="both"/>
        <w:rPr>
          <w:szCs w:val="22"/>
        </w:rPr>
      </w:pPr>
      <w:r w:rsidRPr="001B30B3">
        <w:rPr>
          <w:b/>
          <w:szCs w:val="22"/>
        </w:rPr>
        <w:t xml:space="preserve">Figure 2. Titration of antibiotic perturbations results in altered community structures and </w:t>
      </w:r>
      <w:r w:rsidRPr="001B30B3">
        <w:rPr>
          <w:b/>
          <w:i/>
          <w:szCs w:val="22"/>
        </w:rPr>
        <w:t>C. difficile</w:t>
      </w:r>
      <w:r w:rsidRPr="001B30B3">
        <w:rPr>
          <w:b/>
          <w:szCs w:val="22"/>
        </w:rPr>
        <w:t xml:space="preserve"> colonization resistance.</w:t>
      </w:r>
      <w:r w:rsidRPr="001B30B3">
        <w:rPr>
          <w:szCs w:val="22"/>
        </w:rPr>
        <w:t xml:space="preserve"> Bars indicate the median percent relative abundance of those selected OTUs from all treatment groups on the day of </w:t>
      </w:r>
      <w:r w:rsidRPr="001B30B3">
        <w:rPr>
          <w:i/>
          <w:szCs w:val="22"/>
        </w:rPr>
        <w:t>C. difficile</w:t>
      </w:r>
      <w:r w:rsidRPr="001B30B3">
        <w:rPr>
          <w:szCs w:val="22"/>
        </w:rPr>
        <w:t xml:space="preserve"> challenge. Stars along the x-axis indicate those OTUs that varied significantly across doses of the same antibiotic. The error bars indicate the interquartile range. The median level </w:t>
      </w:r>
      <w:r w:rsidRPr="001B30B3">
        <w:rPr>
          <w:i/>
          <w:szCs w:val="22"/>
        </w:rPr>
        <w:t>C. difficile</w:t>
      </w:r>
      <w:r w:rsidRPr="001B30B3">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25F4D946" w14:textId="77777777" w:rsidR="004F205E" w:rsidRPr="001B30B3" w:rsidRDefault="001B30B3" w:rsidP="00670D0B">
      <w:pPr>
        <w:spacing w:line="480" w:lineRule="auto"/>
        <w:jc w:val="both"/>
        <w:rPr>
          <w:szCs w:val="22"/>
        </w:rPr>
      </w:pPr>
      <w:r w:rsidRPr="001B30B3">
        <w:rPr>
          <w:b/>
          <w:szCs w:val="22"/>
        </w:rPr>
        <w:t>Figure 3. Increasing the recovery time following antibiotic perturbation restores colonization resistance.</w:t>
      </w:r>
      <w:r w:rsidRPr="001B30B3">
        <w:rPr>
          <w:szCs w:val="22"/>
        </w:rPr>
        <w:t xml:space="preserve"> Bars indicate the median percent relative abundance of those selected OTUs from all treatment groups on the day of </w:t>
      </w:r>
      <w:r w:rsidRPr="001B30B3">
        <w:rPr>
          <w:i/>
          <w:szCs w:val="22"/>
        </w:rPr>
        <w:t>C. difficile</w:t>
      </w:r>
      <w:r w:rsidRPr="001B30B3">
        <w:rPr>
          <w:szCs w:val="22"/>
        </w:rPr>
        <w:t xml:space="preserve"> challenge. Stars along the x-axis indicate those OTUs that varied significantly between those mice that were allowed 1 or 6 days of recovery. The error bars indicate the interquartile range. The median level </w:t>
      </w:r>
      <w:r w:rsidRPr="001B30B3">
        <w:rPr>
          <w:i/>
          <w:szCs w:val="22"/>
        </w:rPr>
        <w:t>C. difficile</w:t>
      </w:r>
      <w:r w:rsidRPr="001B30B3">
        <w:rPr>
          <w:szCs w:val="22"/>
        </w:rPr>
        <w:t xml:space="preserve"> colonization found 24 hours post microbiota sampling is plotted on the right for each recovery </w:t>
      </w:r>
      <w:r w:rsidRPr="001B30B3">
        <w:rPr>
          <w:szCs w:val="22"/>
        </w:rPr>
        <w:lastRenderedPageBreak/>
        <w:t xml:space="preserve">period and antibiotic with error bars indicating the interquartile range. The number of mice used in each treatment group is indicated above the </w:t>
      </w:r>
      <w:r w:rsidRPr="001B30B3">
        <w:rPr>
          <w:i/>
          <w:szCs w:val="22"/>
        </w:rPr>
        <w:t>C. difficile</w:t>
      </w:r>
      <w:r w:rsidRPr="001B30B3">
        <w:rPr>
          <w:szCs w:val="22"/>
        </w:rPr>
        <w:t xml:space="preserve"> colonization data. The dose of each antibiotic is indicated next to the name of the antibiotic.</w:t>
      </w:r>
    </w:p>
    <w:p w14:paraId="3D402347" w14:textId="77777777" w:rsidR="004F205E" w:rsidRPr="001B30B3" w:rsidRDefault="001B30B3" w:rsidP="00670D0B">
      <w:pPr>
        <w:spacing w:line="480" w:lineRule="auto"/>
        <w:jc w:val="both"/>
        <w:rPr>
          <w:szCs w:val="22"/>
        </w:rPr>
      </w:pPr>
      <w:r w:rsidRPr="001B30B3">
        <w:rPr>
          <w:b/>
          <w:szCs w:val="22"/>
        </w:rPr>
        <w:t xml:space="preserve">Figure 4. Diverse taxonomic groups are associated with low levels of </w:t>
      </w:r>
      <w:r w:rsidRPr="001B30B3">
        <w:rPr>
          <w:b/>
          <w:i/>
          <w:szCs w:val="22"/>
        </w:rPr>
        <w:t>C. difficile</w:t>
      </w:r>
      <w:r w:rsidRPr="001B30B3">
        <w:rPr>
          <w:b/>
          <w:szCs w:val="22"/>
        </w:rPr>
        <w:t xml:space="preserve"> colonization.</w:t>
      </w:r>
      <w:r w:rsidRPr="001B30B3">
        <w:rPr>
          <w:szCs w:val="22"/>
        </w:rPr>
        <w:t xml:space="preserve"> Spearman correlation coefficients were calculated using the relative abundance of OTUs found on the day that mice were challenged with </w:t>
      </w:r>
      <w:r w:rsidRPr="001B30B3">
        <w:rPr>
          <w:i/>
          <w:szCs w:val="22"/>
        </w:rPr>
        <w:t>C. difficile</w:t>
      </w:r>
      <w:r w:rsidRPr="001B30B3">
        <w:rPr>
          <w:szCs w:val="22"/>
        </w:rPr>
        <w:t xml:space="preserve"> spores and the amount of </w:t>
      </w:r>
      <w:r w:rsidRPr="001B30B3">
        <w:rPr>
          <w:i/>
          <w:szCs w:val="22"/>
        </w:rPr>
        <w:t>C. difficile</w:t>
      </w:r>
      <w:r w:rsidRPr="001B30B3">
        <w:rPr>
          <w:szCs w:val="22"/>
        </w:rPr>
        <w:t xml:space="preserve"> observed 24 hours later. Only significant correlations are presented. </w:t>
      </w:r>
      <w:proofErr w:type="gramStart"/>
      <w:r w:rsidRPr="001B30B3">
        <w:rPr>
          <w:szCs w:val="22"/>
        </w:rPr>
        <w:t>OTUs are grouped by the taxonomic family</w:t>
      </w:r>
      <w:proofErr w:type="gramEnd"/>
      <w:r w:rsidRPr="001B30B3">
        <w:rPr>
          <w:szCs w:val="22"/>
        </w:rPr>
        <w:t xml:space="preserve"> and the letters in the parentheses correspond to the phylum that the taxa belong to. B: Bacteroidetes, F: Firmicutes, P: Proteobacteria, A: Actinobacteria, T: Tenericutes.</w:t>
      </w:r>
    </w:p>
    <w:p w14:paraId="60963441" w14:textId="77777777" w:rsidR="004F205E" w:rsidRPr="001B30B3" w:rsidRDefault="001B30B3" w:rsidP="00670D0B">
      <w:pPr>
        <w:spacing w:line="480" w:lineRule="auto"/>
        <w:jc w:val="both"/>
        <w:rPr>
          <w:szCs w:val="22"/>
        </w:rPr>
      </w:pPr>
      <w:r w:rsidRPr="001B30B3">
        <w:rPr>
          <w:b/>
          <w:szCs w:val="22"/>
        </w:rPr>
        <w:t xml:space="preserve">Figure 5. Random forest regression model predicts </w:t>
      </w:r>
      <w:r w:rsidRPr="001B30B3">
        <w:rPr>
          <w:b/>
          <w:i/>
          <w:szCs w:val="22"/>
        </w:rPr>
        <w:t>C. difficile</w:t>
      </w:r>
      <w:r w:rsidRPr="001B30B3">
        <w:rPr>
          <w:b/>
          <w:szCs w:val="22"/>
        </w:rPr>
        <w:t xml:space="preserve"> colonization levels based on the structure of the microbiota.</w:t>
      </w:r>
      <w:r w:rsidRPr="001B30B3">
        <w:rPr>
          <w:szCs w:val="22"/>
        </w:rPr>
        <w:t xml:space="preserve"> The overall model explained XX% of the variation in the data. Each pane shows antibiotic treatment groups in color and the other points as gray circles.</w:t>
      </w:r>
    </w:p>
    <w:p w14:paraId="7D5F9D2B" w14:textId="77777777" w:rsidR="004F205E" w:rsidRPr="001B30B3" w:rsidRDefault="001B30B3" w:rsidP="00670D0B">
      <w:pPr>
        <w:spacing w:line="480" w:lineRule="auto"/>
        <w:jc w:val="both"/>
        <w:rPr>
          <w:szCs w:val="22"/>
        </w:rPr>
      </w:pPr>
      <w:r w:rsidRPr="001B30B3">
        <w:rPr>
          <w:b/>
          <w:szCs w:val="22"/>
        </w:rPr>
        <w:t xml:space="preserve">Figure 6. Relationship between OTU relative abundance and </w:t>
      </w:r>
      <w:r w:rsidRPr="001B30B3">
        <w:rPr>
          <w:b/>
          <w:i/>
          <w:szCs w:val="22"/>
        </w:rPr>
        <w:t>C. difficile</w:t>
      </w:r>
      <w:r w:rsidRPr="001B30B3">
        <w:rPr>
          <w:b/>
          <w:szCs w:val="22"/>
        </w:rPr>
        <w:t xml:space="preserve"> colonization levels indicates non-linearity and context-dependency.</w:t>
      </w:r>
      <w:r w:rsidRPr="001B30B3">
        <w:rPr>
          <w:szCs w:val="22"/>
        </w:rPr>
        <w:t xml:space="preserve"> The 9 OTUs that resulted in the greatest change in percent mean squared error when removed from the random forest regression model are shown in each pane and together explain XX.X% of the variation in the data. The Spearman correlation value between that OTUs abundance and C. difficile levels are shown for each pane. The color and symbols represent the same antibiotic dose and recovery period as in Figure 5.</w:t>
      </w:r>
    </w:p>
    <w:p w14:paraId="581D689D" w14:textId="77777777" w:rsidR="004F205E" w:rsidRPr="001B30B3" w:rsidRDefault="001B30B3" w:rsidP="00670D0B">
      <w:pPr>
        <w:spacing w:line="480" w:lineRule="auto"/>
        <w:jc w:val="both"/>
        <w:rPr>
          <w:szCs w:val="22"/>
        </w:rPr>
      </w:pPr>
      <w:r w:rsidRPr="001B30B3">
        <w:rPr>
          <w:b/>
          <w:szCs w:val="22"/>
        </w:rPr>
        <w:t xml:space="preserve">Figure S1. </w:t>
      </w:r>
      <w:proofErr w:type="gramStart"/>
      <w:r w:rsidRPr="001B30B3">
        <w:rPr>
          <w:b/>
          <w:szCs w:val="22"/>
        </w:rPr>
        <w:t xml:space="preserve">Effect of antibiotic perturbations on phylum-level representation of communities on day of </w:t>
      </w:r>
      <w:r w:rsidRPr="001B30B3">
        <w:rPr>
          <w:b/>
          <w:i/>
          <w:szCs w:val="22"/>
        </w:rPr>
        <w:t>C. difficile</w:t>
      </w:r>
      <w:r w:rsidRPr="001B30B3">
        <w:rPr>
          <w:b/>
          <w:szCs w:val="22"/>
        </w:rPr>
        <w:t xml:space="preserve"> challenge.</w:t>
      </w:r>
      <w:proofErr w:type="gramEnd"/>
      <w:r w:rsidRPr="001B30B3">
        <w:rPr>
          <w:szCs w:val="22"/>
        </w:rPr>
        <w:t xml:space="preserve"> Bars depict the median relative abundance across mice within the treatment group and error bars indicate the interquartile range.</w:t>
      </w:r>
    </w:p>
    <w:p w14:paraId="7B4341BF" w14:textId="77777777" w:rsidR="004F205E" w:rsidRPr="001B30B3" w:rsidRDefault="001B30B3" w:rsidP="00670D0B">
      <w:pPr>
        <w:spacing w:line="480" w:lineRule="auto"/>
        <w:jc w:val="both"/>
        <w:rPr>
          <w:szCs w:val="22"/>
        </w:rPr>
      </w:pPr>
      <w:r w:rsidRPr="001B30B3">
        <w:rPr>
          <w:b/>
          <w:szCs w:val="22"/>
        </w:rPr>
        <w:lastRenderedPageBreak/>
        <w:t xml:space="preserve">Figure S2. </w:t>
      </w:r>
      <w:proofErr w:type="gramStart"/>
      <w:r w:rsidRPr="001B30B3">
        <w:rPr>
          <w:b/>
          <w:szCs w:val="22"/>
        </w:rPr>
        <w:t xml:space="preserve">Effect of titrated antibiotic treatments on phylum-level representation of communities on day of </w:t>
      </w:r>
      <w:r w:rsidRPr="001B30B3">
        <w:rPr>
          <w:b/>
          <w:i/>
          <w:szCs w:val="22"/>
        </w:rPr>
        <w:t>C. difficile</w:t>
      </w:r>
      <w:r w:rsidRPr="001B30B3">
        <w:rPr>
          <w:b/>
          <w:szCs w:val="22"/>
        </w:rPr>
        <w:t xml:space="preserve"> challenge.</w:t>
      </w:r>
      <w:proofErr w:type="gramEnd"/>
      <w:r w:rsidRPr="001B30B3">
        <w:rPr>
          <w:szCs w:val="22"/>
        </w:rPr>
        <w:t xml:space="preserve"> Bars depict the median relative abundance across mice within the treatment group and error bars indicate the interquartile range.</w:t>
      </w:r>
    </w:p>
    <w:p w14:paraId="5E3E401C" w14:textId="77777777" w:rsidR="004F205E" w:rsidRPr="001B30B3" w:rsidRDefault="001B30B3" w:rsidP="00670D0B">
      <w:pPr>
        <w:spacing w:line="480" w:lineRule="auto"/>
        <w:jc w:val="both"/>
        <w:rPr>
          <w:szCs w:val="22"/>
        </w:rPr>
      </w:pPr>
      <w:r w:rsidRPr="001B30B3">
        <w:rPr>
          <w:b/>
          <w:szCs w:val="22"/>
        </w:rPr>
        <w:t xml:space="preserve">Figure S3. </w:t>
      </w:r>
      <w:proofErr w:type="gramStart"/>
      <w:r w:rsidRPr="001B30B3">
        <w:rPr>
          <w:b/>
          <w:szCs w:val="22"/>
        </w:rPr>
        <w:t xml:space="preserve">Effect of recovery period following antibiotic treatments on phylum-level representation of communities on day of </w:t>
      </w:r>
      <w:r w:rsidRPr="001B30B3">
        <w:rPr>
          <w:b/>
          <w:i/>
          <w:szCs w:val="22"/>
        </w:rPr>
        <w:t>C. difficile</w:t>
      </w:r>
      <w:r w:rsidRPr="001B30B3">
        <w:rPr>
          <w:b/>
          <w:szCs w:val="22"/>
        </w:rPr>
        <w:t xml:space="preserve"> challenge.</w:t>
      </w:r>
      <w:proofErr w:type="gramEnd"/>
      <w:r w:rsidRPr="001B30B3">
        <w:rPr>
          <w:szCs w:val="22"/>
        </w:rPr>
        <w:t xml:space="preserve"> Bars depict the median relative abundance across mice within the treatment group and error bars indicate the interquartile range.</w:t>
      </w:r>
    </w:p>
    <w:p w14:paraId="152E589A" w14:textId="77777777" w:rsidR="004F205E" w:rsidRPr="001B30B3" w:rsidRDefault="001B30B3" w:rsidP="00670D0B">
      <w:pPr>
        <w:spacing w:line="480" w:lineRule="auto"/>
        <w:jc w:val="both"/>
        <w:rPr>
          <w:szCs w:val="22"/>
        </w:rPr>
      </w:pPr>
      <w:r w:rsidRPr="001B30B3">
        <w:rPr>
          <w:b/>
          <w:szCs w:val="22"/>
        </w:rPr>
        <w:t>Figure S4. The change in percent mean squared error when each OTU was removed from the random forest regression model.</w:t>
      </w:r>
    </w:p>
    <w:sectPr w:rsidR="004F205E" w:rsidRPr="001B30B3" w:rsidSect="001B30B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07010" w14:textId="77777777" w:rsidR="00670D0B" w:rsidRDefault="00670D0B" w:rsidP="00670D0B">
      <w:pPr>
        <w:spacing w:after="0"/>
      </w:pPr>
      <w:r>
        <w:separator/>
      </w:r>
    </w:p>
  </w:endnote>
  <w:endnote w:type="continuationSeparator" w:id="0">
    <w:p w14:paraId="1EFAD1BC" w14:textId="77777777" w:rsidR="00670D0B" w:rsidRDefault="00670D0B" w:rsidP="00670D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A8102" w14:textId="77777777" w:rsidR="00670D0B" w:rsidRDefault="00670D0B" w:rsidP="000B13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B43266" w14:textId="77777777" w:rsidR="00670D0B" w:rsidRDefault="00670D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4EC64" w14:textId="77777777" w:rsidR="00670D0B" w:rsidRDefault="00670D0B" w:rsidP="000B13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6A3C">
      <w:rPr>
        <w:rStyle w:val="PageNumber"/>
        <w:noProof/>
      </w:rPr>
      <w:t>18</w:t>
    </w:r>
    <w:r>
      <w:rPr>
        <w:rStyle w:val="PageNumber"/>
      </w:rPr>
      <w:fldChar w:fldCharType="end"/>
    </w:r>
  </w:p>
  <w:p w14:paraId="504D7B2A" w14:textId="77777777" w:rsidR="00670D0B" w:rsidRDefault="00670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9CB09" w14:textId="77777777" w:rsidR="00670D0B" w:rsidRDefault="00670D0B" w:rsidP="00670D0B">
      <w:pPr>
        <w:spacing w:after="0"/>
      </w:pPr>
      <w:r>
        <w:separator/>
      </w:r>
    </w:p>
  </w:footnote>
  <w:footnote w:type="continuationSeparator" w:id="0">
    <w:p w14:paraId="6004B1B9" w14:textId="77777777" w:rsidR="00670D0B" w:rsidRDefault="00670D0B" w:rsidP="00670D0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9289C"/>
    <w:multiLevelType w:val="multilevel"/>
    <w:tmpl w:val="4DEA7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30B3"/>
    <w:rsid w:val="004E29B3"/>
    <w:rsid w:val="004F205E"/>
    <w:rsid w:val="00590D07"/>
    <w:rsid w:val="00670D0B"/>
    <w:rsid w:val="00784D58"/>
    <w:rsid w:val="008D6863"/>
    <w:rsid w:val="00AE6A3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5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B30B3"/>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670D0B"/>
    <w:pPr>
      <w:tabs>
        <w:tab w:val="center" w:pos="4320"/>
        <w:tab w:val="right" w:pos="8640"/>
      </w:tabs>
      <w:spacing w:after="0"/>
    </w:pPr>
  </w:style>
  <w:style w:type="character" w:customStyle="1" w:styleId="FooterChar">
    <w:name w:val="Footer Char"/>
    <w:basedOn w:val="DefaultParagraphFont"/>
    <w:link w:val="Footer"/>
    <w:rsid w:val="00670D0B"/>
  </w:style>
  <w:style w:type="character" w:styleId="PageNumber">
    <w:name w:val="page number"/>
    <w:basedOn w:val="DefaultParagraphFont"/>
    <w:rsid w:val="00670D0B"/>
  </w:style>
  <w:style w:type="character" w:styleId="LineNumber">
    <w:name w:val="line number"/>
    <w:basedOn w:val="DefaultParagraphFont"/>
    <w:rsid w:val="001B30B3"/>
  </w:style>
  <w:style w:type="paragraph" w:customStyle="1" w:styleId="Compact">
    <w:name w:val="Compact"/>
    <w:basedOn w:val="Normal"/>
    <w:qFormat/>
    <w:rsid w:val="00AE6A3C"/>
    <w:pPr>
      <w:spacing w:before="36" w:after="36"/>
    </w:pPr>
    <w:rPr>
      <w:rFonts w:asciiTheme="minorHAnsi" w:hAnsiTheme="minorHAns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5386</Words>
  <Characters>30701</Characters>
  <Application>Microsoft Macintosh Word</Application>
  <DocSecurity>0</DocSecurity>
  <Lines>255</Lines>
  <Paragraphs>72</Paragraphs>
  <ScaleCrop>false</ScaleCrop>
  <Company>The University of Michigan</Company>
  <LinksUpToDate>false</LinksUpToDate>
  <CharactersWithSpaces>36015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4</cp:revision>
  <cp:lastPrinted>2015-04-09T21:01:00Z</cp:lastPrinted>
  <dcterms:created xsi:type="dcterms:W3CDTF">2015-04-09T20:42:00Z</dcterms:created>
  <dcterms:modified xsi:type="dcterms:W3CDTF">2015-04-09T21:03:00Z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