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Manipulation of the Gut Microbiota Reveals Role of Gut Microbiota in Colon Tumorigenesis</w:t>
      </w:r>
    </w:p>
    <w:p>
      <w:r>
        <w:t xml:space="preserve">Joseph P. Zackular</w:t>
      </w:r>
      <w:r>
        <w:t xml:space="preserve">1</w:t>
      </w:r>
      <w:r>
        <w:t xml:space="preserve">, Nielson T. Baxter</w:t>
      </w:r>
      <w:r>
        <w:t xml:space="preserve">1</w:t>
      </w:r>
      <w:r>
        <w:t xml:space="preserve">, Grace Y. Chen</w:t>
      </w:r>
      <w:r>
        <w:t xml:space="preserve">2</w:t>
      </w:r>
      <w:r>
        <w:rPr>
          <w:i/>
        </w:rPr>
        <w:t xml:space="preserve">, and Patrick D. Schloss</w:t>
      </w:r>
      <w:r>
        <w:rPr>
          <w:i/>
        </w:rPr>
        <w:t xml:space="preserve">1</w:t>
      </w:r>
    </w:p>
    <w:p>
      <w:r>
        <w:t xml:space="preserve">* To whom correspondence should be addressed.</w:t>
      </w:r>
    </w:p>
    <w:p>
      <w:r>
        <w:t xml:space="preserve">pschloss@umich.edu; gchenry@umich.edu</w:t>
      </w:r>
    </w:p>
    <w:p>
      <w:r>
        <w:t xml:space="preserve">1 Department of Microbiology and Immunology, University of Michigan, Ann Arbor, MI</w:t>
      </w:r>
    </w:p>
    <w:p>
      <w:r>
        <w:t xml:space="preserve">2 Department of Internal Medicine, Division of Hematology and Oncology, University of Michigan, Ann Arbor, MI</w:t>
      </w:r>
    </w:p>
    <w:p>
      <w:r>
        <w:rPr>
          <w:b/>
        </w:rPr>
        <w:t xml:space="preserve">Abstract</w:t>
      </w:r>
    </w:p>
    <w:p>
      <w: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did not change the bacterial load but reduced the number of tumors at the end of the model. Using the random forest machine learning algorithm we successfully modeled the number of tumors that developed over the course of the model based on the composition of the microbiota at the beginning. The timing of antibiotic treatment was an important determinant of tumor outcome as colon tumorigenesis was arrested with the use of antibiotics during the inflammation period of the murine model. Together, these results indicate that it is possible to predict colon tumorigenesis based on the composition of the microbiota and that altering the gut microbiota can alter the course of tumorigenesis.</w:t>
      </w:r>
    </w:p>
    <w:p>
      <w:r>
        <w:rPr>
          <w:b/>
        </w:rPr>
        <w:t xml:space="preserve">Keywords:</w:t>
      </w:r>
      <w:r>
        <w:t xml:space="preserve"> </w:t>
      </w:r>
      <w:r>
        <w:t xml:space="preserve">azoxymethane, dextran sodium sulfate, 16S rRNA gene sequencing, microbial ecology, microbiome</w:t>
      </w:r>
    </w:p>
    <w:p>
      <w:r>
        <w:rPr>
          <w:b/>
        </w:rPr>
        <w:t xml:space="preserve">Introduction</w:t>
      </w:r>
    </w:p>
    <w:p>
      <w:r>
        <w:t xml:space="preserve">The mammalian gastrointestinal tract is home to a complex and dynamic community of microorganisms, termed the gut microbiota, which is essential for maintaining host health {Bäckhed, 2005 #834}. There are complex interactions among bacterial populations in the gut that have an important effect on host health {Levy, 2013 #3476;Marino, 2014 #3290;Lepp, 2004 #844}. The number of diseases that are associated with abnormalities in the gut microbiota highlights the importance of these ecological interactions {Turnbaugh, 2006 #1519;Tamboli, 2004 #3477;Saulnier, 2011 #3478}. Over the last several years, it has been well documented that perturbations to this community are associated with colorectal cancer (CRC) in humans and mice {Chen, 2013 #2734;Chen, 2012 #2684;Kostic, 2011 #2435;Geng, 2013 #2686;Shen, 2010 #2687;Sobhani, 2011 #2444;Wang, 2012 #3286;Ahn, 2013 #3263}. We have previously shown that CRC-associated changes in the gut microbiota directly potentiate colon tumorigenesis in a mouse model of CRC {Zackular, 2013 #3305}.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{Baxter, 2014 #3469}. Combined, these results demonstrate that the microbiota interact with the host to affect tumor susceptibility. A critical question that remains unanswered is what factors and ecological principles mediate the gut microbiota's influence on tumor development. Deciphering how changes in microbial community composition and structure alters gut homeostasis, and subsequently modulate tumorigenesis, is an essential step in understanding the etiology of CRC.</w:t>
      </w:r>
    </w:p>
    <w:p>
      <w:r>
        <w:t xml:space="preserve">Several bacterial populations including</w:t>
      </w:r>
      <w:r>
        <w:t xml:space="preserve"> </w:t>
      </w:r>
      <w:r>
        <w:rPr>
          <w:i/>
        </w:rPr>
        <w:t xml:space="preserve">E. coli</w:t>
      </w:r>
      <w:r>
        <w:t xml:space="preserve">,</w:t>
      </w:r>
      <w:r>
        <w:t xml:space="preserve"> </w:t>
      </w:r>
      <w:r>
        <w:rPr>
          <w:i/>
        </w:rPr>
        <w:t xml:space="preserve">Bacteroides fragilis</w:t>
      </w:r>
      <w:r>
        <w:t xml:space="preserve">, and</w:t>
      </w:r>
      <w:r>
        <w:t xml:space="preserve"> </w:t>
      </w:r>
      <w:r>
        <w:rPr>
          <w:i/>
        </w:rPr>
        <w:t xml:space="preserve">Fusobacterium nucleatum</w:t>
      </w:r>
      <w:r>
        <w:t xml:space="preserve"> </w:t>
      </w:r>
      <w:r>
        <w:t xml:space="preserve">have been shown to directly influence tumor development in the colon. The mechanisms by which bacteria potentiate these processes range from the production of carcinogenic toxins {Arthur, 2012 #2681;Sears, 2008 #3265} to direct manipulation of the inflammatory status of the tumor microenvironment {Kostic, 2013 #3285;Rubinstein, 2013 #3264}.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{Chen, 2013 #2734;Chen, 2012 #2684;Kostic, 2011 #2435;Geng, 2013 #2686;Shen, 2010 #2687;Sobhani, 2011 #2444;Wang, 2012 #3286;Ahn, 2013 #3263;Zackular, 2014 #3457}.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{Lepage, 2013 #3479;Turnbaugh, 2009 #2387;Qin, 2010 #2337}. Furthermore, some bacterial populations have been hypothesized to be protective against CRC {Louis, 2009 #3480;Appleyard, 2011 #3494}. This protective phenotype may be mediated through metabolite production, induction of immunotolerance, or an ability to outcompete pathogenic bacteria {Zhu, 2011 #3497}. We hypothesize that multiple bacteria in the gut microbiota have the potential to play pro-tumorigenic or tumor-suppressive roles; thus, the gut microbiota's influence on CRC is likely to be driven by complex interactions within the microbiota and the colonic epithelium.</w:t>
      </w:r>
    </w:p>
    <w:p>
      <w:r>
        <w:t xml:space="preserve">We have shown that conventionally-raised mice treated with a cocktail of metronidazole, streptomycin, and vancomycin in their drinking water had a significant decrease in tumor numbers using an inflammation-based model of CRC {Zackular, 2014 #3457}.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r>
        <w:rPr>
          <w:b/>
        </w:rPr>
        <w:t xml:space="preserve">Results</w:t>
      </w:r>
    </w:p>
    <w:p>
      <w:r>
        <w:t xml:space="preserve">r if(!result){ print("ERROR")}</w:t>
      </w:r>
    </w:p>
    <w:p>
      <w:r>
        <w:rPr>
          <w:i/>
          <w:b/>
        </w:rPr>
        <w:t xml:space="preserve">Antibiotic perturbation of the gut microbiota modulates tumorigenicity.</w:t>
      </w:r>
      <w:r>
        <w:t xml:space="preserve"> </w:t>
      </w:r>
      <w:r>
        <w:t xml:space="preserve">We subjected specific pathogen-free (SPF) C57BL/6 mice to an inflammation-based model of colorectal cancer that utilizes azoxymethane (AOM) as a mutagen and dextran sodium sulfate (DSS) to induce inflammation {Zackular, 2013 #3305;Baxter, 2014 #3469;De Robertis, 2011 #3300} (Figure 1A). To determine how differential changes in the gut microbiota affected tumorigenesis, we manipulated the microbiota by administering seven different antibiotic combinations for the length of the model (Interveneion 1; Figure 1A) and then quantified the effects of the treatments on the number of tumors observed at the end of the model (Figure 1BC). Specifically, we treated mice with (i) no antibiotics, (ii) metronidazole, streptomycin, and vancomycin (all antibiotics), (iii) streptomycin and vancomycin (</w:t>
      </w:r>
      <m:oMath>
        <m:r>
          <m:rPr/>
          <m:t>Δ</m:t>
        </m:r>
      </m:oMath>
      <w:r>
        <w:t xml:space="preserve"> </w:t>
      </w:r>
      <w:r>
        <w:t xml:space="preserve">metronidazole), (iv) metronidazole and vancomycin (</w:t>
      </w:r>
      <m:oMath>
        <m:r>
          <m:rPr/>
          <m:t>Δ</m:t>
        </m:r>
      </m:oMath>
      <w:r>
        <w:t xml:space="preserve"> </w:t>
      </w:r>
      <w:r>
        <w:t xml:space="preserve">streptomycin), (v) metronidazole and streptomycin (</w:t>
      </w:r>
      <m:oMath>
        <m:r>
          <m:rPr/>
          <m:t>Δ</m:t>
        </m:r>
      </m:oMath>
      <w:r>
        <w:t xml:space="preserve"> </w:t>
      </w:r>
      <w:r>
        <w:t xml:space="preserve">vancomycin), (vi) metronidazole, (vii) streptomycin, and (viii) vancomycin. The three antibiotics were selected based on their reported ability to target general groups of bacteria including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1DE);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Benjimani-Hochberg correction) with the exception of the vancomycin and</w:t>
      </w:r>
      <w:r>
        <w:t xml:space="preserve"> </w:t>
      </w:r>
      <m:oMath>
        <m:r>
          <m:rPr/>
          <m:t>Δ</m:t>
        </m:r>
      </m:oMath>
      <w:r>
        <w:t xml:space="preserve"> </w:t>
      </w:r>
      <w:r>
        <w:t xml:space="preserve">streptomycin treated mice (P=). These results and an ordination of the communities indicated that the communities are distinct from each other (Figure 1E) and varied in their ability to drive tumorigenesis.</w:t>
      </w:r>
    </w:p>
    <w:p>
      <w:r>
        <w:rPr>
          <w:i/>
          <w:b/>
        </w:rPr>
        <w:t xml:space="preserve">Tumor burden can be predicted from the initial microbiota.</w:t>
      </w:r>
      <w:r>
        <w:t xml:space="preserve"> </w:t>
      </w:r>
      <w:r>
        <w:t xml:space="preserve">Tumor burden can be predicted from the initial microbiota.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and observed a peak in the amount of the variation explained in the observed tumor counts when we used the twelve most important OTUs (Supplemental Figure 1). The simplified model explained 67.7% of the variation in the observed tumor counts (Figure 2). These twelve OTUs included members of the Firmicutes (OTUs 1, 66, 99, and 185), Bacteroidetes (OTUs 14, 67, 79, and 107), Proteobacteria (OTUs 7, 36, and 72), and Tenericutes (OTU 9). With the exception of OTUs affiliated with members of the</w:t>
      </w:r>
      <w:r>
        <w:t xml:space="preserve"> </w:t>
      </w:r>
      <w:r>
        <w:rPr>
          <w:i/>
        </w:rPr>
        <w:t xml:space="preserve">Lactobacillus</w:t>
      </w:r>
      <w:r>
        <w:t xml:space="preserve"> </w:t>
      </w:r>
      <w:r>
        <w:t xml:space="preserve">(OTU 1) and Betaproteobacteria (OTU 7), each of the OTUs was associated with increased tumor burden (Figure 3). The relative abundance of the</w:t>
      </w:r>
      <w:r>
        <w:t xml:space="preserve"> </w:t>
      </w:r>
      <w:r>
        <w:rPr>
          <w:i/>
        </w:rPr>
        <w:t xml:space="preserve">Lactobacillus</w:t>
      </w:r>
      <w:r>
        <w:t xml:space="preserve">-affiliated OTU at the start of the model was inversely proportional to the tumor burden at the end of the model. There was not a clear relationship between the initial relative abundance of the</w:t>
      </w:r>
      <w:r>
        <w:t xml:space="preserve"> </w:t>
      </w:r>
      <w:r>
        <w:rPr>
          <w:i/>
        </w:rPr>
        <w:t xml:space="preserve">Betaproteobacteria</w:t>
      </w:r>
      <w:r>
        <w:t xml:space="preserve">-affiliated OTU and the final tumor burden. Interestingly, tumorigenesis was not dependent on the presence of any of the OTUs. In other words, tumors could form even when an OTU was below the limit of detection. This suggests that the role of the microbiota in driving tumor formation was context dependent. More broadly, our random forest modeling demonstrated that it was possible to predict the number of tumors at the end of the model based on the composition of the microbiota at the beginning of the model.</w:t>
      </w:r>
    </w:p>
    <w:p>
      <w:r>
        <w:rPr>
          <w:i/>
          <w:b/>
        </w:rPr>
        <w:t xml:space="preserve">Tumor burden can be predicted from the microbiota at the end of the model.</w:t>
      </w:r>
      <w:r>
        <w:t xml:space="preserve"> </w:t>
      </w:r>
      <w:r>
        <w:t xml:space="preserve">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The simplified model explained 65.6% of the variation in the tumor counts (Supplementary Figure 3), which was comparable to what we observed when we modeled tumor counts based on the initial community composition. This model utilized the relative abundance data from OTUs affiliated with members of the Firmicutes (OTU 85), Bacteroidetes (OTUs 7, 19, 28, 29, and 51), Proteobacteria (OTU 7), and candidate phylum Saccharibacteria (OTU 192; Supplementary Figure 4). Interestingly, of the OTUs that were predictive of the number of tumor counts using the initial and final community composition data, only one of the OTUs overlapped, which was affiliated with the Betaproteobacteria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r>
        <w:rPr>
          <w:i/>
          <w:b/>
        </w:rPr>
        <w:t xml:space="preserve">The microbial community is dynamic during inflammation-associated tumorigenesis.</w:t>
      </w:r>
      <w:r>
        <w:t xml:space="preserve"> </w:t>
      </w:r>
      <w:r>
        <w:t xml:space="preserve">Using mice that were colonized with human feces, we previously reported that tumor burden was associated with the amount of change in the community structure over the course of the AOM-DSS model {Baxter, 2014 #3469}. In the current study, however, there was a non-significant association between the change in the community structure as measured by the</w:t>
      </w:r>
      <w:r>
        <w:t xml:space="preserve"> </w:t>
      </w:r>
      <m:oMath>
        <m:r>
          <m:rPr/>
          <m:t>θ</m:t>
        </m:r>
      </m:oMath>
      <w:r>
        <w:t xml:space="preserve">YC</w:t>
      </w:r>
      <w:r>
        <w:t xml:space="preserve"> </w:t>
      </w:r>
      <w:r>
        <w:t xml:space="preserve">metric of community structure similarity and tumor burden (</w:t>
      </w:r>
      <m:oMath>
        <m:r>
          <m:rPr/>
          <m:t>ρ</m:t>
        </m:r>
      </m:oMath>
      <w: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OTUs affiliated with the</w:t>
      </w:r>
      <w:r>
        <w:t xml:space="preserve"> </w:t>
      </w:r>
      <w:r>
        <w:rPr>
          <w:i/>
        </w:rPr>
        <w:t xml:space="preserve">Lactobacillus</w:t>
      </w:r>
      <w:r>
        <w:t xml:space="preserve"> </w:t>
      </w:r>
      <w:r>
        <w:t xml:space="preserve">(OTU 1) and Enterobacteriaceae (OTU 2) were consistently among the most dynamic OTUs across the treatment groups (Figure 4). Interestingly the initial relative abundance of the</w:t>
      </w:r>
      <w:r>
        <w:t xml:space="preserve"> </w:t>
      </w:r>
      <w:r>
        <w:rPr>
          <w:i/>
        </w:rPr>
        <w:t xml:space="preserve">Lactobacillus</w:t>
      </w:r>
      <w:r>
        <w:t xml:space="preserve">-affiliated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r>
        <w:rPr>
          <w:i/>
          <w:b/>
        </w:rPr>
        <w:t xml:space="preserve">Antibiotic intervention during inflammation reduces tumorigenesis.</w:t>
      </w:r>
      <w:r>
        <w:t xml:space="preserve"> </w:t>
      </w:r>
      <w:r>
        <w:t xml:space="preserve">The results of our current study and our previous investigations of the role of the gut microbiota in colonic tumorigenesis have suggested that by manipulating the gut microbiota, it would be possible to manipulate tumorigenesis {Zackular, 2013 #3305;Baxter, 2014 #3469}. To fourther validate these results, we performed two additional antibiotic intervention experiments. We first treated mice with the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{Zackular, 2013 #3305}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r>
        <w:rPr>
          <w:b/>
        </w:rPr>
        <w:t xml:space="preserve">Discussion</w:t>
      </w:r>
    </w:p>
    <w:p>
      <w:r>
        <w:t xml:space="preserve">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We previously analyzed the feces of mice receiving all three antibiotics using a culture-independent quantitative PCR approach and observed a non-significant reduction in the bacterial load {Zackular, 2014 #3457}. This result is in agreement with other studies that have used a similar antibiotic cocktail in studying</w:t>
      </w:r>
      <w:r>
        <w:t xml:space="preserve"> </w:t>
      </w:r>
      <w:r>
        <w:rPr>
          <w:i/>
        </w:rPr>
        <w:t xml:space="preserve">Salmonella</w:t>
      </w:r>
      <w:r>
        <w:t xml:space="preserve"> </w:t>
      </w:r>
      <w:r>
        <w:t xml:space="preserve">infection and colitis {Sekirov, 2008 #3507;Garrett, 2007 #3508}. Meanwhile, others have seen a small but significant decrease in bacterial load which varied along the gastrointestinal tract {Ubeda, 2010 #3509}. Considering our previous result and the fact that we observed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{Baxter, 2014 #3469}. By pursuing various approaches to generate variation in the initial community, it is clear that gut microbiota are involved in protecting against and exacerbating colonic tumorigenesis.</w:t>
      </w:r>
    </w:p>
    <w:p>
      <w:r>
        <w:t xml:space="preserve">In recent years, there has been a focus on identifying specific bacterial populations that are etiologic agents of CRC. Several commensal bacteria, including</w:t>
      </w:r>
      <w:r>
        <w:t xml:space="preserve"> </w:t>
      </w:r>
      <w:r>
        <w:rPr>
          <w:i/>
        </w:rPr>
        <w:t xml:space="preserve">E. coli</w:t>
      </w:r>
      <w:r>
        <w:t xml:space="preserve">,</w:t>
      </w:r>
      <w:r>
        <w:t xml:space="preserve"> </w:t>
      </w:r>
      <w:r>
        <w:rPr>
          <w:i/>
        </w:rPr>
        <w:t xml:space="preserve">Fusobacterium nucleatum</w:t>
      </w:r>
      <w:r>
        <w:t xml:space="preserve"> </w:t>
      </w:r>
      <w:r>
        <w:t xml:space="preserve">and enterotoxigenic</w:t>
      </w:r>
      <w:r>
        <w:t xml:space="preserve"> </w:t>
      </w:r>
      <w:r>
        <w:rPr>
          <w:i/>
        </w:rPr>
        <w:t xml:space="preserve">Bacteroides fragilis</w:t>
      </w:r>
      <w:r>
        <w:t xml:space="preserve"> </w:t>
      </w:r>
      <w:r>
        <w:t xml:space="preserve">(ETBF) have been linked to CRC in humans {Arthur, 2012 #2681;Rubinstein, 2013 #3264;Sears, 2008 #3265}.</w:t>
      </w:r>
      <w:r>
        <w:t xml:space="preserve"> </w:t>
      </w:r>
      <w:r>
        <w:rPr>
          <w:i/>
        </w:rPr>
        <w:t xml:space="preserve">F. nucleatum</w:t>
      </w:r>
      <w:r>
        <w:t xml:space="preserve">, which has been detected on the surface of over 50% adenomas in one study, can promote inflammation within the tumor microenvironment in multiple intestinal neoplasia mice {Kostic, 2013 #3285;Kostic, 2011 #2435}. ETBF increases tumor multiplicity in the colon of multiple intestinal neoplasia mice through the action of a secreted metalloprotease toxin. It has been estimated that between 5-35% of people carry ETBF {Housseau, 2010 #3498}.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The results in the present study support this hypothesis, as we demonstrated that different community structures were associated 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w:t>
      </w:r>
      <w:r>
        <w:t xml:space="preserve"> </w:t>
      </w:r>
      <w:r>
        <w:rPr>
          <w:i/>
        </w:rPr>
        <w:t xml:space="preserve">C. difficile</w:t>
      </w:r>
      <w:r>
        <w:t xml:space="preserve"> </w:t>
      </w:r>
      <w:r>
        <w:t xml:space="preserve">colonization {Schubert, 2015 #3510}, we found that the context of the gut microbiota is important in predicting the eventual tumor burden. Such a result suggests that there may be redundancy in tumor-modulating roles amongst different bacteria populations within the gut microbiota.</w:t>
      </w:r>
    </w:p>
    <w:p>
      <w:r>
        <w:t xml:space="preserve">As described above, there has been considerable effort to identify bacteria and their products that cause colon cancer. In contrast, our results indicate a need to focus on protective populations. We consistently observed that that the relative abundance of a</w:t>
      </w:r>
      <w:r>
        <w:t xml:space="preserve"> </w:t>
      </w:r>
      <w:r>
        <w:rPr>
          <w:i/>
        </w:rPr>
        <w:t xml:space="preserve">Lactobacillus</w:t>
      </w:r>
      <w:r>
        <w:t xml:space="preserve">-affiliated OTU (OTU 1) was predictive of a low tumor burden (Figure 3).</w:t>
      </w:r>
      <w:r>
        <w:t xml:space="preserve"> </w:t>
      </w:r>
      <w:r>
        <w:rPr>
          <w:i/>
        </w:rPr>
        <w:t xml:space="preserve">Lactobacillus</w:t>
      </w:r>
      <w:r>
        <w:t xml:space="preserve"> </w:t>
      </w:r>
      <w:r>
        <w:t xml:space="preserve">are widely used as probiotics to reduce inflammation in the gastrointestinal tract. These bacteria have been successfully reduced colonic inflammation in mouse models of colitis {Chen, 2013 #3512}, necrotizing enterocolitis {Liu, 2014 #3514}, and graft-versus-host disease {Jenq, 2012 #3513}. It has been shown that</w:t>
      </w:r>
      <w:r>
        <w:t xml:space="preserve"> </w:t>
      </w:r>
      <w:r>
        <w:rPr>
          <w:i/>
        </w:rPr>
        <w:t xml:space="preserve">Lactobacillus</w:t>
      </w:r>
      <w:r>
        <w:t xml:space="preserve"> </w:t>
      </w:r>
      <w:r>
        <w:t xml:space="preserve">enhances epithelial barrier function by inducing the production of mucus and tight junction proteins {Mack, 2003 #3515;Liu, 2011 #3516} and that it can modulate the host's immune response by suppressing the expression of the proinflammatory cytokine IL-17 {Chen, 2015 #3511}. The clinical significance of this result is unclear, however, considering we observed suppression of tumorigenesis when the microbiota had levels of</w:t>
      </w:r>
      <w:r>
        <w:t xml:space="preserve"> </w:t>
      </w:r>
      <w:r>
        <w:rPr>
          <w:i/>
        </w:rPr>
        <w:t xml:space="preserve">Lactobacillus</w:t>
      </w:r>
      <w:r>
        <w:t xml:space="preserve"> </w:t>
      </w:r>
      <w:r>
        <w:t xml:space="preserve">that were higher than the 0.1 to 1% relative abundance commonly observed in the feces of humans {The Human Microbiome Consortium, 2012 #2617}. Regardless, a better understanding of the possible protective role of</w:t>
      </w:r>
      <w:r>
        <w:t xml:space="preserve"> </w:t>
      </w:r>
      <w:r>
        <w:rPr>
          <w:i/>
        </w:rPr>
        <w:t xml:space="preserve">Latobacillus</w:t>
      </w:r>
      <w:r>
        <w:t xml:space="preserve"> </w:t>
      </w:r>
      <w:r>
        <w:t xml:space="preserve">in limiting tumorigenesis may be useful in developing probiotic and prebiotic therapies.</w:t>
      </w:r>
    </w:p>
    <w:p>
      <w: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overfitting the model to the data {Breiman, 2001 #2526}. Although random forest models are commonly used for classifying samples to specific categories, the regression-based approach has been used with microbiome data to predict</w:t>
      </w:r>
      <w:r>
        <w:t xml:space="preserve"> </w:t>
      </w:r>
      <w:r>
        <w:rPr>
          <w:i/>
        </w:rPr>
        <w:t xml:space="preserve">C. difficile</w:t>
      </w:r>
      <w:r>
        <w:t xml:space="preserve"> </w:t>
      </w:r>
      <w:r>
        <w:t xml:space="preserve">colonization {Schubert, 2015 #3510} and to assign a microbiome-based age to malnourished children {Subramanian, 2014 #3517}. Given the significant heterogeneity that we observe in gut microbiota, regression-based random forest models are a powerful tool to identify subsets of communities that are associated with disease.</w:t>
      </w:r>
    </w:p>
    <w:p>
      <w:r>
        <w:t xml:space="preserve">In our previous work, we demonstrated that dysbiosis of the gut microbiota generates a pro-inflammatory environment which results in a self-reinforcing pathogenic cascade between the gut microbiota and the host {Zackular, 2013 #3305;Baxter, 2014 #3469}. In this study, we demonstrated that antibiotic manipulation of the gut microbiota during the onset of inflammation can significantly decrease tumorigenesis in mice. This highlights the efficacy of targeting the gut microbiota in CRC. Additional studies are needed to explore the viability of manipulating the gut microbiota in CRC with methods such as diet, probiotics, and prebiotics.</w:t>
      </w:r>
    </w:p>
    <w:p>
      <w:r>
        <w:rPr>
          <w:b/>
        </w:rPr>
        <w:t xml:space="preserve">Materials &amp; Methods</w:t>
      </w:r>
    </w:p>
    <w:p>
      <w:r>
        <w:rPr>
          <w:b/>
        </w:rPr>
        <w:t xml:space="preserve">Animals and animal care.</w:t>
      </w:r>
      <w:r>
        <w:t xml:space="preserve"> </w:t>
      </w:r>
      <w:r>
        <w:t xml:space="preserve">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r>
        <w:rPr>
          <w:b/>
        </w:rPr>
        <w:t xml:space="preserve">Inflammation-induced colon tumorigenesis.</w:t>
      </w:r>
      <w:r>
        <w:t xml:space="preserve"> </w:t>
      </w:r>
      <w:r>
        <w:t xml:space="preserve">Mice received a single intraperitoneal (i.p.) injection of azoxymethane (10 mg/kg). Water containing 2% DSS was administered to mice beginning on day 5 for 5 days followed by 16 days of water. This was repeated twice for a total of 3 rounds of DSS {Zackular, 2013 #3305}. Mice were euthanized 3 weeks after the third round of DSS administration for tumor counting. At necropsy, all colons were harvested, flushed of luminal contents, and cut open longitudinally to count and measure tumors.</w:t>
      </w:r>
    </w:p>
    <w:p>
      <w:r>
        <w:rPr>
          <w:b/>
        </w:rPr>
        <w:t xml:space="preserve">Antibiotic treatment.</w:t>
      </w:r>
      <w:r>
        <w:t xml:space="preserve"> </w:t>
      </w:r>
      <w:r>
        <w:t xml:space="preserve">Mice were treated with all possible combinations of metronidazole (0.75 g/L), streptomycin (2 g/L), and vancomycin (0.5 g/L) to create eight treatment groups: no antibiotics (N=12), all antibiotics (n=9) (metronidazole, streptomycin, and vancomycin),</w:t>
      </w:r>
      <w:r>
        <w:t xml:space="preserve"> </w:t>
      </w:r>
      <m:oMath>
        <m:r>
          <m:rPr/>
          <m:t>Δ</m:t>
        </m:r>
      </m:oMath>
      <w:r>
        <w:t xml:space="preserve"> </w:t>
      </w:r>
      <w:r>
        <w:t xml:space="preserve">metronidazole (n=5) (streptomycin and vancomycin),</w:t>
      </w:r>
      <w:r>
        <w:t xml:space="preserve"> </w:t>
      </w:r>
      <m:oMath>
        <m:r>
          <m:rPr/>
          <m:t>Δ</m:t>
        </m:r>
      </m:oMath>
      <w:r>
        <w:t xml:space="preserve"> </w:t>
      </w:r>
      <w:r>
        <w:t xml:space="preserve">streptomycin (n=5) (metronidazole and vancomycin),</w:t>
      </w:r>
      <w:r>
        <w:t xml:space="preserve"> </w:t>
      </w:r>
      <m:oMath>
        <m:r>
          <m:rPr/>
          <m:t>Δ</m:t>
        </m:r>
      </m:oMath>
      <w:r>
        <w:t xml:space="preserve"> </w:t>
      </w:r>
      <w:r>
        <w:t xml:space="preserve">vancomycin (n=5) (metronidazole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r>
        <w:rPr>
          <w:b/>
        </w:rPr>
        <w:t xml:space="preserve">DNA extraction and 16S rRNA gene sequencing.</w:t>
      </w:r>
      <w:r>
        <w:t xml:space="preserve"> </w:t>
      </w:r>
      <w:r>
        <w:t xml:space="preserve">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{Kozich, 2013 #2719; Schloss, 2009 #1816}.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{Pruesse, 2007 #1735} and were screened to insure that they correctly overlapped within the V4 region. Chimeric sequences were identified using the de novo implementation of UCHIME and they were culled {Edgar, 2011 #2406}. The resulting sequences had a median length of 253 nt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https://github.com/SchlossLab/Zackular_AbAOMDSS_SciReports_2015. All FASTQ sequence data can be obtained from the Sequence Read Archive at NCBI (Accession SRP056144).</w:t>
      </w:r>
    </w:p>
    <w:p>
      <w:r>
        <w:rPr>
          <w:b/>
        </w:rPr>
        <w:t xml:space="preserve">Statistical analysis.</w:t>
      </w:r>
      <w:r>
        <w:t xml:space="preserve"> </w:t>
      </w:r>
      <w:r>
        <w:t xml:space="preserve">The microbiota data were analyzed using the R project for statistical computing. All R source code is available on our GitHub repository at https://github.com/SchlossLab/Zackular_AbAOMDSS_SciReports_2015. All random forest models were made using the randomForest package with 10,000 trees {Breiman, 2001 #2526}. Diagnostic plots indicated that the percent of the variance explained had stabilized with this number of trees. Comparison of tumor counts were made by carrying out non-parametric pairwise Wilcoxon tests. The resulting p-values were corrected for multiple comparisons using the Benjamini-Hochberg procedure using an experiment-wide Type I error rate of 0.05.</w:t>
      </w:r>
    </w:p>
    <w:p>
      <w:r>
        <w:rPr>
          <w:b/>
        </w:rPr>
        <w:t xml:space="preserve">Acknowledgements</w:t>
      </w:r>
    </w:p>
    <w:p>
      <w:r>
        <w:t xml:space="preserve">This work was supported by grants from the National Institutes for Health to PDS (R01GM099514, R01HG005975, P30DK034933, University of Michigan GI SPORE) and GYC (University of Michigan GI SPORE, ARRA Supplement P30CA4659-22S3, and R01 CA166879).</w:t>
      </w:r>
    </w:p>
    <w:p>
      <w:r>
        <w:rPr>
          <w:b/>
        </w:rPr>
        <w:t xml:space="preserve">References</w:t>
      </w:r>
    </w:p>
    <w:p>
      <w:r>
        <w:rPr>
          <w:b/>
        </w:rPr>
        <w:t xml:space="preserve">Contributions</w:t>
      </w:r>
      <w:r>
        <w:t xml:space="preserve"> </w:t>
      </w:r>
      <w:r>
        <w:t xml:space="preserve">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r>
        <w:rPr>
          <w:b/>
        </w:rPr>
        <w:t xml:space="preserve">Competing financial interests</w:t>
      </w:r>
      <w:r>
        <w:t xml:space="preserve"> </w:t>
      </w:r>
      <w:r>
        <w:t xml:space="preserve">The authors declare no competing financial interests.</w:t>
      </w:r>
    </w:p>
    <w:p>
      <w:r>
        <w:rPr>
          <w:b/>
        </w:rPr>
        <w:t xml:space="preserve">Figure legends</w:t>
      </w:r>
    </w:p>
    <w:p>
      <w:r>
        <w:rPr>
          <w:b/>
        </w:rPr>
        <w:t xml:space="preserve">Figure 1. Antibiotic perturbation drives changes in microbial community structure and final tumor burden.</w:t>
      </w:r>
      <w:r>
        <w:t xml:space="preserve"> </w:t>
      </w:r>
      <w:r>
        <w:t xml:space="preserve">The AOM-DSS model was administered to C57BL/6 mice reared under standard pathogen free (SPF) conditions with different antibiotic perturbations which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r>
        <w:rPr>
          <w:b/>
        </w:rPr>
        <w:t xml:space="preserve">Figure 2. A random forest model successfully predicted the number of tumors in the mice at the end of the model based on their microbiota composition at the start of the model.</w:t>
      </w:r>
      <w:r>
        <w:t xml:space="preserve"> </w:t>
      </w:r>
      <w:r>
        <w:t xml:space="preserve">The model explains XX.X% of the variation in the data.</w:t>
      </w:r>
    </w:p>
    <w:p>
      <w:r>
        <w:rPr>
          <w:b/>
        </w:rPr>
        <w:t xml:space="preserve">Figure 3. Relationship between the initial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2.</w:t>
      </w:r>
    </w:p>
    <w:p>
      <w:r>
        <w:rPr>
          <w:b/>
        </w:rPr>
        <w:t xml:space="preserve">Figure 4. The murine microbiota is dynamic but the amount of change is not associated with the final number of tumors.</w:t>
      </w:r>
      <w:r>
        <w:t xml:space="preserve"> </w:t>
      </w:r>
      <w:r>
        <w:t xml:space="preserve">The structure of the gut microbiota associated with untreated and the</w:t>
      </w:r>
      <w:r>
        <w:t xml:space="preserve"> </w:t>
      </w:r>
      <m:oMath>
        <m:r>
          <m:rPr/>
          <m:t>Δ</m:t>
        </m:r>
      </m:oMath>
      <w:r>
        <w:t xml:space="preserve"> </w:t>
      </w:r>
      <w:r>
        <w:t xml:space="preserve">metronidazole and</w:t>
      </w:r>
      <w:r>
        <w:t xml:space="preserve"> </w:t>
      </w:r>
      <m:oMath>
        <m:r>
          <m:rPr/>
          <m:t>Δ</m:t>
        </m:r>
      </m:oMath>
      <w:r>
        <w:t xml:space="preserve"> </w:t>
      </w:r>
      <w:r>
        <w:t xml:space="preserve">vancoymcin-treated mice changed the most throughout the model as measured using the</w:t>
      </w:r>
      <w:r>
        <w:t xml:space="preserve"> </w:t>
      </w:r>
      <m:oMath>
        <m:r>
          <m:rPr/>
          <m:t>Θ</m:t>
        </m:r>
      </m:oMath>
      <w:r>
        <w:t xml:space="preserve">YC</w:t>
      </w:r>
      <w:r>
        <w:t xml:space="preserve"> </w:t>
      </w:r>
      <w:r>
        <w:t xml:space="preserve">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r>
        <w:rPr>
          <w:b/>
        </w:rPr>
        <w:t xml:space="preserve">Figure 5. Antibiotic intervention prior to second administration of DSS alleviates tumor burden.</w:t>
      </w:r>
      <w:r>
        <w:t xml:space="preserve"> </w:t>
      </w:r>
      <w:r>
        <w:t xml:space="preserve">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r>
        <w:rPr>
          <w:b/>
        </w:rPr>
        <w:t xml:space="preserve">Supplemental Figure 1. Effect of pruning the number of OTUs included in the random forest model for predicting the number of tumors at the end of the model based on the microbiota found at the start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2. Effect of pruning the number of OTUs included in the random forest model for predicting the number of tumors at the end of the model based on the microbiota found at the end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3. A random forest model successfully predicted the number of tumors in the mice at the end of the model based on their microbiota composition at the end of the model.</w:t>
      </w:r>
      <w:r>
        <w:t xml:space="preserve"> </w:t>
      </w:r>
      <w:r>
        <w:t xml:space="preserve">The model explains XX.X% of the variation in the data.</w:t>
      </w:r>
    </w:p>
    <w:p>
      <w:r>
        <w:rPr>
          <w:b/>
        </w:rPr>
        <w:t xml:space="preserve">Supplemental Figure 4. Relationship between the final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S3.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