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Sie nennt die gemessene Geschwindigkeit und ordnet sie ein.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Wer es genau wissen will, misst in der Konsole mit "modell messen": dort wird dieselbe Fachfrage zweimal im selben Vorgang gestellt. Der erste Durchgang enthaelt das Laden des Modells, der zweite ist der Alltag - genau ihn erleben Sie, solange die Anwendung geoeffnet bleibt.</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 (Vorgabe)</w:t>
            </w:r>
          </w:p>
        </w:tc>
        <w:tc>
          <w:tcPr>
            <w:tcW w:type="dxa" w:w="3628"/>
          </w:tcPr>
          <w:p>
            <w:r/>
            <w:r>
              <w:rPr>
                <w:sz w:val="20"/>
              </w:rPr>
              <w:t>Vollstaendige Fachantwort</w:t>
            </w:r>
          </w:p>
        </w:tc>
        <w:tc>
          <w:tcPr>
            <w:tcW w:type="dxa" w:w="3061"/>
          </w:tcPr>
          <w:p>
            <w:r/>
            <w:r>
              <w:rPr>
                <w:sz w:val="20"/>
              </w:rPr>
              <w:t>Der normale Betrieb.</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