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11.09.2026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Vorlagen: dieselbe Datei immer wieder</w:t>
      </w:r>
    </w:p>
    <w:p>
      <w:pPr>
        <w:spacing w:after="40"/>
      </w:pPr>
      <w:r>
        <w:rPr>
          <w:b/>
        </w:rPr>
        <w:t xml:space="preserve">14.  </w:t>
      </w:r>
      <w:r>
        <w:t>Aufgaben: wiederkehrende Arbeiten planen</w:t>
      </w:r>
    </w:p>
    <w:p>
      <w:pPr>
        <w:spacing w:after="40"/>
      </w:pPr>
      <w:r>
        <w:rPr>
          <w:b/>
        </w:rPr>
        <w:t xml:space="preserve">15.  </w:t>
      </w:r>
      <w:r>
        <w:t>Erweiterungen (Plugins)</w:t>
      </w:r>
    </w:p>
    <w:p>
      <w:pPr>
        <w:spacing w:after="40"/>
      </w:pPr>
      <w:r>
        <w:rPr>
          <w:b/>
        </w:rPr>
        <w:t xml:space="preserve">16.  </w:t>
      </w:r>
      <w:r>
        <w:t>Betriebsmodus: HYBRID, OFFLINE, ONLINE</w:t>
      </w:r>
    </w:p>
    <w:p>
      <w:pPr>
        <w:spacing w:after="40"/>
      </w:pPr>
      <w:r>
        <w:rPr>
          <w:b/>
        </w:rPr>
        <w:t xml:space="preserve">17.  </w:t>
      </w:r>
      <w:r>
        <w:t>Wissen aktualisieren</w:t>
      </w:r>
    </w:p>
    <w:p>
      <w:pPr>
        <w:spacing w:after="40"/>
      </w:pPr>
      <w:r>
        <w:rPr>
          <w:b/>
        </w:rPr>
        <w:t xml:space="preserve">18.  </w:t>
      </w:r>
      <w:r>
        <w:t>Einstellungen und Status</w:t>
      </w:r>
    </w:p>
    <w:p>
      <w:pPr>
        <w:spacing w:after="40"/>
      </w:pPr>
      <w:r>
        <w:rPr>
          <w:b/>
        </w:rPr>
        <w:t xml:space="preserve">19.  </w:t>
      </w:r>
      <w:r>
        <w:t>Lizenz</w:t>
      </w:r>
    </w:p>
    <w:p>
      <w:pPr>
        <w:spacing w:after="40"/>
      </w:pPr>
      <w:r>
        <w:rPr>
          <w:b/>
        </w:rPr>
        <w:t xml:space="preserve">20.  </w:t>
      </w:r>
      <w:r>
        <w:t>Was der Buchhalter nicht tut</w:t>
      </w:r>
    </w:p>
    <w:p>
      <w:pPr>
        <w:spacing w:after="40"/>
      </w:pPr>
      <w:r>
        <w:rPr>
          <w:b/>
        </w:rPr>
        <w:t xml:space="preserve">21.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18).</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19</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pPr>
        <w:jc w:val="center"/>
      </w:pPr>
      <w:r>
        <w:drawing>
          <wp:inline xmlns:a="http://schemas.openxmlformats.org/drawingml/2006/main" xmlns:pic="http://schemas.openxmlformats.org/drawingml/2006/picture">
            <wp:extent cx="5580000" cy="3487500"/>
            <wp:docPr id="1" name="Picture 1"/>
            <wp:cNvGraphicFramePr>
              <a:graphicFrameLocks noChangeAspect="1"/>
            </wp:cNvGraphicFramePr>
            <a:graphic>
              <a:graphicData uri="http://schemas.openxmlformats.org/drawingml/2006/picture">
                <pic:pic>
                  <pic:nvPicPr>
                    <pic:cNvPr id="0" name="00_Begruessungsbild.png"/>
                    <pic:cNvPicPr/>
                  </pic:nvPicPr>
                  <pic:blipFill>
                    <a:blip r:embed="rId9"/>
                    <a:stretch>
                      <a:fillRect/>
                    </a:stretch>
                  </pic:blipFill>
                  <pic:spPr>
                    <a:xfrm>
                      <a:off x="0" y="0"/>
                      <a:ext cx="5580000" cy="3487500"/>
                    </a:xfrm>
                    <a:prstGeom prst="rect"/>
                  </pic:spPr>
                </pic:pic>
              </a:graphicData>
            </a:graphic>
          </wp:inline>
        </w:drawing>
      </w:r>
    </w:p>
    <w:p>
      <w:pPr>
        <w:jc w:val="center"/>
      </w:pPr>
      <w:r>
        <w:rPr>
          <w:i/>
          <w:color w:val="555555"/>
          <w:sz w:val="18"/>
        </w:rPr>
        <w:t>So begruesst Sie PORTIVA: drei Sekunden, dann geht die Startseite auf.</w:t>
      </w:r>
    </w:p>
    <w:p>
      <w:r>
        <w:rPr>
          <w:b w:val="0"/>
          <w:i w:val="0"/>
        </w:rPr>
        <w:t>Danach sehen Sie links eine dauerhafte Navigation mit zehn Bereichen. Der Bereich, in dem Sie gerade sind, ist hervorgehoben. Ueber "Leiste einklappen" wird die Navigation schmal - die Bereiche bleiben dabei anklickbar.</w:t>
      </w:r>
    </w:p>
    <w:p>
      <w:pPr>
        <w:jc w:val="center"/>
      </w:pPr>
      <w:r>
        <w:drawing>
          <wp:inline xmlns:a="http://schemas.openxmlformats.org/drawingml/2006/main" xmlns:pic="http://schemas.openxmlformats.org/drawingml/2006/picture">
            <wp:extent cx="5580000" cy="3496800"/>
            <wp:docPr id="2" name="Picture 2"/>
            <wp:cNvGraphicFramePr>
              <a:graphicFrameLocks noChangeAspect="1"/>
            </wp:cNvGraphicFramePr>
            <a:graphic>
              <a:graphicData uri="http://schemas.openxmlformats.org/drawingml/2006/picture">
                <pic:pic>
                  <pic:nvPicPr>
                    <pic:cNvPr id="0" name="01_Unterhaltung.png"/>
                    <pic:cNvPicPr/>
                  </pic:nvPicPr>
                  <pic:blipFill>
                    <a:blip r:embed="rId10"/>
                    <a:stretch>
                      <a:fillRect/>
                    </a:stretch>
                  </pic:blipFill>
                  <pic:spPr>
                    <a:xfrm>
                      <a:off x="0" y="0"/>
                      <a:ext cx="5580000" cy="3496800"/>
                    </a:xfrm>
                    <a:prstGeom prst="rect"/>
                  </pic:spPr>
                </pic:pic>
              </a:graphicData>
            </a:graphic>
          </wp:inline>
        </w:drawing>
      </w:r>
    </w:p>
    <w:p>
      <w:pPr>
        <w:jc w:val="center"/>
      </w:pPr>
      <w:r>
        <w:rPr>
          <w:i/>
          <w:color w:val="555555"/>
          <w:sz w:val="18"/>
        </w:rPr>
        <w:t>Der Bereich Unterhaltung. Links die Navigation, in der Mitte das Gespraech, rechts die Quellen der letzten Antwort.</w:t>
      </w:r>
    </w:p>
    <w:tbl>
      <w:tblPr>
        <w:tblStyle w:val="TableGrid"/>
        <w:tblW w:type="auto" w:w="0"/>
        <w:tblLook w:firstColumn="1" w:firstRow="1" w:lastColumn="0" w:lastRow="0" w:noHBand="0" w:noVBand="1" w:val="04A0"/>
      </w:tblPr>
      <w:tblGrid>
        <w:gridCol w:w="9518"/>
      </w:tblGrid>
      <w:tr>
        <w:tc>
          <w:tcPr>
            <w:tcW w:type="dxa" w:w="9518"/>
          </w:tcPr>
          <w:p>
            <w:r>
              <w:rPr>
                <w:b/>
                <w:color w:val="1F4E79"/>
              </w:rPr>
              <w:t>Ein Unterschied zwischen Bild und Ihrem Bildschirm</w:t>
            </w:r>
          </w:p>
          <w:p>
            <w:r>
              <w:t>Die Bilder in dieser Anleitung entstehen auf einem Linux-Rechner. Dort kann Windows-typisches Ziehen und Ablegen nicht funktionieren, und der schmale Streifen unter dem Eingabefeld sagt das auch: „Datei anhaengen (Ziehen ist auf diesem System nicht verfuegbar)“.</w:t>
              <w:br/>
              <w:br/>
              <w:t>Auf Ihrem Windows-Rechner steht dort „Datei hierher ziehen oder ‚Datei anhaengen‘“ - und Sie koennen eine Datei wirklich auf das Fenster ziehen. Klappt es bei Ihnen nicht, bleibt der Streifen ein Klickziel und der Knopf „Datei anhaengen“ tut dasselbe. Wer das Ziehen gar nicht will, startet die Anwendung mit gesetzter Umgebungsvariable PORTIVA_KEINE_DATEIABLAGE=1.</w:t>
              <w:br/>
              <w:br/>
              <w:t>Auch die Schrift sieht bei Ihnen etwas anders aus: Windows hat Segoe UI, der Bildrechner nur einen Ersatz dafuer.</w:t>
            </w:r>
          </w:p>
        </w:tc>
      </w:tr>
    </w:tbl>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Vorlagen fuellen und erzeugen</w:t>
            </w:r>
          </w:p>
        </w:tc>
        <w:tc>
          <w:tcPr>
            <w:tcW w:type="dxa" w:w="4082"/>
          </w:tcPr>
          <w:p>
            <w:r/>
            <w:r>
              <w:rPr>
                <w:sz w:val="20"/>
              </w:rPr>
              <w:t>Vorlage waehlen, Angaben eintragen, "Datei erzeugen"</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Anlegen, jetzt ausfuehren, pausieren, entfernen</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Alle zehn Bereiche sind gebaut. Wo etwas nicht geht, sagt PORTIVA das an Ort und Stelle - einen Knopf, der nichts tut, gibt es nirgends.</w:t>
      </w:r>
    </w:p>
    <w:p>
      <w:r>
        <w:rPr>
          <w:b w:val="0"/>
          <w:i w:val="0"/>
        </w:rPr>
        <w:t>Oben rechts stehen drei Angaben, die Sie im Blick behalten sollten:</w:t>
      </w:r>
    </w:p>
    <w:p>
      <w:pPr>
        <w:pStyle w:val="ListBullet"/>
      </w:pPr>
      <w:r>
        <w:t>Wissensstand - das Datum, auf dem die gespeicherten Fachquellen stehen.</w:t>
      </w:r>
    </w:p>
    <w:p>
      <w:pPr>
        <w:pStyle w:val="ListBullet"/>
      </w:pPr>
      <w:r>
        <w:t>Internet - ob eine Verbindung besteht. Das ist etwas anderes als der Betriebsmodus: "OFFLINE gewaehlt, Internet verfuegbar" ist ein gueltiger Zustand.</w:t>
      </w:r>
    </w:p>
    <w:p>
      <w:pPr>
        <w:pStyle w:val="ListBullet"/>
      </w:pPr>
      <w:r>
        <w:t>Ganz rechts das Auswahlfeld fuer den Betriebsmodus - OFFLINE, HYBRID oder ONLINE. Es zeigt den aktuellen Modus und stellt ihn zugleich um. Eine zusaetzliche Anzeige daneben gibt es bewusst nicht: zweimal dasselbe Wort macht es nicht deutlicher, nur enger.</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Die zehn Bereiche im Bild</w:t>
      </w:r>
    </w:p>
    <w:p>
      <w:r>
        <w:rPr>
          <w:b w:val="0"/>
          <w:i w:val="0"/>
        </w:rPr>
        <w:t>Damit Sie sich schneller zurechtfinden, hier jeder Bereich so, wie er auf dem Bildschirm aussieht. Die Bilder sind aus dem laufenden Programm aufgenommen, nicht gezeichnet - was Sie hier sehen, sehen Sie auch dort. Die Beispieldaten darin sind als Beispiel gekennzeichnet.</w:t>
      </w:r>
    </w:p>
    <w:p>
      <w:pPr>
        <w:jc w:val="center"/>
      </w:pPr>
      <w:r>
        <w:drawing>
          <wp:inline xmlns:a="http://schemas.openxmlformats.org/drawingml/2006/main" xmlns:pic="http://schemas.openxmlformats.org/drawingml/2006/picture">
            <wp:extent cx="5580000" cy="3496800"/>
            <wp:docPr id="3" name="Picture 3"/>
            <wp:cNvGraphicFramePr>
              <a:graphicFrameLocks noChangeAspect="1"/>
            </wp:cNvGraphicFramePr>
            <a:graphic>
              <a:graphicData uri="http://schemas.openxmlformats.org/drawingml/2006/picture">
                <pic:pic>
                  <pic:nvPicPr>
                    <pic:cNvPr id="0" name="02_Unternehmenswissen.png"/>
                    <pic:cNvPicPr/>
                  </pic:nvPicPr>
                  <pic:blipFill>
                    <a:blip r:embed="rId11"/>
                    <a:stretch>
                      <a:fillRect/>
                    </a:stretch>
                  </pic:blipFill>
                  <pic:spPr>
                    <a:xfrm>
                      <a:off x="0" y="0"/>
                      <a:ext cx="5580000" cy="3496800"/>
                    </a:xfrm>
                    <a:prstGeom prst="rect"/>
                  </pic:spPr>
                </pic:pic>
              </a:graphicData>
            </a:graphic>
          </wp:inline>
        </w:drawing>
      </w:r>
    </w:p>
    <w:p>
      <w:pPr>
        <w:jc w:val="center"/>
      </w:pPr>
      <w:r>
        <w:rPr>
          <w:i/>
          <w:color w:val="555555"/>
          <w:sz w:val="18"/>
        </w:rPr>
        <w:t>Unternehmenswissen: sechs Kacheln als Filter, darunter die Eintraege.</w:t>
      </w:r>
    </w:p>
    <w:p>
      <w:pPr>
        <w:jc w:val="center"/>
      </w:pPr>
      <w:r>
        <w:drawing>
          <wp:inline xmlns:a="http://schemas.openxmlformats.org/drawingml/2006/main" xmlns:pic="http://schemas.openxmlformats.org/drawingml/2006/picture">
            <wp:extent cx="5580000" cy="3496800"/>
            <wp:docPr id="4" name="Picture 4"/>
            <wp:cNvGraphicFramePr>
              <a:graphicFrameLocks noChangeAspect="1"/>
            </wp:cNvGraphicFramePr>
            <a:graphic>
              <a:graphicData uri="http://schemas.openxmlformats.org/drawingml/2006/picture">
                <pic:pic>
                  <pic:nvPicPr>
                    <pic:cNvPr id="0" name="03_Belege_und_Dokumente.png"/>
                    <pic:cNvPicPr/>
                  </pic:nvPicPr>
                  <pic:blipFill>
                    <a:blip r:embed="rId12"/>
                    <a:stretch>
                      <a:fillRect/>
                    </a:stretch>
                  </pic:blipFill>
                  <pic:spPr>
                    <a:xfrm>
                      <a:off x="0" y="0"/>
                      <a:ext cx="5580000" cy="3496800"/>
                    </a:xfrm>
                    <a:prstGeom prst="rect"/>
                  </pic:spPr>
                </pic:pic>
              </a:graphicData>
            </a:graphic>
          </wp:inline>
        </w:drawing>
      </w:r>
    </w:p>
    <w:p>
      <w:pPr>
        <w:jc w:val="center"/>
      </w:pPr>
      <w:r>
        <w:rPr>
          <w:i/>
          <w:color w:val="555555"/>
          <w:sz w:val="18"/>
        </w:rPr>
        <w:t>Belege &amp; Dokumente: oben die Aktionen, darunter der Weg vom Beleg zum Ergebnis.</w:t>
      </w:r>
    </w:p>
    <w:p>
      <w:pPr>
        <w:jc w:val="center"/>
      </w:pPr>
      <w:r>
        <w:drawing>
          <wp:inline xmlns:a="http://schemas.openxmlformats.org/drawingml/2006/main" xmlns:pic="http://schemas.openxmlformats.org/drawingml/2006/picture">
            <wp:extent cx="5580000" cy="3496800"/>
            <wp:docPr id="5" name="Picture 5"/>
            <wp:cNvGraphicFramePr>
              <a:graphicFrameLocks noChangeAspect="1"/>
            </wp:cNvGraphicFramePr>
            <a:graphic>
              <a:graphicData uri="http://schemas.openxmlformats.org/drawingml/2006/picture">
                <pic:pic>
                  <pic:nvPicPr>
                    <pic:cNvPr id="0" name="04_Arbeitsergebnisse.png"/>
                    <pic:cNvPicPr/>
                  </pic:nvPicPr>
                  <pic:blipFill>
                    <a:blip r:embed="rId13"/>
                    <a:stretch>
                      <a:fillRect/>
                    </a:stretch>
                  </pic:blipFill>
                  <pic:spPr>
                    <a:xfrm>
                      <a:off x="0" y="0"/>
                      <a:ext cx="5580000" cy="3496800"/>
                    </a:xfrm>
                    <a:prstGeom prst="rect"/>
                  </pic:spPr>
                </pic:pic>
              </a:graphicData>
            </a:graphic>
          </wp:inline>
        </w:drawing>
      </w:r>
    </w:p>
    <w:p>
      <w:pPr>
        <w:jc w:val="center"/>
      </w:pPr>
      <w:r>
        <w:rPr>
          <w:i/>
          <w:color w:val="555555"/>
          <w:sz w:val="18"/>
        </w:rPr>
        <w:t>Arbeitsergebnisse: jede erzeugte Datei mit Format, Fassung und Ablageort.</w:t>
      </w:r>
    </w:p>
    <w:p>
      <w:pPr>
        <w:jc w:val="center"/>
      </w:pPr>
      <w:r>
        <w:drawing>
          <wp:inline xmlns:a="http://schemas.openxmlformats.org/drawingml/2006/main" xmlns:pic="http://schemas.openxmlformats.org/drawingml/2006/picture">
            <wp:extent cx="5580000" cy="3496800"/>
            <wp:docPr id="6" name="Picture 6"/>
            <wp:cNvGraphicFramePr>
              <a:graphicFrameLocks noChangeAspect="1"/>
            </wp:cNvGraphicFramePr>
            <a:graphic>
              <a:graphicData uri="http://schemas.openxmlformats.org/drawingml/2006/picture">
                <pic:pic>
                  <pic:nvPicPr>
                    <pic:cNvPr id="0" name="05_Wissen_und_Quellen.png"/>
                    <pic:cNvPicPr/>
                  </pic:nvPicPr>
                  <pic:blipFill>
                    <a:blip r:embed="rId14"/>
                    <a:stretch>
                      <a:fillRect/>
                    </a:stretch>
                  </pic:blipFill>
                  <pic:spPr>
                    <a:xfrm>
                      <a:off x="0" y="0"/>
                      <a:ext cx="5580000" cy="3496800"/>
                    </a:xfrm>
                    <a:prstGeom prst="rect"/>
                  </pic:spPr>
                </pic:pic>
              </a:graphicData>
            </a:graphic>
          </wp:inline>
        </w:drawing>
      </w:r>
    </w:p>
    <w:p>
      <w:pPr>
        <w:jc w:val="center"/>
      </w:pPr>
      <w:r>
        <w:rPr>
          <w:i/>
          <w:color w:val="555555"/>
          <w:sz w:val="18"/>
        </w:rPr>
        <w:t>Wissen &amp; Quellen: Wissensstand, Update-Pipeline und das Quellenregister.</w:t>
      </w:r>
    </w:p>
    <w:p>
      <w:pPr>
        <w:jc w:val="center"/>
      </w:pPr>
      <w:r>
        <w:drawing>
          <wp:inline xmlns:a="http://schemas.openxmlformats.org/drawingml/2006/main" xmlns:pic="http://schemas.openxmlformats.org/drawingml/2006/picture">
            <wp:extent cx="5580000" cy="3496800"/>
            <wp:docPr id="7" name="Picture 7"/>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Vorlagen: links die Liste, rechts die gewaehlte Vorlage. Gefragt wird nur nach den Stellen, die offen sind.</w:t>
      </w:r>
    </w:p>
    <w:p>
      <w:pPr>
        <w:jc w:val="center"/>
      </w:pPr>
      <w:r>
        <w:drawing>
          <wp:inline xmlns:a="http://schemas.openxmlformats.org/drawingml/2006/main" xmlns:pic="http://schemas.openxmlformats.org/drawingml/2006/picture">
            <wp:extent cx="5580000" cy="3496800"/>
            <wp:docPr id="8" name="Picture 8"/>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Aufgaben &amp; Automationen: oben die geplanten Arbeiten, unten das Formular und der Schalter fuer Windows.</w:t>
      </w:r>
    </w:p>
    <w:p>
      <w:pPr>
        <w:jc w:val="center"/>
      </w:pPr>
      <w:r>
        <w:drawing>
          <wp:inline xmlns:a="http://schemas.openxmlformats.org/drawingml/2006/main" xmlns:pic="http://schemas.openxmlformats.org/drawingml/2006/picture">
            <wp:extent cx="5580000" cy="3496800"/>
            <wp:docPr id="9" name="Picture 9"/>
            <wp:cNvGraphicFramePr>
              <a:graphicFrameLocks noChangeAspect="1"/>
            </wp:cNvGraphicFramePr>
            <a:graphic>
              <a:graphicData uri="http://schemas.openxmlformats.org/drawingml/2006/picture">
                <pic:pic>
                  <pic:nvPicPr>
                    <pic:cNvPr id="0" name="08_Plugins.png"/>
                    <pic:cNvPicPr/>
                  </pic:nvPicPr>
                  <pic:blipFill>
                    <a:blip r:embed="rId17"/>
                    <a:stretch>
                      <a:fillRect/>
                    </a:stretch>
                  </pic:blipFill>
                  <pic:spPr>
                    <a:xfrm>
                      <a:off x="0" y="0"/>
                      <a:ext cx="5580000" cy="3496800"/>
                    </a:xfrm>
                    <a:prstGeom prst="rect"/>
                  </pic:spPr>
                </pic:pic>
              </a:graphicData>
            </a:graphic>
          </wp:inline>
        </w:drawing>
      </w:r>
    </w:p>
    <w:p>
      <w:pPr>
        <w:jc w:val="center"/>
      </w:pPr>
      <w:r>
        <w:rPr>
          <w:i/>
          <w:color w:val="555555"/>
          <w:sz w:val="18"/>
        </w:rPr>
        <w:t>Plugins &amp; Erweiterungen: installieren, aktivieren, Berechtigungen pruefen.</w:t>
      </w:r>
    </w:p>
    <w:p>
      <w:pPr>
        <w:jc w:val="center"/>
      </w:pPr>
      <w:r>
        <w:drawing>
          <wp:inline xmlns:a="http://schemas.openxmlformats.org/drawingml/2006/main" xmlns:pic="http://schemas.openxmlformats.org/drawingml/2006/picture">
            <wp:extent cx="5580000" cy="3496800"/>
            <wp:docPr id="10" name="Picture 10"/>
            <wp:cNvGraphicFramePr>
              <a:graphicFrameLocks noChangeAspect="1"/>
            </wp:cNvGraphicFramePr>
            <a:graphic>
              <a:graphicData uri="http://schemas.openxmlformats.org/drawingml/2006/picture">
                <pic:pic>
                  <pic:nvPicPr>
                    <pic:cNvPr id="0" name="09_Verbundene_Dienste.png"/>
                    <pic:cNvPicPr/>
                  </pic:nvPicPr>
                  <pic:blipFill>
                    <a:blip r:embed="rId18"/>
                    <a:stretch>
                      <a:fillRect/>
                    </a:stretch>
                  </pic:blipFill>
                  <pic:spPr>
                    <a:xfrm>
                      <a:off x="0" y="0"/>
                      <a:ext cx="5580000" cy="3496800"/>
                    </a:xfrm>
                    <a:prstGeom prst="rect"/>
                  </pic:spPr>
                </pic:pic>
              </a:graphicData>
            </a:graphic>
          </wp:inline>
        </w:drawing>
      </w:r>
    </w:p>
    <w:p>
      <w:pPr>
        <w:jc w:val="center"/>
      </w:pPr>
      <w:r>
        <w:rPr>
          <w:i/>
          <w:color w:val="555555"/>
          <w:sz w:val="18"/>
        </w:rPr>
        <w:t>Verbundene Dienste: externe Systeme verbinden, testen, trennen.</w:t>
      </w:r>
    </w:p>
    <w:p>
      <w:pPr>
        <w:jc w:val="center"/>
      </w:pPr>
      <w:r>
        <w:drawing>
          <wp:inline xmlns:a="http://schemas.openxmlformats.org/drawingml/2006/main" xmlns:pic="http://schemas.openxmlformats.org/drawingml/2006/picture">
            <wp:extent cx="5580000" cy="3496800"/>
            <wp:docPr id="11" name="Picture 11"/>
            <wp:cNvGraphicFramePr>
              <a:graphicFrameLocks noChangeAspect="1"/>
            </wp:cNvGraphicFramePr>
            <a:graphic>
              <a:graphicData uri="http://schemas.openxmlformats.org/drawingml/2006/picture">
                <pic:pic>
                  <pic:nvPicPr>
                    <pic:cNvPr id="0" name="10_Einstellungen_und_Status.png"/>
                    <pic:cNvPicPr/>
                  </pic:nvPicPr>
                  <pic:blipFill>
                    <a:blip r:embed="rId19"/>
                    <a:stretch>
                      <a:fillRect/>
                    </a:stretch>
                  </pic:blipFill>
                  <pic:spPr>
                    <a:xfrm>
                      <a:off x="0" y="0"/>
                      <a:ext cx="5580000" cy="3496800"/>
                    </a:xfrm>
                    <a:prstGeom prst="rect"/>
                  </pic:spPr>
                </pic:pic>
              </a:graphicData>
            </a:graphic>
          </wp:inline>
        </w:drawing>
      </w:r>
    </w:p>
    <w:p>
      <w:pPr>
        <w:jc w:val="center"/>
      </w:pPr>
      <w:r>
        <w:rPr>
          <w:i/>
          <w:color w:val="555555"/>
          <w:sz w:val="18"/>
        </w:rPr>
        <w:t>Einstellungen &amp; Status: links die Einstellungen, rechts der Systemstatus als Ampel.</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Fassung</w:t>
            </w:r>
          </w:p>
        </w:tc>
        <w:tc>
          <w:tcPr>
            <w:tcW w:type="dxa" w:w="6236"/>
          </w:tcPr>
          <w:p>
            <w:r/>
            <w:r>
              <w:rPr>
                <w:sz w:val="20"/>
              </w:rPr>
              <w:t>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Vorlagen: dieselbe Datei immer wieder</w:t>
      </w:r>
    </w:p>
    <w:p>
      <w:r>
        <w:rPr>
          <w:b w:val="0"/>
          <w:i w:val="0"/>
        </w:rPr>
        <w:t>Kapitel 12 zeigt, wie aus einer Antwort eine Datei wird. Eine Vorlage ist der umgekehrte Weg: der Text steht schon fest, und gefuellt werden nur die Stellen, die sich von Fall zu Fall aendern. Ein Mandantenbrief ist jeden Monat derselbe Brief - nur mit anderem Empfaenger, anderem Betreff und anderem Datum.</w:t>
      </w:r>
    </w:p>
    <w:p>
      <w:r>
        <w:rPr>
          <w:b w:val="0"/>
          <w:i w:val="0"/>
        </w:rPr>
        <w:t>Sechs Vorlagen sind mitgeliefert und ab dem ersten Start da:</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Vorlage</w:t>
            </w:r>
          </w:p>
        </w:tc>
        <w:tc>
          <w:tcPr>
            <w:tcW w:type="dxa" w:w="5669"/>
          </w:tcPr>
          <w:p>
            <w:r/>
            <w:r>
              <w:rPr>
                <w:b/>
              </w:rPr>
              <w:t>Wofuer</w:t>
            </w:r>
          </w:p>
        </w:tc>
      </w:tr>
      <w:tr>
        <w:tc>
          <w:tcPr>
            <w:tcW w:type="dxa" w:w="2835"/>
          </w:tcPr>
          <w:p>
            <w:r/>
            <w:r>
              <w:rPr>
                <w:sz w:val="20"/>
              </w:rPr>
              <w:t>Mandantenbrief</w:t>
            </w:r>
          </w:p>
        </w:tc>
        <w:tc>
          <w:tcPr>
            <w:tcW w:type="dxa" w:w="5669"/>
          </w:tcPr>
          <w:p>
            <w:r/>
            <w:r>
              <w:rPr>
                <w:sz w:val="20"/>
              </w:rPr>
              <w:t>Anschreiben mit Anlagenverzeichnis</w:t>
            </w:r>
          </w:p>
        </w:tc>
      </w:tr>
      <w:tr>
        <w:tc>
          <w:tcPr>
            <w:tcW w:type="dxa" w:w="2835"/>
          </w:tcPr>
          <w:p>
            <w:r/>
            <w:r>
              <w:rPr>
                <w:sz w:val="20"/>
              </w:rPr>
              <w:t>Belege nachfordern</w:t>
            </w:r>
          </w:p>
        </w:tc>
        <w:tc>
          <w:tcPr>
            <w:tcW w:type="dxa" w:w="5669"/>
          </w:tcPr>
          <w:p>
            <w:r/>
            <w:r>
              <w:rPr>
                <w:sz w:val="20"/>
              </w:rPr>
              <w:t>Fehlende Belege eines Zeitraums anfordern</w:t>
            </w:r>
          </w:p>
        </w:tc>
      </w:tr>
      <w:tr>
        <w:tc>
          <w:tcPr>
            <w:tcW w:type="dxa" w:w="2835"/>
          </w:tcPr>
          <w:p>
            <w:r/>
            <w:r>
              <w:rPr>
                <w:sz w:val="20"/>
              </w:rPr>
              <w:t>Monatsabschluss - Checkliste</w:t>
            </w:r>
          </w:p>
        </w:tc>
        <w:tc>
          <w:tcPr>
            <w:tcW w:type="dxa" w:w="5669"/>
          </w:tcPr>
          <w:p>
            <w:r/>
            <w:r>
              <w:rPr>
                <w:sz w:val="20"/>
              </w:rPr>
              <w:t>Punkte vor dem Abschluss eines Monats</w:t>
            </w:r>
          </w:p>
        </w:tc>
      </w:tr>
      <w:tr>
        <w:tc>
          <w:tcPr>
            <w:tcW w:type="dxa" w:w="2835"/>
          </w:tcPr>
          <w:p>
            <w:r/>
            <w:r>
              <w:rPr>
                <w:sz w:val="20"/>
              </w:rPr>
              <w:t>Anlagenverzeichnis (AfA)</w:t>
            </w:r>
          </w:p>
        </w:tc>
        <w:tc>
          <w:tcPr>
            <w:tcW w:type="dxa" w:w="5669"/>
          </w:tcPr>
          <w:p>
            <w:r/>
            <w:r>
              <w:rPr>
                <w:sz w:val="20"/>
              </w:rPr>
              <w:t>Anlagegueter mit Abschreibung und Buchwert</w:t>
            </w:r>
          </w:p>
        </w:tc>
      </w:tr>
      <w:tr>
        <w:tc>
          <w:tcPr>
            <w:tcW w:type="dxa" w:w="2835"/>
          </w:tcPr>
          <w:p>
            <w:r/>
            <w:r>
              <w:rPr>
                <w:sz w:val="20"/>
              </w:rPr>
              <w:t>Umsatzsteuer-Voranmeldung</w:t>
            </w:r>
          </w:p>
        </w:tc>
        <w:tc>
          <w:tcPr>
            <w:tcW w:type="dxa" w:w="5669"/>
          </w:tcPr>
          <w:p>
            <w:r/>
            <w:r>
              <w:rPr>
                <w:sz w:val="20"/>
              </w:rPr>
              <w:t>Abgabevermerk fuer einen Zeitraum</w:t>
            </w:r>
          </w:p>
        </w:tc>
      </w:tr>
      <w:tr>
        <w:tc>
          <w:tcPr>
            <w:tcW w:type="dxa" w:w="2835"/>
          </w:tcPr>
          <w:p>
            <w:r/>
            <w:r>
              <w:rPr>
                <w:sz w:val="20"/>
              </w:rPr>
              <w:t>Aktennotiz</w:t>
            </w:r>
          </w:p>
        </w:tc>
        <w:tc>
          <w:tcPr>
            <w:tcW w:type="dxa" w:w="5669"/>
          </w:tcPr>
          <w:p>
            <w:r/>
            <w:r>
              <w:rPr>
                <w:sz w:val="20"/>
              </w:rPr>
              <w:t>Kurze Notiz zu Vorgang, Gespraech oder Entscheidung</w:t>
            </w:r>
          </w:p>
        </w:tc>
      </w:tr>
    </w:tbl>
    <w:p/>
    <w:p>
      <w:pPr>
        <w:jc w:val="center"/>
      </w:pPr>
      <w:r>
        <w:drawing>
          <wp:inline xmlns:a="http://schemas.openxmlformats.org/drawingml/2006/main" xmlns:pic="http://schemas.openxmlformats.org/drawingml/2006/picture">
            <wp:extent cx="5580000" cy="3496800"/>
            <wp:docPr id="12" name="Picture 12"/>
            <wp:cNvGraphicFramePr>
              <a:graphicFrameLocks noChangeAspect="1"/>
            </wp:cNvGraphicFramePr>
            <a:graphic>
              <a:graphicData uri="http://schemas.openxmlformats.org/drawingml/2006/picture">
                <pic:pic>
                  <pic:nvPicPr>
                    <pic:cNvPr id="0" name="06_Vorlagen.png"/>
                    <pic:cNvPicPr/>
                  </pic:nvPicPr>
                  <pic:blipFill>
                    <a:blip r:embed="rId15"/>
                    <a:stretch>
                      <a:fillRect/>
                    </a:stretch>
                  </pic:blipFill>
                  <pic:spPr>
                    <a:xfrm>
                      <a:off x="0" y="0"/>
                      <a:ext cx="5580000" cy="3496800"/>
                    </a:xfrm>
                    <a:prstGeom prst="rect"/>
                  </pic:spPr>
                </pic:pic>
              </a:graphicData>
            </a:graphic>
          </wp:inline>
        </w:drawing>
      </w:r>
    </w:p>
    <w:p>
      <w:pPr>
        <w:jc w:val="center"/>
      </w:pPr>
      <w:r>
        <w:rPr>
          <w:i/>
          <w:color w:val="555555"/>
          <w:sz w:val="18"/>
        </w:rPr>
        <w:t>Links die Liste, rechts die gewaehlte Vorlage mit ihren offenen Stellen und der Vorschau.</w:t>
      </w:r>
    </w:p>
    <w:p>
      <w:pPr>
        <w:pStyle w:val="Heading2"/>
      </w:pPr>
      <w:r>
        <w:t>So erzeugen Sie eine Datei aus einer Vorlage</w:t>
      </w:r>
    </w:p>
    <w:p>
      <w:pPr>
        <w:pStyle w:val="ListNumber"/>
      </w:pPr>
      <w:r>
        <w:t>Links im Bereich Vorlagen eine Zeile anklicken.</w:t>
      </w:r>
    </w:p>
    <w:p>
      <w:pPr>
        <w:pStyle w:val="ListNumber"/>
      </w:pPr>
      <w:r>
        <w:t>Rechts erscheinen die Angaben, die noch fehlen. Alles, was in Ihrem Unternehmenswissen steht, ist bereits eingesetzt und wird gar nicht erst gefragt.</w:t>
      </w:r>
    </w:p>
    <w:p>
      <w:pPr>
        <w:pStyle w:val="ListNumber"/>
      </w:pPr>
      <w:r>
        <w:t>Die Felder ausfuellen - so viele, wie Sie mochten.</w:t>
      </w:r>
    </w:p>
    <w:p>
      <w:pPr>
        <w:pStyle w:val="ListNumber"/>
      </w:pPr>
      <w:r>
        <w:t>Vorschau anklicken und lesen, was herauskommt.</w:t>
      </w:r>
    </w:p>
    <w:p>
      <w:pPr>
        <w:pStyle w:val="ListNumber"/>
      </w:pPr>
      <w:r>
        <w:t>Format waehlen und auf Datei erzeugen klicken. Die Datei landet unter Arbeitsergebnisse.</w:t>
      </w:r>
    </w:p>
    <w:tbl>
      <w:tblPr>
        <w:tblStyle w:val="TableGrid"/>
        <w:tblW w:type="auto" w:w="0"/>
        <w:tblLook w:firstColumn="1" w:firstRow="1" w:lastColumn="0" w:lastRow="0" w:noHBand="0" w:noVBand="1" w:val="04A0"/>
      </w:tblPr>
      <w:tblGrid>
        <w:gridCol w:w="9518"/>
      </w:tblGrid>
      <w:tr>
        <w:tc>
          <w:tcPr>
            <w:tcW w:type="dxa" w:w="9518"/>
          </w:tcPr>
          <w:p>
            <w:r>
              <w:rPr>
                <w:b/>
                <w:color w:val="1F4E79"/>
              </w:rPr>
              <w:t>Was fehlt, bleibt stehen</w:t>
            </w:r>
          </w:p>
          <w:p>
            <w:r>
              <w:t>Ein Platzhalter ohne Wert wird nicht weggelassen. Er steht sichtbar in der fertigen Datei - als {{betreff}} - und die Anwendung sagt Ihnen, welche es waren.</w:t>
              <w:br/>
              <w:br/>
              <w:t>Der Grund: ein Brief mit "Sehr geehrte Damen und Herren der {{firma.name}}," faellt beim Durchlesen auf. Einer, in dem der Name stillschweigend fehlt, geht raus.</w:t>
            </w:r>
          </w:p>
        </w:tc>
      </w:tr>
    </w:tbl>
    <w:p/>
    <w:p>
      <w:r>
        <w:rPr>
          <w:b w:val="0"/>
          <w:i w:val="0"/>
        </w:rPr>
        <w:t>Deshalb koennen Sie eine Datei auch dann erzeugen, wenn noch nicht alles ausgefuellt ist. Ein Entwurf, in dem drei Stellen von Hand zu ergaenzen sind, ist ein brauchbares Arbeitsergebnis.</w:t>
      </w:r>
    </w:p>
    <w:p>
      <w:pPr>
        <w:pStyle w:val="Heading2"/>
      </w:pPr>
      <w:r>
        <w:t>Woher die Werte kommen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Quelle</w:t>
            </w:r>
          </w:p>
        </w:tc>
        <w:tc>
          <w:tcPr>
            <w:tcW w:type="dxa" w:w="4535"/>
          </w:tcPr>
          <w:p>
            <w:r/>
            <w:r>
              <w:rPr>
                <w:b/>
              </w:rPr>
              <w:t>Was von dort kommt</w:t>
            </w:r>
          </w:p>
        </w:tc>
        <w:tc>
          <w:tcPr>
            <w:tcW w:type="dxa" w:w="2608"/>
          </w:tcPr>
          <w:p>
            <w:r/>
            <w:r>
              <w:rPr>
                <w:b/>
              </w:rPr>
              <w:t>Rang</w:t>
            </w:r>
          </w:p>
        </w:tc>
      </w:tr>
      <w:tr>
        <w:tc>
          <w:tcPr>
            <w:tcW w:type="dxa" w:w="1928"/>
          </w:tcPr>
          <w:p>
            <w:r/>
            <w:r>
              <w:rPr>
                <w:sz w:val="20"/>
              </w:rPr>
              <w:t>Ihre Eingabe</w:t>
            </w:r>
          </w:p>
        </w:tc>
        <w:tc>
          <w:tcPr>
            <w:tcW w:type="dxa" w:w="4535"/>
          </w:tcPr>
          <w:p>
            <w:r/>
            <w:r>
              <w:rPr>
                <w:sz w:val="20"/>
              </w:rPr>
              <w:t>Alles, was Sie rechts eintragen</w:t>
            </w:r>
          </w:p>
        </w:tc>
        <w:tc>
          <w:tcPr>
            <w:tcW w:type="dxa" w:w="2608"/>
          </w:tcPr>
          <w:p>
            <w:r/>
            <w:r>
              <w:rPr>
                <w:sz w:val="20"/>
              </w:rPr>
              <w:t>hat Vorrang</w:t>
            </w:r>
          </w:p>
        </w:tc>
      </w:tr>
      <w:tr>
        <w:tc>
          <w:tcPr>
            <w:tcW w:type="dxa" w:w="1928"/>
          </w:tcPr>
          <w:p>
            <w:r/>
            <w:r>
              <w:rPr>
                <w:sz w:val="20"/>
              </w:rPr>
              <w:t>Unternehmenswissen</w:t>
            </w:r>
          </w:p>
        </w:tc>
        <w:tc>
          <w:tcPr>
            <w:tcW w:type="dxa" w:w="4535"/>
          </w:tcPr>
          <w:p>
            <w:r/>
            <w:r>
              <w:rPr>
                <w:sz w:val="20"/>
              </w:rPr>
              <w:t>Firmenname, Steuernummer, Kontenrahmen und alles Weitere, was Sie dort gepflegt haben</w:t>
            </w:r>
          </w:p>
        </w:tc>
        <w:tc>
          <w:tcPr>
            <w:tcW w:type="dxa" w:w="2608"/>
          </w:tcPr>
          <w:p>
            <w:r/>
            <w:r>
              <w:rPr>
                <w:sz w:val="20"/>
              </w:rPr>
              <w:t>wird genommen, wenn Sie nichts eintragen</w:t>
            </w:r>
          </w:p>
        </w:tc>
      </w:tr>
      <w:tr>
        <w:tc>
          <w:tcPr>
            <w:tcW w:type="dxa" w:w="1928"/>
          </w:tcPr>
          <w:p>
            <w:r/>
            <w:r>
              <w:rPr>
                <w:sz w:val="20"/>
              </w:rPr>
              <w:t>Das Datum</w:t>
            </w:r>
          </w:p>
        </w:tc>
        <w:tc>
          <w:tcPr>
            <w:tcW w:type="dxa" w:w="4535"/>
          </w:tcPr>
          <w:p>
            <w:r/>
            <w:r>
              <w:rPr>
                <w:sz w:val="20"/>
              </w:rPr>
              <w:t>datum, jahr, monat</w:t>
            </w:r>
          </w:p>
        </w:tc>
        <w:tc>
          <w:tcPr>
            <w:tcW w:type="dxa" w:w="2608"/>
          </w:tcPr>
          <w:p>
            <w:r/>
            <w:r>
              <w:rPr>
                <w:sz w:val="20"/>
              </w:rPr>
              <w:t>kommt von selbst</w:t>
            </w:r>
          </w:p>
        </w:tc>
      </w:tr>
    </w:tbl>
    <w:p/>
    <w:p>
      <w:r>
        <w:rPr>
          <w:b w:val="0"/>
          <w:i w:val="0"/>
        </w:rPr>
        <w:t>Je mehr unter Unternehmenswissen steht, desto weniger fragt eine Vorlage. Wer seinen Firmennamen dort hinterlegt, tippt ihn nicht bei jedem Brief erneut.</w:t>
      </w:r>
    </w:p>
    <w:p>
      <w:pPr>
        <w:pStyle w:val="Heading2"/>
      </w:pPr>
      <w:r>
        <w:t>Eigene Vorlagen aufnehmen</w:t>
      </w:r>
    </w:p>
    <w:p>
      <w:r>
        <w:rPr>
          <w:b w:val="0"/>
          <w:i w:val="0"/>
        </w:rPr>
        <w:t>Eine Vorlage ist eine schlichte Textdatei (.md oder .txt). Die Stellen zum Fuellen stehen in doppelten geschweiften Klammern:</w:t>
      </w:r>
    </w:p>
    <w:p>
      <w:r>
        <w:rPr>
          <w:b w:val="0"/>
          <w:i w:val="0"/>
        </w:rPr>
        <w:t>Sehr geehrte Damen und Herren der {{mandant.name}},</w:t>
      </w:r>
    </w:p>
    <w:p>
      <w:pPr>
        <w:pStyle w:val="ListNumber"/>
      </w:pPr>
      <w:r>
        <w:t>Text in eine .txt- oder .md-Datei schreiben, Platzhalter setzen.</w:t>
      </w:r>
    </w:p>
    <w:p>
      <w:pPr>
        <w:pStyle w:val="ListNumber"/>
      </w:pPr>
      <w:r>
        <w:t>Im Bereich Vorlagen auf Eigene Vorlage aufnehmen klicken.</w:t>
      </w:r>
    </w:p>
    <w:p>
      <w:pPr>
        <w:pStyle w:val="ListNumber"/>
      </w:pPr>
      <w:r>
        <w:t>Die Datei auswaehlen. PORTIVA meldet, wieviele Platzhalter es gefunden hat.</w:t>
      </w:r>
    </w:p>
    <w:p>
      <w:r>
        <w:rPr>
          <w:b w:val="0"/>
          <w:i w:val="0"/>
        </w:rPr>
        <w:t>Word-Dateien gehen hier bewusst nicht. Den Text koennte die Anwendung herausloesen, die Formatierung nicht - und eine Vorlage, die ihr Aussehen verliert, ist als Vorlage wertlos. Besser ein klarer Satz als ein enttaeuschendes Ergebnis.</w:t>
      </w:r>
    </w:p>
    <w:tbl>
      <w:tblPr>
        <w:tblStyle w:val="TableGrid"/>
        <w:tblW w:type="auto" w:w="0"/>
        <w:tblLook w:firstColumn="1" w:firstRow="1" w:lastColumn="0" w:lastRow="0" w:noHBand="0" w:noVBand="1" w:val="04A0"/>
      </w:tblPr>
      <w:tblGrid>
        <w:gridCol w:w="9518"/>
      </w:tblGrid>
      <w:tr>
        <w:tc>
          <w:tcPr>
            <w:tcW w:type="dxa" w:w="9518"/>
          </w:tcPr>
          <w:p>
            <w:r>
              <w:rPr>
                <w:b/>
                <w:color w:val="1F4E79"/>
              </w:rPr>
              <w:t>Ihre Vorlagen gehoeren Ihnen</w:t>
            </w:r>
          </w:p>
          <w:p>
            <w:r>
              <w:t>Sie liegen als lesbare Textdateien unter workspace\vorlagen auf dem Datentraeger - im Bereich Ihres Unternehmens, nicht im Programmordner. Arbeiten mehrere Unternehmen auf demselben Datentraeger, hat jedes seine eigenen.</w:t>
              <w:br/>
              <w:br/>
              <w:t>Aendern Sie eine mitgelieferte Vorlage, bleibt Ihre Fassung erhalten - auch wenn eine neuere Programmfassung eine andere mitbringt.</w:t>
            </w:r>
          </w:p>
        </w:tc>
      </w:tr>
    </w:tbl>
    <w:p/>
    <w:p>
      <w:r>
        <w:rPr>
          <w:b w:val="0"/>
          <w:i w:val="0"/>
        </w:rPr>
        <w:t>Jede aus einer Vorlage erzeugte Datei traegt unten den Hinweis, dass sie fachliche Zuarbeit ist und vor der Verwendung durch einen Menschen zu pruefen ist. Sie sieht aus wie ein fertiges Dokument - sie ist keines.</w:t>
      </w:r>
    </w:p>
    <w:p>
      <w:pPr>
        <w:pStyle w:val="Heading1"/>
      </w:pPr>
      <w:r>
        <w:t>14.  Aufgaben: wiederkehrende Arbeiten planen</w:t>
      </w:r>
    </w:p>
    <w:p>
      <w:r>
        <w:rPr>
          <w:b w:val="0"/>
          <w:i w:val="0"/>
        </w:rPr>
        <w:t>Manche Arbeiten wiederholen sich: eine Sicherung jede Nacht, ein Blick auf den Wissensstand jede Woche. Dafuer gibt es den Bereich Aufgaben.</w:t>
      </w:r>
    </w:p>
    <w:p>
      <w:pPr>
        <w:jc w:val="center"/>
      </w:pPr>
      <w:r>
        <w:drawing>
          <wp:inline xmlns:a="http://schemas.openxmlformats.org/drawingml/2006/main" xmlns:pic="http://schemas.openxmlformats.org/drawingml/2006/picture">
            <wp:extent cx="5580000" cy="3496800"/>
            <wp:docPr id="13" name="Picture 13"/>
            <wp:cNvGraphicFramePr>
              <a:graphicFrameLocks noChangeAspect="1"/>
            </wp:cNvGraphicFramePr>
            <a:graphic>
              <a:graphicData uri="http://schemas.openxmlformats.org/drawingml/2006/picture">
                <pic:pic>
                  <pic:nvPicPr>
                    <pic:cNvPr id="0" name="07_Aufgaben.png"/>
                    <pic:cNvPicPr/>
                  </pic:nvPicPr>
                  <pic:blipFill>
                    <a:blip r:embed="rId16"/>
                    <a:stretch>
                      <a:fillRect/>
                    </a:stretch>
                  </pic:blipFill>
                  <pic:spPr>
                    <a:xfrm>
                      <a:off x="0" y="0"/>
                      <a:ext cx="5580000" cy="3496800"/>
                    </a:xfrm>
                    <a:prstGeom prst="rect"/>
                  </pic:spPr>
                </pic:pic>
              </a:graphicData>
            </a:graphic>
          </wp:inline>
        </w:drawing>
      </w:r>
    </w:p>
    <w:p>
      <w:pPr>
        <w:jc w:val="center"/>
      </w:pPr>
      <w:r>
        <w:rPr>
          <w:i/>
          <w:color w:val="555555"/>
          <w:sz w:val="18"/>
        </w:rPr>
        <w:t>Oben die geplanten Aufgaben mit ihrem naechsten Termin, unten das Formular zum Anlegen und der Schalter fuer Windows.</w:t>
      </w:r>
    </w:p>
    <w:tbl>
      <w:tblPr>
        <w:tblStyle w:val="TableGrid"/>
        <w:tblW w:type="auto" w:w="0"/>
        <w:tblLook w:firstColumn="1" w:firstRow="1" w:lastColumn="0" w:lastRow="0" w:noHBand="0" w:noVBand="1" w:val="04A0"/>
      </w:tblPr>
      <w:tblGrid>
        <w:gridCol w:w="9518"/>
      </w:tblGrid>
      <w:tr>
        <w:tc>
          <w:tcPr>
            <w:tcW w:type="dxa" w:w="9518"/>
          </w:tcPr>
          <w:p>
            <w:r>
              <w:rPr>
                <w:b/>
                <w:color w:val="1F4E79"/>
              </w:rPr>
              <w:t>PORTIVA laeuft nur, solange es geoeffnet ist</w:t>
            </w:r>
          </w:p>
          <w:p>
            <w:r>
              <w:t>Das ist der Preis der Portabilitaet: es gibt keinen Dienst im Hintergrund und keine Installation. Aufgaben laufen also, solange das Fenster offen ist.</w:t>
              <w:br/>
              <w:br/>
              <w:t>Was in einer Pause ausgefallen ist, wird beim naechsten Start EINMAL nachgeholt - nicht einmal je verpasstem Termin. War der Rechner fuenf Tage aus, laeuft die naechtliche Sicherung einmal und nicht fuenfmal. Fuenf Sicherungen hintereinander waeren keine fuenf Sicherungen, sondern eine Sicherung und vier Wartezeiten.</w:t>
            </w:r>
          </w:p>
        </w:tc>
      </w:tr>
    </w:tbl>
    <w:p/>
    <w:p>
      <w:pPr>
        <w:pStyle w:val="Heading2"/>
      </w:pPr>
      <w:r>
        <w:t>Was sich planen laesst</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Arbeit</w:t>
            </w:r>
          </w:p>
        </w:tc>
        <w:tc>
          <w:tcPr>
            <w:tcW w:type="dxa" w:w="4819"/>
          </w:tcPr>
          <w:p>
            <w:r/>
            <w:r>
              <w:rPr>
                <w:b/>
              </w:rPr>
              <w:t>Was sie tut</w:t>
            </w:r>
          </w:p>
        </w:tc>
        <w:tc>
          <w:tcPr>
            <w:tcW w:type="dxa" w:w="1417"/>
          </w:tcPr>
          <w:p>
            <w:r/>
            <w:r>
              <w:rPr>
                <w:b/>
              </w:rPr>
              <w:t>Braucht Internet</w:t>
            </w:r>
          </w:p>
        </w:tc>
      </w:tr>
      <w:tr>
        <w:tc>
          <w:tcPr>
            <w:tcW w:type="dxa" w:w="2268"/>
          </w:tcPr>
          <w:p>
            <w:r/>
            <w:r>
              <w:rPr>
                <w:sz w:val="20"/>
              </w:rPr>
              <w:t>Wissen aktualisieren</w:t>
            </w:r>
          </w:p>
        </w:tc>
        <w:tc>
          <w:tcPr>
            <w:tcW w:type="dxa" w:w="4819"/>
          </w:tcPr>
          <w:p>
            <w:r/>
            <w:r>
              <w:rPr>
                <w:sz w:val="20"/>
              </w:rPr>
              <w:t>Holt die amtlichen Quellen, deren Intervall abgelaufen ist</w:t>
            </w:r>
          </w:p>
        </w:tc>
        <w:tc>
          <w:tcPr>
            <w:tcW w:type="dxa" w:w="1417"/>
          </w:tcPr>
          <w:p>
            <w:r/>
            <w:r>
              <w:rPr>
                <w:sz w:val="20"/>
              </w:rPr>
              <w:t>ja</w:t>
            </w:r>
          </w:p>
        </w:tc>
      </w:tr>
      <w:tr>
        <w:tc>
          <w:tcPr>
            <w:tcW w:type="dxa" w:w="2268"/>
          </w:tcPr>
          <w:p>
            <w:r/>
            <w:r>
              <w:rPr>
                <w:sz w:val="20"/>
              </w:rPr>
              <w:t>Sicherung anlegen</w:t>
            </w:r>
          </w:p>
        </w:tc>
        <w:tc>
          <w:tcPr>
            <w:tcW w:type="dxa" w:w="4819"/>
          </w:tcPr>
          <w:p>
            <w:r/>
            <w:r>
              <w:rPr>
                <w:sz w:val="20"/>
              </w:rPr>
              <w:t>Sichert Unternehmensgedaechtnis, Fachwissen und Einstellungen</w:t>
            </w:r>
          </w:p>
        </w:tc>
        <w:tc>
          <w:tcPr>
            <w:tcW w:type="dxa" w:w="1417"/>
          </w:tcPr>
          <w:p>
            <w:r/>
            <w:r>
              <w:rPr>
                <w:sz w:val="20"/>
              </w:rPr>
              <w:t>nein</w:t>
            </w:r>
          </w:p>
        </w:tc>
      </w:tr>
      <w:tr>
        <w:tc>
          <w:tcPr>
            <w:tcW w:type="dxa" w:w="2268"/>
          </w:tcPr>
          <w:p>
            <w:r/>
            <w:r>
              <w:rPr>
                <w:sz w:val="20"/>
              </w:rPr>
              <w:t>Wissensstand pruefen</w:t>
            </w:r>
          </w:p>
        </w:tc>
        <w:tc>
          <w:tcPr>
            <w:tcW w:type="dxa" w:w="4819"/>
          </w:tcPr>
          <w:p>
            <w:r/>
            <w:r>
              <w:rPr>
                <w:sz w:val="20"/>
              </w:rPr>
              <w:t>Sieht nach, wie alt das Fachwissen ist; aendert nichts</w:t>
            </w:r>
          </w:p>
        </w:tc>
        <w:tc>
          <w:tcPr>
            <w:tcW w:type="dxa" w:w="1417"/>
          </w:tcPr>
          <w:p>
            <w:r/>
            <w:r>
              <w:rPr>
                <w:sz w:val="20"/>
              </w:rPr>
              <w:t>nein</w:t>
            </w:r>
          </w:p>
        </w:tc>
      </w:tr>
    </w:tbl>
    <w:p/>
    <w:p>
      <w:r>
        <w:rPr>
          <w:b w:val="0"/>
          <w:i w:val="0"/>
        </w:rPr>
        <w:t>Erweiterungen (Plugins) koennen weitere Arbeiten anmelden. Was eine Arbeit tut, steht immer neben ihrer Auswahl - bevor Sie sie einer Automation ueberlassen.</w:t>
      </w:r>
    </w:p>
    <w:p>
      <w:pPr>
        <w:pStyle w:val="Heading2"/>
      </w:pPr>
      <w:r>
        <w:t>Eine Aufgabe anlegen</w:t>
      </w:r>
    </w:p>
    <w:p>
      <w:pPr>
        <w:pStyle w:val="ListNumber"/>
      </w:pPr>
      <w:r>
        <w:t>Unten im Formular einen Namen eintragen.</w:t>
      </w:r>
    </w:p>
    <w:p>
      <w:pPr>
        <w:pStyle w:val="ListNumber"/>
      </w:pPr>
      <w:r>
        <w:t>Bei Was die Arbeit auswaehlen. Rechts daneben steht, was sie tut.</w:t>
      </w:r>
    </w:p>
    <w:p>
      <w:pPr>
        <w:pStyle w:val="ListNumber"/>
      </w:pPr>
      <w:r>
        <w:t>Bei Wann festlegen: taeglich um eine Uhrzeit, alle N Stunden, bei jedem Programmstart oder nur von Hand.</w:t>
      </w:r>
    </w:p>
    <w:p>
      <w:pPr>
        <w:pStyle w:val="ListNumber"/>
      </w:pPr>
      <w:r>
        <w:t>Auf Aufgabe anlegen klicken.</w:t>
      </w:r>
    </w:p>
    <w:p>
      <w:r>
        <w:rPr>
          <w:b w:val="0"/>
          <w:i w:val="0"/>
        </w:rPr>
        <w:t>PORTIVA bringt ab Werk keine Aufgabe mit. Eine Anwendung, die von selbst Automationen anlegt, waere das Gegenteil dessen, was hier gilt: was laeuft, haben Sie angeordnet.</w:t>
      </w:r>
    </w:p>
    <w:p>
      <w:pPr>
        <w:pStyle w:val="Heading2"/>
      </w:pPr>
      <w:r>
        <w:t>Was die Liste zeigt</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Spalte</w:t>
            </w:r>
          </w:p>
        </w:tc>
        <w:tc>
          <w:tcPr>
            <w:tcW w:type="dxa" w:w="6803"/>
          </w:tcPr>
          <w:p>
            <w:r/>
            <w:r>
              <w:rPr>
                <w:b/>
              </w:rPr>
              <w:t>Bedeutung</w:t>
            </w:r>
          </w:p>
        </w:tc>
      </w:tr>
      <w:tr>
        <w:tc>
          <w:tcPr>
            <w:tcW w:type="dxa" w:w="1701"/>
          </w:tcPr>
          <w:p>
            <w:r/>
            <w:r>
              <w:rPr>
                <w:sz w:val="20"/>
              </w:rPr>
              <w:t>Wann</w:t>
            </w:r>
          </w:p>
        </w:tc>
        <w:tc>
          <w:tcPr>
            <w:tcW w:type="dxa" w:w="6803"/>
          </w:tcPr>
          <w:p>
            <w:r/>
            <w:r>
              <w:rPr>
                <w:sz w:val="20"/>
              </w:rPr>
              <w:t>Der Zeitplan im Klartext - keine Cron-Zeile</w:t>
            </w:r>
          </w:p>
        </w:tc>
      </w:tr>
      <w:tr>
        <w:tc>
          <w:tcPr>
            <w:tcW w:type="dxa" w:w="1701"/>
          </w:tcPr>
          <w:p>
            <w:r/>
            <w:r>
              <w:rPr>
                <w:sz w:val="20"/>
              </w:rPr>
              <w:t>Zustand</w:t>
            </w:r>
          </w:p>
        </w:tc>
        <w:tc>
          <w:tcPr>
            <w:tcW w:type="dxa" w:w="6803"/>
          </w:tcPr>
          <w:p>
            <w:r/>
            <w:r>
              <w:rPr>
                <w:sz w:val="20"/>
              </w:rPr>
              <w:t>aktiv oder pausiert</w:t>
            </w:r>
          </w:p>
        </w:tc>
      </w:tr>
      <w:tr>
        <w:tc>
          <w:tcPr>
            <w:tcW w:type="dxa" w:w="1701"/>
          </w:tcPr>
          <w:p>
            <w:r/>
            <w:r>
              <w:rPr>
                <w:sz w:val="20"/>
              </w:rPr>
              <w:t>Zuletzt</w:t>
            </w:r>
          </w:p>
        </w:tc>
        <w:tc>
          <w:tcPr>
            <w:tcW w:type="dxa" w:w="6803"/>
          </w:tcPr>
          <w:p>
            <w:r/>
            <w:r>
              <w:rPr>
                <w:sz w:val="20"/>
              </w:rPr>
              <w:t>Wann die Aufgabe zuletzt wirklich gelaufen ist</w:t>
            </w:r>
          </w:p>
        </w:tc>
      </w:tr>
      <w:tr>
        <w:tc>
          <w:tcPr>
            <w:tcW w:type="dxa" w:w="1701"/>
          </w:tcPr>
          <w:p>
            <w:r/>
            <w:r>
              <w:rPr>
                <w:sz w:val="20"/>
              </w:rPr>
              <w:t>Ergebnis</w:t>
            </w:r>
          </w:p>
        </w:tc>
        <w:tc>
          <w:tcPr>
            <w:tcW w:type="dxa" w:w="6803"/>
          </w:tcPr>
          <w:p>
            <w:r/>
            <w:r>
              <w:rPr>
                <w:sz w:val="20"/>
              </w:rPr>
              <w:t>ok, fehler oder uebersprungen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nicht laufen konnte, gilt nicht als erledigt</w:t>
            </w:r>
          </w:p>
          <w:p>
            <w:r>
              <w:t>Eine Aufgabe kann uebersprungen werden - weil kein Internet da ist, weil sie pausiert ist, oder weil ihre Erweiterung entfernt wurde. Dann bleibt sie FAELLIG und laeuft, sobald es wieder geht.</w:t>
              <w:br/>
              <w:br/>
              <w:t>Nur ein wirklich ausgefuehrter Versuch verschiebt den naechsten Termin - auch ein fehlgeschlagener. Sonst liefe eine Aufgabe, die jedes Mal scheitert, im Minutentakt weiter.</w:t>
            </w:r>
          </w:p>
        </w:tc>
      </w:tr>
    </w:tbl>
    <w:p/>
    <w:p>
      <w:pPr>
        <w:pStyle w:val="Heading2"/>
      </w:pPr>
      <w:r>
        <w:t>Jetzt ausfuehren, pausieren, entfernen</w:t>
      </w:r>
    </w:p>
    <w:p>
      <w:pPr>
        <w:pStyle w:val="ListBullet"/>
      </w:pPr>
      <w:r>
        <w:t>Jetzt ausfuehren startet die markierte Aufgabe sofort - auch eine pausierte. Ein Knopf, der ausfuehren soll, muss ausfuehren.</w:t>
      </w:r>
    </w:p>
    <w:p>
      <w:pPr>
        <w:pStyle w:val="ListBullet"/>
      </w:pPr>
      <w:r>
        <w:t>Pausieren / Aktivieren haelt eine Aufgabe an, ohne sie zu loeschen.</w:t>
      </w:r>
    </w:p>
    <w:p>
      <w:pPr>
        <w:pStyle w:val="ListBullet"/>
      </w:pPr>
      <w:r>
        <w:t>Entfernen loescht sie samt ihrem Protokoll.</w:t>
      </w:r>
    </w:p>
    <w:p>
      <w:pPr>
        <w:pStyle w:val="Heading2"/>
      </w:pPr>
      <w:r>
        <w:t>Auch ohne offenes Fenster laufen lassen</w:t>
      </w:r>
    </w:p>
    <w:p>
      <w:r>
        <w:rPr>
          <w:b w:val="0"/>
          <w:i w:val="0"/>
        </w:rPr>
        <w:t>Wer eine naechtliche Auswertung braucht, kann Windows PORTIVA starten lassen. Das ist die Ausnahme und nicht die Vorgabe, denn es hinterlaesst etwas auf dem Computer. Deshalb steht vorher im Klartext da, was das ist, und Sie muessen ausdruecklich zustimmen.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Was zurueckbleibt</w:t>
            </w:r>
          </w:p>
        </w:tc>
        <w:tc>
          <w:tcPr>
            <w:tcW w:type="dxa" w:w="3969"/>
          </w:tcPr>
          <w:p>
            <w:r/>
            <w:r>
              <w:rPr>
                <w:b/>
              </w:rPr>
              <w:t>Wo</w:t>
            </w:r>
          </w:p>
        </w:tc>
      </w:tr>
      <w:tr>
        <w:tc>
          <w:tcPr>
            <w:tcW w:type="dxa" w:w="4535"/>
          </w:tcPr>
          <w:p>
            <w:r/>
            <w:r>
              <w:rPr>
                <w:sz w:val="20"/>
              </w:rPr>
              <w:t>Ein Eintrag „PORTIVA - geplante Aufgaben“</w:t>
            </w:r>
          </w:p>
        </w:tc>
        <w:tc>
          <w:tcPr>
            <w:tcW w:type="dxa" w:w="3969"/>
          </w:tcPr>
          <w:p>
            <w:r/>
            <w:r>
              <w:rPr>
                <w:sz w:val="20"/>
              </w:rPr>
              <w:t>Aufgabenplanung von Windows</w:t>
            </w:r>
          </w:p>
        </w:tc>
      </w:tr>
      <w:tr>
        <w:tc>
          <w:tcPr>
            <w:tcW w:type="dxa" w:w="4535"/>
          </w:tcPr>
          <w:p>
            <w:r/>
            <w:r>
              <w:rPr>
                <w:sz w:val="20"/>
              </w:rPr>
              <w:t>Der Pfad zu PORTIVA und die Uhrzeit</w:t>
            </w:r>
          </w:p>
        </w:tc>
        <w:tc>
          <w:tcPr>
            <w:tcW w:type="dxa" w:w="3969"/>
          </w:tcPr>
          <w:p>
            <w:r/>
            <w:r>
              <w:rPr>
                <w:sz w:val="20"/>
              </w:rPr>
              <w:t>in diesem Eintrag</w:t>
            </w:r>
          </w:p>
        </w:tc>
      </w:tr>
      <w:tr>
        <w:tc>
          <w:tcPr>
            <w:tcW w:type="dxa" w:w="4535"/>
          </w:tcPr>
          <w:p>
            <w:r/>
            <w:r>
              <w:rPr>
                <w:sz w:val="20"/>
              </w:rPr>
              <w:t>Ein Protokoll, wann er gelaufen ist</w:t>
            </w:r>
          </w:p>
        </w:tc>
        <w:tc>
          <w:tcPr>
            <w:tcW w:type="dxa" w:w="3969"/>
          </w:tcPr>
          <w:p>
            <w:r/>
            <w:r>
              <w:rPr>
                <w:sz w:val="20"/>
              </w:rPr>
              <w:t>Windows</w:t>
            </w:r>
          </w:p>
        </w:tc>
      </w:tr>
    </w:tbl>
    <w:p/>
    <w:p>
      <w:r>
        <w:rPr>
          <w:b w:val="0"/>
          <w:i w:val="0"/>
        </w:rPr>
        <w:t>Mehr nicht: keine Installation, keine Dateien im Programmordner von Windows. Ihre Unternehmensdaten bleiben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Zwei Dinge, die Sie wissen sollten</w:t>
            </w:r>
          </w:p>
          <w:p>
            <w:r>
              <w:t>1. Der Eintrag merkt sich den Pfad. Steckt der Datentraeger das naechste Mal an einem anderen Laufwerksbuchstaben, zeigt er ins Leere - PORTIVA sagt Ihnen das dann im Bereich Aufgaben.</w:t>
              <w:br/>
              <w:br/>
              <w:t>2. Auf einem fremden Rechner sollten Sie das nicht einschalten. Dort gehoert der Eintrag nicht hin, und Sie muessten daran denken, ihn wieder zu entfernen.</w:t>
              <w:br/>
              <w:br/>
              <w:t>Ausschalten entfernt den Eintrag und PRUEFT anschliessend, ob er wirklich weg ist. Windows meldet naemlich auch dann Erfolg, wenn es gar nichts zu loeschen gab.</w:t>
            </w:r>
          </w:p>
        </w:tc>
      </w:tr>
    </w:tbl>
    <w:p/>
    <w:p>
      <w:pPr>
        <w:pStyle w:val="Heading1"/>
      </w:pPr>
      <w:r>
        <w:t>15.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16.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17.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18.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19.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20.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21.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