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11.09.2026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zehn Bereiche</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Vorlagen: dieselbe Datei immer wieder</w:t>
      </w:r>
    </w:p>
    <w:p>
      <w:pPr>
        <w:spacing w:after="40"/>
      </w:pPr>
      <w:r>
        <w:rPr>
          <w:b/>
        </w:rPr>
        <w:t xml:space="preserve">14.  </w:t>
      </w:r>
      <w:r>
        <w:t>Erweiterungen (Plugins)</w:t>
      </w:r>
    </w:p>
    <w:p>
      <w:pPr>
        <w:spacing w:after="40"/>
      </w:pPr>
      <w:r>
        <w:rPr>
          <w:b/>
        </w:rPr>
        <w:t xml:space="preserve">15.  </w:t>
      </w:r>
      <w:r>
        <w:t>Betriebsmodus: HYBRID, OFFLINE, ONLINE</w:t>
      </w:r>
    </w:p>
    <w:p>
      <w:pPr>
        <w:spacing w:after="40"/>
      </w:pPr>
      <w:r>
        <w:rPr>
          <w:b/>
        </w:rPr>
        <w:t xml:space="preserve">16.  </w:t>
      </w:r>
      <w:r>
        <w:t>Wissen aktualisieren</w:t>
      </w:r>
    </w:p>
    <w:p>
      <w:pPr>
        <w:spacing w:after="40"/>
      </w:pPr>
      <w:r>
        <w:rPr>
          <w:b/>
        </w:rPr>
        <w:t xml:space="preserve">17.  </w:t>
      </w:r>
      <w:r>
        <w:t>Einstellungen und Status</w:t>
      </w:r>
    </w:p>
    <w:p>
      <w:pPr>
        <w:spacing w:after="40"/>
      </w:pPr>
      <w:r>
        <w:rPr>
          <w:b/>
        </w:rPr>
        <w:t xml:space="preserve">18.  </w:t>
      </w:r>
      <w:r>
        <w:t>Lizenz</w:t>
      </w:r>
    </w:p>
    <w:p>
      <w:pPr>
        <w:spacing w:after="40"/>
      </w:pPr>
      <w:r>
        <w:rPr>
          <w:b/>
        </w:rPr>
        <w:t xml:space="preserve">19.  </w:t>
      </w:r>
      <w:r>
        <w:t>Was der Buchhalter nicht tut</w:t>
      </w:r>
    </w:p>
    <w:p>
      <w:pPr>
        <w:spacing w:after="40"/>
      </w:pPr>
      <w:r>
        <w:rPr>
          <w:b/>
        </w:rPr>
        <w:t xml:space="preserve">20.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pPr>
        <w:pStyle w:val="Heading2"/>
      </w:pPr>
      <w:r>
        <w:t>Welches Modell - und wann welches?</w:t>
      </w:r>
    </w:p>
    <w:p>
      <w:r>
        <w:rPr>
          <w:b w:val="0"/>
          <w:i w:val="0"/>
        </w:rPr>
        <w:t>Zur Auswahl stehen vier Modelle. Sie unterscheiden sich in genau drei Punkten, und die haengen zusammen: je groesser das Modell, desto besser die fachliche Qualitaet, desto mehr Arbeitsspeicher braucht es - und desto laenger dauert eine Antwort. Ein "schnelles und zugleich bestes" Modell gibt es nicht.</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077"/>
          </w:tcPr>
          <w:p>
            <w:r/>
            <w:r>
              <w:rPr>
                <w:b/>
              </w:rPr>
              <w:t>Auswahl</w:t>
            </w:r>
          </w:p>
        </w:tc>
        <w:tc>
          <w:tcPr>
            <w:tcW w:type="dxa" w:w="2381"/>
          </w:tcPr>
          <w:p>
            <w:r/>
            <w:r>
              <w:rPr>
                <w:b/>
              </w:rPr>
              <w:t>Modell</w:t>
            </w:r>
          </w:p>
        </w:tc>
        <w:tc>
          <w:tcPr>
            <w:tcW w:type="dxa" w:w="1134"/>
          </w:tcPr>
          <w:p>
            <w:r/>
            <w:r>
              <w:rPr>
                <w:b/>
              </w:rPr>
              <w:t>Braucht mind.</w:t>
            </w:r>
          </w:p>
        </w:tc>
        <w:tc>
          <w:tcPr>
            <w:tcW w:type="dxa" w:w="3912"/>
          </w:tcPr>
          <w:p>
            <w:r/>
            <w:r>
              <w:rPr>
                <w:b/>
              </w:rPr>
              <w:t>Wann Sie es nehmen sollten</w:t>
            </w:r>
          </w:p>
        </w:tc>
      </w:tr>
      <w:tr>
        <w:tc>
          <w:tcPr>
            <w:tcW w:type="dxa" w:w="1077"/>
          </w:tcPr>
          <w:p>
            <w:r/>
            <w:r>
              <w:rPr>
                <w:sz w:val="20"/>
              </w:rPr>
              <w:t>probe</w:t>
            </w:r>
          </w:p>
        </w:tc>
        <w:tc>
          <w:tcPr>
            <w:tcW w:type="dxa" w:w="2381"/>
          </w:tcPr>
          <w:p>
            <w:r/>
            <w:r>
              <w:rPr>
                <w:sz w:val="20"/>
              </w:rPr>
              <w:t>Qwen2.5-0.5B-Instruct (Q4_K_M)</w:t>
            </w:r>
          </w:p>
        </w:tc>
        <w:tc>
          <w:tcPr>
            <w:tcW w:type="dxa" w:w="1134"/>
          </w:tcPr>
          <w:p>
            <w:r/>
            <w:r>
              <w:rPr>
                <w:sz w:val="20"/>
              </w:rPr>
              <w:t>2 GB RAM</w:t>
            </w:r>
          </w:p>
        </w:tc>
        <w:tc>
          <w:tcPr>
            <w:tcW w:type="dxa" w:w="3912"/>
          </w:tcPr>
          <w:p>
            <w:r/>
            <w:r>
              <w:rPr>
                <w:sz w:val="20"/>
              </w:rPr>
              <w:t>Zum Ausprobieren, ob die Einrichtung ueberhaupt klappt. Antwortet schnell, aber fachlich unbrauchbar. Stellen Sie damit KEINE Buchhaltungsfragen.</w:t>
            </w:r>
          </w:p>
        </w:tc>
      </w:tr>
      <w:tr>
        <w:tc>
          <w:tcPr>
            <w:tcW w:type="dxa" w:w="1077"/>
          </w:tcPr>
          <w:p>
            <w:r/>
            <w:r>
              <w:rPr>
                <w:sz w:val="20"/>
              </w:rPr>
              <w:t>light</w:t>
            </w:r>
          </w:p>
        </w:tc>
        <w:tc>
          <w:tcPr>
            <w:tcW w:type="dxa" w:w="2381"/>
          </w:tcPr>
          <w:p>
            <w:r/>
            <w:r>
              <w:rPr>
                <w:sz w:val="20"/>
              </w:rPr>
              <w:t>Qwen2.5-3B-Instruct (Q4_K_M)</w:t>
            </w:r>
          </w:p>
        </w:tc>
        <w:tc>
          <w:tcPr>
            <w:tcW w:type="dxa" w:w="1134"/>
          </w:tcPr>
          <w:p>
            <w:r/>
            <w:r>
              <w:rPr>
                <w:sz w:val="20"/>
              </w:rPr>
              <w:t>6 GB RAM</w:t>
            </w:r>
          </w:p>
        </w:tc>
        <w:tc>
          <w:tcPr>
            <w:tcW w:type="dxa" w:w="3912"/>
          </w:tcPr>
          <w:p>
            <w:r/>
            <w:r>
              <w:rPr>
                <w:sz w:val="20"/>
              </w:rPr>
              <w:t>Wenn der Rechner weniger als 12 GB Arbeitsspeicher hat oder wenn Ihnen Tempo wichtiger ist als die letzte Genauigkeit. Achtung: nicht Apache-2.0 - vor betrieblichem Einsatz die Lizenz pruefen.</w:t>
            </w:r>
          </w:p>
        </w:tc>
      </w:tr>
      <w:tr>
        <w:tc>
          <w:tcPr>
            <w:tcW w:type="dxa" w:w="1077"/>
          </w:tcPr>
          <w:p>
            <w:r/>
            <w:r>
              <w:rPr>
                <w:sz w:val="20"/>
              </w:rPr>
              <w:t>standard</w:t>
            </w:r>
          </w:p>
        </w:tc>
        <w:tc>
          <w:tcPr>
            <w:tcW w:type="dxa" w:w="2381"/>
          </w:tcPr>
          <w:p>
            <w:r/>
            <w:r>
              <w:rPr>
                <w:sz w:val="20"/>
              </w:rPr>
              <w:t>Qwen2.5-7B-Instruct (Q4_K_M)</w:t>
            </w:r>
          </w:p>
        </w:tc>
        <w:tc>
          <w:tcPr>
            <w:tcW w:type="dxa" w:w="1134"/>
          </w:tcPr>
          <w:p>
            <w:r/>
            <w:r>
              <w:rPr>
                <w:sz w:val="20"/>
              </w:rPr>
              <w:t>12 GB RAM</w:t>
            </w:r>
          </w:p>
        </w:tc>
        <w:tc>
          <w:tcPr>
            <w:tcW w:type="dxa" w:w="3912"/>
          </w:tcPr>
          <w:p>
            <w:r/>
            <w:r>
              <w:rPr>
                <w:sz w:val="20"/>
              </w:rPr>
              <w:t>Der Normalfall. Nehmen Sie dieses Modell, wenn Sie sich nicht entscheiden wollen und der Rechner es traegt.</w:t>
            </w:r>
          </w:p>
        </w:tc>
      </w:tr>
      <w:tr>
        <w:tc>
          <w:tcPr>
            <w:tcW w:type="dxa" w:w="1077"/>
          </w:tcPr>
          <w:p>
            <w:r/>
            <w:r>
              <w:rPr>
                <w:sz w:val="20"/>
              </w:rPr>
              <w:t>high</w:t>
            </w:r>
          </w:p>
        </w:tc>
        <w:tc>
          <w:tcPr>
            <w:tcW w:type="dxa" w:w="2381"/>
          </w:tcPr>
          <w:p>
            <w:r/>
            <w:r>
              <w:rPr>
                <w:sz w:val="20"/>
              </w:rPr>
              <w:t>Qwen2.5-14B-Instruct (Q4_K_M)</w:t>
            </w:r>
          </w:p>
        </w:tc>
        <w:tc>
          <w:tcPr>
            <w:tcW w:type="dxa" w:w="1134"/>
          </w:tcPr>
          <w:p>
            <w:r/>
            <w:r>
              <w:rPr>
                <w:sz w:val="20"/>
              </w:rPr>
              <w:t>24 GB RAM</w:t>
            </w:r>
          </w:p>
        </w:tc>
        <w:tc>
          <w:tcPr>
            <w:tcW w:type="dxa" w:w="3912"/>
          </w:tcPr>
          <w:p>
            <w:r/>
            <w:r>
              <w:rPr>
                <w:sz w:val="20"/>
              </w:rPr>
              <w:t>Wenn Sie eine Grafikkarte haben oder wenn Ihnen die Qualitaet eine lange Wartezeit wert ist. Auf reiner Prozessorrechnung dauert eine Antwort damit sehr lange.</w:t>
            </w:r>
          </w:p>
        </w:tc>
      </w:tr>
    </w:tbl>
    <w:p/>
    <w:p>
      <w:r>
        <w:rPr>
          <w:b/>
          <w:i w:val="0"/>
        </w:rPr>
        <w:t>Die einfache Regel:</w:t>
      </w:r>
    </w:p>
    <w:p>
      <w:pPr>
        <w:pStyle w:val="ListBullet"/>
      </w:pPr>
      <w:r>
        <w:t>Die Anwendung waehlt bereits vor, was zu Ihrem Rechner passt. Wenn Sie nichts aendern, ist das eine sinnvolle Entscheidung.</w:t>
      </w:r>
    </w:p>
    <w:p>
      <w:pPr>
        <w:pStyle w:val="ListBullet"/>
      </w:pPr>
      <w:r>
        <w:t>Reicht der Arbeitsspeicher nicht fuer die Vorauswahl, nehmen Sie die naechstkleinere Stufe. Ein zu grosses Modell wird nicht schneller, wenn man wartet - es wird nur ausgelagert und damit um ein Vielfaches langsamer.</w:t>
      </w:r>
    </w:p>
    <w:p>
      <w:pPr>
        <w:pStyle w:val="ListBullet"/>
      </w:pPr>
      <w:r>
        <w:t>Ohne Grafikkarte rechnet alles auf dem Prozessor. Dort ist der Unterschied zwischen light und standard deutlich spuerbar, der zwischen standard und high erheblich.</w:t>
      </w:r>
    </w:p>
    <w:p>
      <w:pPr>
        <w:pStyle w:val="ListBullet"/>
      </w:pPr>
      <w:r>
        <w:t>Sie koennen jederzeit wechseln: ein anderes Modell laden, in der Auswahlliste umstellen, fertig. Bereits geladene Dateien bleiben im Ordner models liegen und muessen nicht erneut geladen werden.</w:t>
      </w:r>
    </w:p>
    <w:tbl>
      <w:tblPr>
        <w:tblStyle w:val="TableGrid"/>
        <w:tblW w:type="auto" w:w="0"/>
        <w:tblLook w:firstColumn="1" w:firstRow="1" w:lastColumn="0" w:lastRow="0" w:noHBand="0" w:noVBand="1" w:val="04A0"/>
      </w:tblPr>
      <w:tblGrid>
        <w:gridCol w:w="9518"/>
      </w:tblGrid>
      <w:tr>
        <w:tc>
          <w:tcPr>
            <w:tcW w:type="dxa" w:w="9518"/>
          </w:tcPr>
          <w:p>
            <w:r>
              <w:rPr>
                <w:b/>
                <w:color w:val="1F4E79"/>
              </w:rPr>
              <w:t>Antwortzeit gegen Qualitaet - was Sie wirklich merken</w:t>
            </w:r>
          </w:p>
          <w:p>
            <w:r>
              <w:t>Die Zeit bis zum ersten Wort waechst ungefaehr mit der Groesse des Modells. Wer von standard auf light wechselt, wartet spuerbar kuerzer und bekommt etwas knappere, gelegentlich ungenauere Antworten. Wer von standard auf high wechselt, wartet deutlich laenger.</w:t>
              <w:br/>
              <w:br/>
              <w:t>Was auf IHREM Rechner herauskommt, sagt keine Tabelle, sondern die Messung: Registerkarte "Sprachmodell" -&gt; "Wartezeit messen". Dort werden zwei echte Fachfragen gestellt und die Zeiten angezeigt. Der zweite Hebel neben dem Modell ist die Tempostufe in den Einstellungen (Kapitel 17).</w:t>
            </w:r>
          </w:p>
        </w:tc>
      </w:tr>
    </w:tbl>
    <w:p/>
    <w:p>
      <w:r>
        <w:rPr>
          <w:b w:val="0"/>
          <w:i w:val="0"/>
        </w:rPr>
        <w:t>Die Groessen der Dateien, die genauen Lizenztexte und die Herkunft stehen weiter unten in diesem Kapitel unter "Welches Modell?" - und noch einmal in der Rueckfrage, die vor jedem Herunterladen erscheint.</w:t>
      </w:r>
    </w:p>
    <w:p>
      <w:pPr>
        <w:pStyle w:val="Heading2"/>
      </w:pPr>
      <w:r>
        <w:t>Nur einmal - nicht bei jedem Start</w:t>
      </w:r>
    </w:p>
    <w:p>
      <w:r>
        <w:rPr>
          <w:b w:val="0"/>
          <w:i w:val="0"/>
        </w:rPr>
        <w:t>Das Modell wird EINMAL geladen. Danach liegt es im Ordner models auf diesem Datentraeger - nicht auf dem Rechner, an dem Sie es geladen haben. Es bleibt dort ueber Neustarts hinweg, an jedem anderen Rechner, unter jedem Laufwerksbuchstaben und fuer alle Kundenbereiche gemeinsam. Auch ohne Internet.</w:t>
      </w:r>
    </w:p>
    <w:p>
      <w:pPr>
        <w:pStyle w:val="ListBullet"/>
      </w:pPr>
      <w:r>
        <w:t>Beim naechsten Start wird nichts nachgeladen.</w:t>
      </w:r>
    </w:p>
    <w:p>
      <w:pPr>
        <w:pStyle w:val="ListBullet"/>
      </w:pPr>
      <w:r>
        <w:t>Ziehen Sie den Stick an einen anderen Rechner, geht es dort sofort weiter.</w:t>
      </w:r>
    </w:p>
    <w:p>
      <w:pPr>
        <w:pStyle w:val="ListBullet"/>
      </w:pPr>
      <w:r>
        <w:t>Legen Sie einen zweiten Kundenbereich an, wird dasselbe Modell verwendet - es wird nicht ein zweites Mal abgelegt.</w:t>
      </w:r>
    </w:p>
    <w:p>
      <w:r>
        <w:rPr>
          <w:b w:val="0"/>
          <w:i w:val="0"/>
        </w:rPr>
        <w:t>Warum liegt das Modell dann nicht gleich im Paket? Zwei Gruende: es ist je nach Auswahl bis zu neun Gigabyte gross, und unter welcher Lizenz Sie ein Modell einsetzen, ist Ihre Entscheidung und nicht unsere.</w:t>
      </w:r>
    </w:p>
    <w:p>
      <w:pPr>
        <w:pStyle w:val="Heading2"/>
      </w:pPr>
      <w:r>
        <w:t>Sie haben das Modell schon? Dann nicht noch einmal laden</w:t>
      </w:r>
    </w:p>
    <w:p>
      <w:r>
        <w:rPr>
          <w:b w:val="0"/>
          <w:i w:val="0"/>
        </w:rPr>
        <w:t>Wenn die Datei bereits irgendwo liegt - auf dem Stick einer Kollegin, auf einer externen Platte, im Firmennetz -, koennen Sie sie uebernehmen, statt sie erneut zu ziehen. Das ist der Weg fuer einen zweiten Datentraeger, fuer ein Buero mit gesperrtem Download und fuer jede Leitung, ueber die man 4,7 GB nicht zweimal schicken will.</w:t>
      </w:r>
    </w:p>
    <w:tbl>
      <w:tblPr>
        <w:tblStyle w:val="TableGrid"/>
        <w:tblW w:type="auto" w:w="0"/>
        <w:tblLook w:firstColumn="1" w:firstRow="1" w:lastColumn="0" w:lastRow="0" w:noHBand="0" w:noVBand="1" w:val="04A0"/>
      </w:tblPr>
      <w:tblGrid>
        <w:gridCol w:w="9518"/>
      </w:tblGrid>
      <w:tr>
        <w:tc>
          <w:tcPr>
            <w:tcW w:type="dxa" w:w="9518"/>
          </w:tcPr>
          <w:p>
            <w:r>
              <w:rPr>
                <w:b/>
                <w:color w:val="1F4E79"/>
              </w:rPr>
              <w:t>Vorhandene Datei uebernehmen</w:t>
            </w:r>
          </w:p>
          <w:p>
            <w:r>
              <w:t>Registerkarte "Sprachmodell" -&gt; "Vorhandene Modelldatei uebernehmen" -&gt; die .gguf-Datei auswaehlen.</w:t>
              <w:br/>
              <w:br/>
              <w:t>Die Datei wird auf diesen Datentraeger KOPIERT, nicht nur verknuepft. Nur so laeuft der Datentraeger auch an einem Rechner, der die Herkunft gar nicht erreicht - und genau das ist der Sinn dieser Anwendung.</w:t>
            </w:r>
          </w:p>
        </w:tc>
      </w:tr>
    </w:tbl>
    <w:p/>
    <w:p>
      <w:r>
        <w:rPr>
          <w:b w:val="0"/>
          <w:i w:val="0"/>
        </w:rPr>
        <w:t>Dafuer braucht es kein Internet; die Uebernahme funktioniert auch im Betriebsmodus OFFLINE.</w:t>
      </w:r>
    </w:p>
    <w:p>
      <w:pPr>
        <w:pStyle w:val="Heading2"/>
      </w:pPr>
      <w:r>
        <w:t>Die Registerkarte im Einzelnen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6123"/>
          </w:tcPr>
          <w:p>
            <w:r/>
            <w:r>
              <w:rPr>
                <w:b/>
              </w:rPr>
              <w:t>Was es bedeutet</w:t>
            </w:r>
          </w:p>
        </w:tc>
      </w:tr>
      <w:tr>
        <w:tc>
          <w:tcPr>
            <w:tcW w:type="dxa" w:w="2835"/>
          </w:tcPr>
          <w:p>
            <w:r/>
            <w:r>
              <w:rPr>
                <w:sz w:val="20"/>
              </w:rPr>
              <w:t>Lage auf diesem Rechner</w:t>
            </w:r>
          </w:p>
        </w:tc>
        <w:tc>
          <w:tcPr>
            <w:tcW w:type="dxa" w:w="6123"/>
          </w:tcPr>
          <w:p>
            <w:r/>
            <w:r>
              <w:rPr>
                <w:sz w:val="20"/>
              </w:rPr>
              <w:t>"Noch nicht eingerichtet" oder "Einsatzbereit". Darunter steht, was fehlt - die Modelldatei, der Modelldienst, oder beides.</w:t>
            </w:r>
          </w:p>
        </w:tc>
      </w:tr>
      <w:tr>
        <w:tc>
          <w:tcPr>
            <w:tcW w:type="dxa" w:w="2835"/>
          </w:tcPr>
          <w:p>
            <w:r/>
            <w:r>
              <w:rPr>
                <w:sz w:val="20"/>
              </w:rPr>
              <w:t>Auswahl</w:t>
            </w:r>
          </w:p>
        </w:tc>
        <w:tc>
          <w:tcPr>
            <w:tcW w:type="dxa" w:w="6123"/>
          </w:tcPr>
          <w:p>
            <w:r/>
            <w:r>
              <w:rPr>
                <w:sz w:val="20"/>
              </w:rPr>
              <w:t>Das Modell, das geladen wird. Vorausgewaehlt ist bereits das, was zu Ihrem Arbeitsspeicher passt.</w:t>
            </w:r>
          </w:p>
        </w:tc>
      </w:tr>
      <w:tr>
        <w:tc>
          <w:tcPr>
            <w:tcW w:type="dxa" w:w="2835"/>
          </w:tcPr>
          <w:p>
            <w:r/>
            <w:r>
              <w:rPr>
                <w:sz w:val="20"/>
              </w:rPr>
              <w:t>Sprachmodell einrichten</w:t>
            </w:r>
          </w:p>
        </w:tc>
        <w:tc>
          <w:tcPr>
            <w:tcW w:type="dxa" w:w="6123"/>
          </w:tcPr>
          <w:p>
            <w:r/>
            <w:r>
              <w:rPr>
                <w:sz w:val="20"/>
              </w:rPr>
              <w:t>Laedt das ausgewaehlte Modell - erst nach einer Rueckfrage, die Groesse, Lizenz, Herkunft und Pruefstand nennt.</w:t>
            </w:r>
          </w:p>
        </w:tc>
      </w:tr>
      <w:tr>
        <w:tc>
          <w:tcPr>
            <w:tcW w:type="dxa" w:w="2835"/>
          </w:tcPr>
          <w:p>
            <w:r/>
            <w:r>
              <w:rPr>
                <w:sz w:val="20"/>
              </w:rPr>
              <w:t>Vorhandene Modelldatei uebernehmen</w:t>
            </w:r>
          </w:p>
        </w:tc>
        <w:tc>
          <w:tcPr>
            <w:tcW w:type="dxa" w:w="6123"/>
          </w:tcPr>
          <w:p>
            <w:r/>
            <w:r>
              <w:rPr>
                <w:sz w:val="20"/>
              </w:rPr>
              <w:t>Nimmt eine .gguf-Datei auf, die Sie schon haben. Kein Download.</w:t>
            </w:r>
          </w:p>
        </w:tc>
      </w:tr>
      <w:tr>
        <w:tc>
          <w:tcPr>
            <w:tcW w:type="dxa" w:w="2835"/>
          </w:tcPr>
          <w:p>
            <w:r/>
            <w:r>
              <w:rPr>
                <w:sz w:val="20"/>
              </w:rPr>
              <w:t>Lage neu pruefen</w:t>
            </w:r>
          </w:p>
        </w:tc>
        <w:tc>
          <w:tcPr>
            <w:tcW w:type="dxa" w:w="6123"/>
          </w:tcPr>
          <w:p>
            <w:r/>
            <w:r>
              <w:rPr>
                <w:sz w:val="20"/>
              </w:rPr>
              <w:t>Sieht noch einmal nach - etwa wenn Sie eine Datei von Hand in den Ordner models kopiert haben.</w:t>
            </w:r>
          </w:p>
        </w:tc>
      </w:tr>
      <w:tr>
        <w:tc>
          <w:tcPr>
            <w:tcW w:type="dxa" w:w="2835"/>
          </w:tcPr>
          <w:p>
            <w:r/>
            <w:r>
              <w:rPr>
                <w:sz w:val="20"/>
              </w:rPr>
              <w:t>Modell ausprobieren</w:t>
            </w:r>
          </w:p>
        </w:tc>
        <w:tc>
          <w:tcPr>
            <w:tcW w:type="dxa" w:w="6123"/>
          </w:tcPr>
          <w:p>
            <w:r/>
            <w:r>
              <w:rPr>
                <w:sz w:val="20"/>
              </w:rPr>
              <w:t>Stellt dem Modell eine kleine Frage und zeigt Antwortzeit und Geschwindigkeit. Der Nachweis, dass es wirklich laeuft.</w:t>
            </w:r>
          </w:p>
        </w:tc>
      </w:tr>
      <w:tr>
        <w:tc>
          <w:tcPr>
            <w:tcW w:type="dxa" w:w="2835"/>
          </w:tcPr>
          <w:p>
            <w:r/>
            <w:r>
              <w:rPr>
                <w:sz w:val="20"/>
              </w:rPr>
              <w:t>Wartezeit messen</w:t>
            </w:r>
          </w:p>
        </w:tc>
        <w:tc>
          <w:tcPr>
            <w:tcW w:type="dxa" w:w="6123"/>
          </w:tcPr>
          <w:p>
            <w:r/>
            <w:r>
              <w:rPr>
                <w:sz w:val="20"/>
              </w:rPr>
              <w:t>Stellt zwei echte Fachfragen und zeigt, wie lange es bis zum ersten Wort dauert - einmal als erste Frage, einmal im laufenden Betrieb. Dauert ein bis zwei Minuten.</w:t>
            </w:r>
          </w:p>
        </w:tc>
      </w:tr>
      <w:tr>
        <w:tc>
          <w:tcPr>
            <w:tcW w:type="dxa" w:w="2835"/>
          </w:tcPr>
          <w:p>
            <w:r/>
            <w:r>
              <w:rPr>
                <w:sz w:val="20"/>
              </w:rPr>
              <w:t>Textbereich unten</w:t>
            </w:r>
          </w:p>
        </w:tc>
        <w:tc>
          <w:tcPr>
            <w:tcW w:type="dxa" w:w="6123"/>
          </w:tcPr>
          <w:p>
            <w:r/>
            <w:r>
              <w:rPr>
                <w:sz w:val="20"/>
              </w:rPr>
              <w:t>Vor dem Einrichten: Ihre Hardware und die Bezugsquellen mit Lizenz und Pruefstand. Danach: das Ergebnis samt Probeantwort.</w:t>
            </w:r>
          </w:p>
        </w:tc>
      </w:tr>
    </w:tbl>
    <w:p/>
    <w:p>
      <w:r>
        <w:rPr>
          <w:b w:val="0"/>
          <w:i w:val="0"/>
        </w:rPr>
        <w:t>Beim Einrichten wandert der Balken bis 100 Prozent. Danach bindet die Anwendung das Modell ein und stellt ihm selbst eine Frage. Erst wenn die beantwortet ist, meldet sie "Das Sprachmodell ist einsatzbereit". Eine geladene Datei allein ist noch kein Nachweis - sie koennte beschaedigt sein oder zu gross fuer Ihren Arbeitsspeicher.</w:t>
      </w:r>
    </w:p>
    <w:p>
      <w:pPr>
        <w:pStyle w:val="Heading2"/>
      </w:pPr>
      <w:r>
        <w:t>Dasselbe in der Kommandozeile</w:t>
      </w:r>
    </w:p>
    <w:p>
      <w:r>
        <w:rPr>
          <w:b w:val="0"/>
          <w:i w:val="0"/>
        </w:rPr>
        <w:t>Wer lieber mit der Konsole arbeitet, erreicht alles auch dort:</w:t>
      </w:r>
    </w:p>
    <w:tbl>
      <w:tblPr>
        <w:tblStyle w:val="TableGrid"/>
        <w:tblW w:type="auto" w:w="0"/>
        <w:tblLook w:firstColumn="1" w:firstRow="1" w:lastColumn="0" w:lastRow="0" w:noHBand="0" w:noVBand="1" w:val="04A0"/>
      </w:tblPr>
      <w:tblGrid>
        <w:gridCol w:w="9518"/>
      </w:tblGrid>
      <w:tr>
        <w:tc>
          <w:tcPr>
            <w:tcW w:type="dxa" w:w="9518"/>
          </w:tcPr>
          <w:p>
            <w:r>
              <w:rPr>
                <w:b/>
                <w:color w:val="1F4E79"/>
              </w:rPr>
              <w:t>Befehle</w:t>
            </w:r>
          </w:p>
          <w:p>
            <w:r>
              <w:t>PORTABLE_BUCHHALTER_KONSOLE.exe modell status</w:t>
              <w:br/>
              <w:t>PORTABLE_BUCHHALTER_KONSOLE.exe modell empfehlen</w:t>
              <w:br/>
              <w:t>PORTABLE_BUCHHALTER_KONSOLE.exe modell einrichten --bestaetigen</w:t>
              <w:br/>
              <w:t>PORTABLE_BUCHHALTER_KONSOLE.exe modell uebernehmen --datei D:\modell.gguf</w:t>
              <w:br/>
              <w:t>PORTABLE_BUCHHALTER_KONSOLE.exe modell pruefen</w:t>
            </w:r>
          </w:p>
        </w:tc>
      </w:tr>
    </w:tbl>
    <w:p/>
    <w:p>
      <w:pPr>
        <w:pStyle w:val="Heading2"/>
      </w:pPr>
      <w:r>
        <w:t>Wie schnell ist das? Und warum nicht so schnell wie ChatGPT?</w:t>
      </w:r>
    </w:p>
    <w:p>
      <w:r>
        <w:rPr>
          <w:b w:val="0"/>
          <w:i w:val="0"/>
        </w:rPr>
        <w:t>Die ehrliche Antwort zuerst: nicht so schnell. ChatGPT, Gemini und vergleichbare Dienste rechnen in Rechenzentren auf Grafikkarten, die je Stueck so viel kosten wie ein Mittelklassewagen. Diese Anwendung rechnet auf Ihrem Buerorechner - und zwar mit Absicht: Ihre Daten verlassen ihn nicht, und es laeuft ohne Internet. Das ist der Tausch.</w:t>
      </w:r>
    </w:p>
    <w:p>
      <w:r>
        <w:rPr>
          <w:b w:val="0"/>
          <w:i w:val="0"/>
        </w:rPr>
        <w:t>Womit Sie auf reiner Prozessorleistung ungefaehr rechnen koennen - keine Zusage, sondern die Groessenordnung:</w:t>
      </w:r>
    </w:p>
    <w:tbl>
      <w:tblPr>
        <w:tblStyle w:val="LightGrid-Accent1"/>
        <w:tblW w:type="auto" w:w="0"/>
        <w:jc w:val="left"/>
        <w:tblLook w:firstColumn="1" w:firstRow="1" w:lastColumn="0" w:lastRow="0" w:noHBand="0" w:noVBand="1" w:val="04A0"/>
      </w:tblPr>
      <w:tblGrid>
        <w:gridCol w:w="3173"/>
        <w:gridCol w:w="3173"/>
        <w:gridCol w:w="3173"/>
      </w:tblGrid>
      <w:tr>
        <w:tc>
          <w:tcPr>
            <w:tcW w:type="dxa" w:w="2494"/>
          </w:tcPr>
          <w:p>
            <w:r/>
            <w:r>
              <w:rPr>
                <w:b/>
              </w:rPr>
              <w:t>Modell</w:t>
            </w:r>
          </w:p>
        </w:tc>
        <w:tc>
          <w:tcPr>
            <w:tcW w:type="dxa" w:w="2608"/>
          </w:tcPr>
          <w:p>
            <w:r/>
            <w:r>
              <w:rPr>
                <w:b/>
              </w:rPr>
              <w:t>Grob zu erwarten</w:t>
            </w:r>
          </w:p>
        </w:tc>
        <w:tc>
          <w:tcPr>
            <w:tcW w:type="dxa" w:w="3855"/>
          </w:tcPr>
          <w:p>
            <w:r/>
            <w:r>
              <w:rPr>
                <w:b/>
              </w:rPr>
              <w:t>Wie sich das anfuehlt</w:t>
            </w:r>
          </w:p>
        </w:tc>
      </w:tr>
      <w:tr>
        <w:tc>
          <w:tcPr>
            <w:tcW w:type="dxa" w:w="2494"/>
          </w:tcPr>
          <w:p>
            <w:r/>
            <w:r>
              <w:rPr>
                <w:sz w:val="20"/>
              </w:rPr>
              <w:t>light (3B)</w:t>
            </w:r>
          </w:p>
        </w:tc>
        <w:tc>
          <w:tcPr>
            <w:tcW w:type="dxa" w:w="2608"/>
          </w:tcPr>
          <w:p>
            <w:r/>
            <w:r>
              <w:rPr>
                <w:sz w:val="20"/>
              </w:rPr>
              <w:t>8 bis 15 Woerter je Sekunde</w:t>
            </w:r>
          </w:p>
        </w:tc>
        <w:tc>
          <w:tcPr>
            <w:tcW w:type="dxa" w:w="3855"/>
          </w:tcPr>
          <w:p>
            <w:r/>
            <w:r>
              <w:rPr>
                <w:sz w:val="20"/>
              </w:rPr>
              <w:t>Etwa Lesegeschwindigkeit.</w:t>
            </w:r>
          </w:p>
        </w:tc>
      </w:tr>
      <w:tr>
        <w:tc>
          <w:tcPr>
            <w:tcW w:type="dxa" w:w="2494"/>
          </w:tcPr>
          <w:p>
            <w:r/>
            <w:r>
              <w:rPr>
                <w:sz w:val="20"/>
              </w:rPr>
              <w:t>standard (7B)</w:t>
            </w:r>
          </w:p>
        </w:tc>
        <w:tc>
          <w:tcPr>
            <w:tcW w:type="dxa" w:w="2608"/>
          </w:tcPr>
          <w:p>
            <w:r/>
            <w:r>
              <w:rPr>
                <w:sz w:val="20"/>
              </w:rPr>
              <w:t>3 bis 6 Woerter je Sekunde</w:t>
            </w:r>
          </w:p>
        </w:tc>
        <w:tc>
          <w:tcPr>
            <w:tcW w:type="dxa" w:w="3855"/>
          </w:tcPr>
          <w:p>
            <w:r/>
            <w:r>
              <w:rPr>
                <w:sz w:val="20"/>
              </w:rPr>
              <w:t>Man wartet kurz, arbeitsfaehig.</w:t>
            </w:r>
          </w:p>
        </w:tc>
      </w:tr>
      <w:tr>
        <w:tc>
          <w:tcPr>
            <w:tcW w:type="dxa" w:w="2494"/>
          </w:tcPr>
          <w:p>
            <w:r/>
            <w:r>
              <w:rPr>
                <w:sz w:val="20"/>
              </w:rPr>
              <w:t>high (14B)</w:t>
            </w:r>
          </w:p>
        </w:tc>
        <w:tc>
          <w:tcPr>
            <w:tcW w:type="dxa" w:w="2608"/>
          </w:tcPr>
          <w:p>
            <w:r/>
            <w:r>
              <w:rPr>
                <w:sz w:val="20"/>
              </w:rPr>
              <w:t>1 bis 2 Woerter je Sekunde</w:t>
            </w:r>
          </w:p>
        </w:tc>
        <w:tc>
          <w:tcPr>
            <w:tcW w:type="dxa" w:w="3855"/>
          </w:tcPr>
          <w:p>
            <w:r/>
            <w:r>
              <w:rPr>
                <w:sz w:val="20"/>
              </w:rPr>
              <w:t>Eine laengere Antwort dauert Minuten.</w:t>
            </w:r>
          </w:p>
        </w:tc>
      </w:tr>
      <w:tr>
        <w:tc>
          <w:tcPr>
            <w:tcW w:type="dxa" w:w="2494"/>
          </w:tcPr>
          <w:p>
            <w:r/>
            <w:r>
              <w:rPr>
                <w:sz w:val="20"/>
              </w:rPr>
              <w:t>Modell zu gross fuer den Arbeitsspeicher</w:t>
            </w:r>
          </w:p>
        </w:tc>
        <w:tc>
          <w:tcPr>
            <w:tcW w:type="dxa" w:w="2608"/>
          </w:tcPr>
          <w:p>
            <w:r/>
            <w:r>
              <w:rPr>
                <w:sz w:val="20"/>
              </w:rPr>
              <w:t>unter 1</w:t>
            </w:r>
          </w:p>
        </w:tc>
        <w:tc>
          <w:tcPr>
            <w:tcW w:type="dxa" w:w="3855"/>
          </w:tcPr>
          <w:p>
            <w:r/>
            <w:r>
              <w:rPr>
                <w:sz w:val="20"/>
              </w:rPr>
              <w:t>Unbrauchbar. Hier stimmt etwas nicht - siehe unten.</w:t>
            </w:r>
          </w:p>
        </w:tc>
      </w:tr>
    </w:tbl>
    <w:p/>
    <w:p>
      <w:r>
        <w:rPr>
          <w:b w:val="0"/>
          <w:i w:val="0"/>
        </w:rPr>
        <w:t>Die Anwendung misst das auf Ihrem Rechner selbst: Registerkarte Sprachmodell, Schaltflaeche "Modell ausprobieren" fuer eine schnelle Auskunft, oder "Wartezeit messen" fuer die genaue - dort werden zwei echte Fachfragen gestellt und beide Zeiten getrennt ausgewiesen.</w:t>
      </w:r>
    </w:p>
    <w:p>
      <w:r>
        <w:rPr>
          <w:b w:val="0"/>
          <w:i w:val="0"/>
        </w:rPr>
        <w:t>Wichtig ist dabei nicht die Gesamtzeit, sondern die Zeit bis zum ERSTEN Wort. Danach laeuft die Antwort sichtbar weiter - man liest mit, statt zu warten. Genau so verhalten sich auch die grossen Onlinedienste.</w:t>
      </w:r>
    </w:p>
    <w:p>
      <w:r>
        <w:rPr>
          <w:b w:val="0"/>
          <w:i w:val="0"/>
        </w:rPr>
        <w:t>"Wartezeit messen" stellt zwei VERSCHIEDENE Fachfragen. Der erste Durchgang ist die erste Frage nach dem Start, der zweite der Alltag - genau ihn erleben Sie, solange die Anwendung geoeffnet bleibt. Zweimal dieselbe Frage waere geschoent: das Modell merkt sich, was es schon gerechnet hat, und antwortete dann in einer Zehntelsekunde. So arbeitet aber niemand.</w:t>
      </w:r>
    </w:p>
    <w:p>
      <w:r>
        <w:rPr>
          <w:b w:val="0"/>
          <w:i w:val="0"/>
        </w:rPr>
        <w:t>Dasselbe in der Konsole: "modell messen".</w:t>
      </w:r>
    </w:p>
    <w:p>
      <w:pPr>
        <w:pStyle w:val="Heading3"/>
      </w:pPr>
      <w:r>
        <w:t>Der wirksamste Regler: das Antworttempo</w:t>
      </w:r>
    </w:p>
    <w:p>
      <w:r>
        <w:rPr>
          <w:b w:val="0"/>
          <w:i w:val="0"/>
        </w:rPr>
        <w:t>Unter "Einstellungen und Status" steht ganz oben bei "Sprachmodell - Geschwindigkeit" das Antworttempo. Es stellt vier Dinge gleichzeitig ein, die einzeln niemand aufeinander abstimmen kann: wie lang die Antwort werden darf, wieviel Fachtext mitgeschickt wird, wieviele Fundstellen herangezogen werden und wie weit der bisherige Gespraechsverlauf zurueckreicht.</w:t>
      </w:r>
    </w:p>
    <w:p>
      <w:r>
        <w:rPr>
          <w:b w:val="0"/>
          <w:i w:val="0"/>
        </w:rPr>
        <w:t>Die Vorgabe ist "Automatisch". Das ist bei einer portablen Anwendung nicht Bequemlichkeit, sondern richtig: derselbe Datentraeger laeuft heute an einem Buerorechner ohne Grafikkarte und morgen an einer Arbeitsstation mit. Eine fest eingetragene Stufe waere an einem der beiden falsch. Unter dem Auswahlfeld steht, welche Stufe auf DIESEM Rechner gerade gilt. Waehlen Sie selbst eine Stufe, gilt Ihre Wahl - sie wird nie stillschweigend uebergangen.</w:t>
      </w:r>
    </w:p>
    <w:tbl>
      <w:tblPr>
        <w:tblStyle w:val="LightGrid-Accent1"/>
        <w:tblW w:type="auto" w:w="0"/>
        <w:jc w:val="left"/>
        <w:tblLook w:firstColumn="1" w:firstRow="1" w:lastColumn="0" w:lastRow="0" w:noHBand="0" w:noVBand="1" w:val="04A0"/>
      </w:tblPr>
      <w:tblGrid>
        <w:gridCol w:w="3173"/>
        <w:gridCol w:w="3173"/>
        <w:gridCol w:w="3173"/>
      </w:tblGrid>
      <w:tr>
        <w:tc>
          <w:tcPr>
            <w:tcW w:type="dxa" w:w="2268"/>
          </w:tcPr>
          <w:p>
            <w:r/>
            <w:r>
              <w:rPr>
                <w:b/>
              </w:rPr>
              <w:t>Stufe</w:t>
            </w:r>
          </w:p>
        </w:tc>
        <w:tc>
          <w:tcPr>
            <w:tcW w:type="dxa" w:w="3628"/>
          </w:tcPr>
          <w:p>
            <w:r/>
            <w:r>
              <w:rPr>
                <w:b/>
              </w:rPr>
              <w:t>Was sie tut</w:t>
            </w:r>
          </w:p>
        </w:tc>
        <w:tc>
          <w:tcPr>
            <w:tcW w:type="dxa" w:w="3061"/>
          </w:tcPr>
          <w:p>
            <w:r/>
            <w:r>
              <w:rPr>
                <w:b/>
              </w:rPr>
              <w:t>Wofuer</w:t>
            </w:r>
          </w:p>
        </w:tc>
      </w:tr>
      <w:tr>
        <w:tc>
          <w:tcPr>
            <w:tcW w:type="dxa" w:w="2268"/>
          </w:tcPr>
          <w:p>
            <w:r/>
            <w:r>
              <w:rPr>
                <w:sz w:val="20"/>
              </w:rPr>
              <w:t>Automatisch (Vorgabe)</w:t>
            </w:r>
          </w:p>
        </w:tc>
        <w:tc>
          <w:tcPr>
            <w:tcW w:type="dxa" w:w="3628"/>
          </w:tcPr>
          <w:p>
            <w:r/>
            <w:r>
              <w:rPr>
                <w:sz w:val="20"/>
              </w:rPr>
              <w:t>Richtet sich nach dem Rechner, an dem der Datentraeger gerade steckt, und nach dem eingerichteten Modell</w:t>
            </w:r>
          </w:p>
        </w:tc>
        <w:tc>
          <w:tcPr>
            <w:tcW w:type="dxa" w:w="3061"/>
          </w:tcPr>
          <w:p>
            <w:r/>
            <w:r>
              <w:rPr>
                <w:sz w:val="20"/>
              </w:rPr>
              <w:t>Der Normalfall. Ohne Grafikkarte und mit einem grossen Modell waehlt die Anwendung von sich aus "Schnell".</w:t>
            </w:r>
          </w:p>
        </w:tc>
      </w:tr>
      <w:tr>
        <w:tc>
          <w:tcPr>
            <w:tcW w:type="dxa" w:w="2268"/>
          </w:tcPr>
          <w:p>
            <w:r/>
            <w:r>
              <w:rPr>
                <w:sz w:val="20"/>
              </w:rPr>
              <w:t>Schnell</w:t>
            </w:r>
          </w:p>
        </w:tc>
        <w:tc>
          <w:tcPr>
            <w:tcW w:type="dxa" w:w="3628"/>
          </w:tcPr>
          <w:p>
            <w:r/>
            <w:r>
              <w:rPr>
                <w:sz w:val="20"/>
              </w:rPr>
              <w:t>Kurze, belegte Antwort aus wenigen Fundstellen</w:t>
            </w:r>
          </w:p>
        </w:tc>
        <w:tc>
          <w:tcPr>
            <w:tcW w:type="dxa" w:w="3061"/>
          </w:tcPr>
          <w:p>
            <w:r/>
            <w:r>
              <w:rPr>
                <w:sz w:val="20"/>
              </w:rPr>
              <w:t>Wenn es zuegig gehen soll.</w:t>
            </w:r>
          </w:p>
        </w:tc>
      </w:tr>
      <w:tr>
        <w:tc>
          <w:tcPr>
            <w:tcW w:type="dxa" w:w="2268"/>
          </w:tcPr>
          <w:p>
            <w:r/>
            <w:r>
              <w:rPr>
                <w:sz w:val="20"/>
              </w:rPr>
              <w:t>Ausgewogen</w:t>
            </w:r>
          </w:p>
        </w:tc>
        <w:tc>
          <w:tcPr>
            <w:tcW w:type="dxa" w:w="3628"/>
          </w:tcPr>
          <w:p>
            <w:r/>
            <w:r>
              <w:rPr>
                <w:sz w:val="20"/>
              </w:rPr>
              <w:t>Vollstaendige Fachantwort</w:t>
            </w:r>
          </w:p>
        </w:tc>
        <w:tc>
          <w:tcPr>
            <w:tcW w:type="dxa" w:w="3061"/>
          </w:tcPr>
          <w:p>
            <w:r/>
            <w:r>
              <w:rPr>
                <w:sz w:val="20"/>
              </w:rPr>
              <w:t>Der normale Betrieb auf einem Rechner, der es traegt.</w:t>
            </w:r>
          </w:p>
        </w:tc>
      </w:tr>
      <w:tr>
        <w:tc>
          <w:tcPr>
            <w:tcW w:type="dxa" w:w="2268"/>
          </w:tcPr>
          <w:p>
            <w:r/>
            <w:r>
              <w:rPr>
                <w:sz w:val="20"/>
              </w:rPr>
              <w:t>Ausfuehrlich</w:t>
            </w:r>
          </w:p>
        </w:tc>
        <w:tc>
          <w:tcPr>
            <w:tcW w:type="dxa" w:w="3628"/>
          </w:tcPr>
          <w:p>
            <w:r/>
            <w:r>
              <w:rPr>
                <w:sz w:val="20"/>
              </w:rPr>
              <w:t>Mehr Fundstellen, laengere Antwort</w:t>
            </w:r>
          </w:p>
        </w:tc>
        <w:tc>
          <w:tcPr>
            <w:tcW w:type="dxa" w:w="3061"/>
          </w:tcPr>
          <w:p>
            <w:r/>
            <w:r>
              <w:rPr>
                <w:sz w:val="20"/>
              </w:rPr>
              <w:t>Wenn Tiefe wichtiger ist als Zeit.</w:t>
            </w:r>
          </w:p>
        </w:tc>
      </w:tr>
    </w:tbl>
    <w:p/>
    <w:p>
      <w:r>
        <w:rPr>
          <w:b w:val="0"/>
          <w:i w:val="0"/>
        </w:rPr>
        <w:t>Die Umstellung wirkt sofort - Sie muessen die Anwendung nicht neu starten. Zwischen "Schnell" und "Ausfuehrlich" liegt bei der reinen Rechenzeit ungefaehr der Faktor drei.</w:t>
      </w:r>
    </w:p>
    <w:p>
      <w:pPr>
        <w:pStyle w:val="Heading3"/>
      </w:pPr>
      <w:r>
        <w:t>Warum die erste Frage laenger dauert</w:t>
      </w:r>
    </w:p>
    <w:p>
      <w:r>
        <w:rPr>
          <w:b w:val="0"/>
          <w:i w:val="0"/>
        </w:rPr>
        <w:t>Beim Start laedt die Anwendung das Sprachmodell im Hintergrund - mehrere Gigabyte von Ihrem Datentraeger. Sie koennen waehrenddessen schon arbeiten. Fragen Sie sofort, wartet die erste Frage auf den Rest dieses Vorgangs; jede weitere Frage nicht mehr. Wer das nicht will, schaltet das Vorladen in den Einstellungen ab - dann faellt die Ladezeit vollstaendig in die erste Frage.</w:t>
      </w:r>
    </w:p>
    <w:p>
      <w:pPr>
        <w:pStyle w:val="Heading3"/>
      </w:pPr>
      <w:r>
        <w:t>Wenn es sehr langsam ist</w:t>
      </w:r>
    </w:p>
    <w:p>
      <w:r>
        <w:rPr>
          <w:b w:val="0"/>
          <w:i w:val="0"/>
        </w:rPr>
        <w:t>Weit unter einem Wort je Sekunde bedeutet fast immer dasselbe: das Modell passt nicht in den Arbeitsspeicher. Der Rechner lagert dann auf die Festplatte aus und liest fuer jedes einzelne Wort nach. Das kostet nicht Prozente, sondern das Zehnfache.</w:t>
      </w:r>
    </w:p>
    <w:p>
      <w:pPr>
        <w:pStyle w:val="ListBullet"/>
      </w:pPr>
      <w:r>
        <w:t>Erster und wichtigster Hebel: ein kleineres Modell waehlen. In der Auswahlliste steht bei jedem Eintrag, ob er auf diesen Rechner passt - "ZU GROSS FUER DIESEN RECHNER" heisst genau das.</w:t>
      </w:r>
    </w:p>
    <w:p>
      <w:pPr>
        <w:pStyle w:val="ListBullet"/>
      </w:pPr>
      <w:r>
        <w:t>Zweiter Hebel: Antworttempo auf "Schnell" stellen.</w:t>
      </w:r>
    </w:p>
    <w:p>
      <w:pPr>
        <w:pStyle w:val="ListBullet"/>
      </w:pPr>
      <w:r>
        <w:t>Dritter Hebel: Kontextgroesse verkleinern (Einstellungen und Status). 4096 statt 8192 spart Arbeitsspeicher.</w:t>
      </w:r>
    </w:p>
    <w:p>
      <w:pPr>
        <w:pStyle w:val="ListBullet"/>
      </w:pPr>
      <w:r>
        <w:t>Vierter Hebel: eine Grafikkarte nutzen. Damit wird es ein Vielfaches - siehe naechster Abschnitt.</w:t>
      </w:r>
    </w:p>
    <w:p>
      <w:pPr>
        <w:pStyle w:val="Heading3"/>
      </w:pPr>
      <w:r>
        <w:t>Mit Grafikkarte geht deutlich mehr</w:t>
      </w:r>
    </w:p>
    <w:p>
      <w:r>
        <w:rPr>
          <w:b w:val="0"/>
          <w:i w:val="0"/>
        </w:rPr>
        <w:t>Dem Paket liegen ZWEI Fassungen des Modelldienstes bei: eine, die auf dem Prozessor rechnet und ueberall ohne Treiber laeuft, und eine, die die Grafikkarte nutzt (Vulkan - das funktioniert mit Karten von NVIDIA, AMD und Intel gleichermassen). Welche verwendet wird, entscheidet die Anwendung beim Start selbst.</w:t>
      </w:r>
    </w:p>
    <w:p>
      <w:pPr>
        <w:pStyle w:val="ListBullet"/>
      </w:pPr>
      <w:r>
        <w:t>Wird eine Grafikkarte erkannt, nimmt sie die Grafikfassung. Sie muessen dafuer nichts einstellen und nichts installieren.</w:t>
      </w:r>
    </w:p>
    <w:p>
      <w:pPr>
        <w:pStyle w:val="ListBullet"/>
      </w:pPr>
      <w:r>
        <w:t>Kommt diese nicht hoch - etwa weil ein Treiber fehlt -, faellt sie still auf die Prozessorfassung zurueck. Lieber langsam als gar kein Sprachmodell.</w:t>
      </w:r>
    </w:p>
    <w:p>
      <w:pPr>
        <w:pStyle w:val="ListBullet"/>
      </w:pPr>
      <w:r>
        <w:t>Ob es gewirkt hat, sehen Sie in der Registerkarte Sprachmodell unter "Modell ausprobieren": die gemessene Geschwindigkeit ist mit Grafikkarte um ein Vielfaches hoeher.</w:t>
      </w:r>
    </w:p>
    <w:p>
      <w:r>
        <w:rPr>
          <w:b w:val="0"/>
          <w:i w:val="0"/>
        </w:rPr>
        <w:t>Wer nachhelfen will, setzt in "Einstellungen und Status" den Wert "Grafikschichten" ausdruecklich auf 99. Ohne passende Fassung bewirkt der Wert nichts - das steht auch in der Oberflaeche daneben.</w:t>
      </w:r>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Modell waehlen Sie im Fenster ueber die Auswahlliste "Auswahl" - in der Konsole mit --profil light (oder standard, high, probe).</w:t>
      </w:r>
    </w:p>
    <w:p>
      <w:pPr>
        <w:pStyle w:val="Heading2"/>
      </w:pPr>
      <w:r>
        <w:t>Was die Anwendung dabei nicht tut</w:t>
      </w:r>
    </w:p>
    <w:p>
      <w:pPr>
        <w:pStyle w:val="ListBullet"/>
      </w:pPr>
      <w:r>
        <w:t>Sie laedt nichts ohne Ihre Bestaetigung. Im Fenster kommt vorher eine Rueckfrage mit Groesse, Lizenz und Herkunft; in der Konsole braucht es --bestaetigen.</w:t>
      </w:r>
    </w:p>
    <w:p>
      <w:pPr>
        <w:pStyle w:val="ListBullet"/>
      </w:pPr>
      <w:r>
        <w:t>Sie laedt nichts im Betriebsmodus OFFLINE. Eine vorhandene Datei uebernehmen koennen Sie trotzdem - dabei wird nichts abgerufen.</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Bei einem grossen Modell auf einem USB-Stick sind das durchaus ein bis zwei Minuten. Die folgenden Antworten kommen deutlich schneller.</w:t>
              <w:br/>
              <w:br/>
              <w:t>Sie muessen dabei nicht raten, ob noch etwas passiert: unten in der Statuszeile steht, worauf gerade gewartet wird - "Das Sprachmodell wird geladen", "Der Buchhalter recherchiert und denkt nach" oder "Die Antwort wird geschrieben" - und daneben, seit wann.</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18</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zehn Bereiche</w:t>
      </w:r>
    </w:p>
    <w:tbl>
      <w:tblPr>
        <w:tblStyle w:val="TableGrid"/>
        <w:tblW w:type="auto" w:w="0"/>
        <w:tblLook w:firstColumn="1" w:firstRow="1" w:lastColumn="0" w:lastRow="0" w:noHBand="0" w:noVBand="1" w:val="04A0"/>
      </w:tblPr>
      <w:tblGrid>
        <w:gridCol w:w="9518"/>
      </w:tblGrid>
      <w:tr>
        <w:tc>
          <w:tcPr>
            <w:tcW w:type="dxa" w:w="9518"/>
          </w:tcPr>
          <w:p>
            <w:r>
              <w:rPr>
                <w:b/>
                <w:color w:val="1F4E79"/>
              </w:rPr>
              <w:t>Beim Start</w:t>
            </w:r>
          </w:p>
          <w:p>
            <w:r>
              <w:t>Zuerst erscheint fuer drei Sekunden das PORTIVA-Logo. In dieser Zeit faehrt die Anwendung im Hintergrund hoch und laedt das Sprachmodell vor - die drei Sekunden kosten Sie also nichts, sie ueberbruecken eine Wartezeit, die es ohnehin gibt.</w:t>
              <w:br/>
              <w:br/>
              <w:t>Wer es eilig hat, klickt das Bild weg oder drueckt eine Taste. Wer es gar nicht sehen will, startet mit dem Zusatz --kein-startbild.</w:t>
            </w:r>
          </w:p>
        </w:tc>
      </w:tr>
    </w:tbl>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0_Begruessungsbild.png"/>
                    <pic:cNvPicPr/>
                  </pic:nvPicPr>
                  <pic:blipFill>
                    <a:blip r:embed="rId9"/>
                    <a:stretch>
                      <a:fillRect/>
                    </a:stretch>
                  </pic:blipFill>
                  <pic:spPr>
                    <a:xfrm>
                      <a:off x="0" y="0"/>
                      <a:ext cx="5580000" cy="3487500"/>
                    </a:xfrm>
                    <a:prstGeom prst="rect"/>
                  </pic:spPr>
                </pic:pic>
              </a:graphicData>
            </a:graphic>
          </wp:inline>
        </w:drawing>
      </w:r>
    </w:p>
    <w:p>
      <w:pPr>
        <w:jc w:val="center"/>
      </w:pPr>
      <w:r>
        <w:rPr>
          <w:i/>
          <w:color w:val="555555"/>
          <w:sz w:val="18"/>
        </w:rPr>
        <w:t>So begruesst Sie PORTIVA: drei Sekunden, dann geht die Startseite auf.</w:t>
      </w:r>
    </w:p>
    <w:p>
      <w:r>
        <w:rPr>
          <w:b w:val="0"/>
          <w:i w:val="0"/>
        </w:rPr>
        <w:t>Danach sehen Sie links eine dauerhafte Navigation mit zehn Bereichen. Der Bereich, in dem Sie gerade sind, ist hervorgehoben. Ueber "Leiste einklappen" wird die Navigation schmal - die Bereiche bleiben dabei anklickbar.</w:t>
      </w:r>
    </w:p>
    <w:p>
      <w:pPr>
        <w:jc w:val="center"/>
      </w:pPr>
      <w:r>
        <w:drawing>
          <wp:inline xmlns:a="http://schemas.openxmlformats.org/drawingml/2006/main" xmlns:pic="http://schemas.openxmlformats.org/drawingml/2006/picture">
            <wp:extent cx="5580000" cy="3496800"/>
            <wp:docPr id="2" name="Picture 2"/>
            <wp:cNvGraphicFramePr>
              <a:graphicFrameLocks noChangeAspect="1"/>
            </wp:cNvGraphicFramePr>
            <a:graphic>
              <a:graphicData uri="http://schemas.openxmlformats.org/drawingml/2006/picture">
                <pic:pic>
                  <pic:nvPicPr>
                    <pic:cNvPr id="0" name="01_Unterhaltung.png"/>
                    <pic:cNvPicPr/>
                  </pic:nvPicPr>
                  <pic:blipFill>
                    <a:blip r:embed="rId10"/>
                    <a:stretch>
                      <a:fillRect/>
                    </a:stretch>
                  </pic:blipFill>
                  <pic:spPr>
                    <a:xfrm>
                      <a:off x="0" y="0"/>
                      <a:ext cx="5580000" cy="3496800"/>
                    </a:xfrm>
                    <a:prstGeom prst="rect"/>
                  </pic:spPr>
                </pic:pic>
              </a:graphicData>
            </a:graphic>
          </wp:inline>
        </w:drawing>
      </w:r>
    </w:p>
    <w:p>
      <w:pPr>
        <w:jc w:val="center"/>
      </w:pPr>
      <w:r>
        <w:rPr>
          <w:i/>
          <w:color w:val="555555"/>
          <w:sz w:val="18"/>
        </w:rPr>
        <w:t>Der Bereich Unterhaltung. Links die Navigation, in der Mitte das Gespraech, rechts die Quellen der letzten Antwort.</w:t>
      </w:r>
    </w:p>
    <w:tbl>
      <w:tblPr>
        <w:tblStyle w:val="TableGrid"/>
        <w:tblW w:type="auto" w:w="0"/>
        <w:tblLook w:firstColumn="1" w:firstRow="1" w:lastColumn="0" w:lastRow="0" w:noHBand="0" w:noVBand="1" w:val="04A0"/>
      </w:tblPr>
      <w:tblGrid>
        <w:gridCol w:w="9518"/>
      </w:tblGrid>
      <w:tr>
        <w:tc>
          <w:tcPr>
            <w:tcW w:type="dxa" w:w="9518"/>
          </w:tcPr>
          <w:p>
            <w:r>
              <w:rPr>
                <w:b/>
                <w:color w:val="1F4E79"/>
              </w:rPr>
              <w:t>Ein Unterschied zwischen Bild und Ihrem Bildschirm</w:t>
            </w:r>
          </w:p>
          <w:p>
            <w:r>
              <w:t>Die Bilder in dieser Anleitung entstehen auf einem Linux-Rechner. Dort kann Windows-typisches Ziehen und Ablegen nicht funktionieren, und der schmale Streifen unter dem Eingabefeld sagt das auch: „Datei anhaengen (Ziehen ist auf diesem System nicht verfuegbar)“.</w:t>
              <w:br/>
              <w:br/>
              <w:t>Auf Ihrem Windows-Rechner steht dort „Datei hierher ziehen oder ‚Datei anhaengen‘“ - und Sie koennen eine Datei wirklich auf das Fenster ziehen. Klappt es bei Ihnen nicht, bleibt der Streifen ein Klickziel und der Knopf „Datei anhaengen“ tut dasselbe. Wer das Ziehen gar nicht will, startet die Anwendung mit gesetzter Umgebungsvariable PORTIVA_KEINE_DATEIABLAGE=1.</w:t>
              <w:br/>
              <w:br/>
              <w:t>Auch die Schrift sieht bei Ihnen etwas anders aus: Windows hat Segoe UI, der Bildrechner nur einen Ersatz dafuer.</w:t>
            </w:r>
          </w:p>
        </w:tc>
      </w:tr>
    </w:tbl>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Bereich</w:t>
            </w:r>
          </w:p>
        </w:tc>
        <w:tc>
          <w:tcPr>
            <w:tcW w:type="dxa" w:w="3061"/>
          </w:tcPr>
          <w:p>
            <w:r/>
            <w:r>
              <w:rPr>
                <w:b/>
              </w:rPr>
              <w:t>Wofuer</w:t>
            </w:r>
          </w:p>
        </w:tc>
        <w:tc>
          <w:tcPr>
            <w:tcW w:type="dxa" w:w="4082"/>
          </w:tcPr>
          <w:p>
            <w:r/>
            <w:r>
              <w:rPr>
                <w:b/>
              </w:rPr>
              <w:t>Was Sie dort tun</w:t>
            </w:r>
          </w:p>
        </w:tc>
      </w:tr>
      <w:tr>
        <w:tc>
          <w:tcPr>
            <w:tcW w:type="dxa" w:w="1928"/>
          </w:tcPr>
          <w:p>
            <w:r/>
            <w:r>
              <w:rPr>
                <w:sz w:val="20"/>
              </w:rPr>
              <w:t>1. Unterhaltung</w:t>
            </w:r>
          </w:p>
        </w:tc>
        <w:tc>
          <w:tcPr>
            <w:tcW w:type="dxa" w:w="3061"/>
          </w:tcPr>
          <w:p>
            <w:r/>
            <w:r>
              <w:rPr>
                <w:sz w:val="20"/>
              </w:rPr>
              <w:t>Fragen stellen und Antworten lesen</w:t>
            </w:r>
          </w:p>
        </w:tc>
        <w:tc>
          <w:tcPr>
            <w:tcW w:type="dxa" w:w="4082"/>
          </w:tcPr>
          <w:p>
            <w:r/>
            <w:r>
              <w:rPr>
                <w:sz w:val="20"/>
              </w:rPr>
              <w:t>Frage unten eintippen, Eingabetaste sendet</w:t>
            </w:r>
          </w:p>
        </w:tc>
      </w:tr>
      <w:tr>
        <w:tc>
          <w:tcPr>
            <w:tcW w:type="dxa" w:w="1928"/>
          </w:tcPr>
          <w:p>
            <w:r/>
            <w:r>
              <w:rPr>
                <w:sz w:val="20"/>
              </w:rPr>
              <w:t>2. Unternehmenswissen</w:t>
            </w:r>
          </w:p>
        </w:tc>
        <w:tc>
          <w:tcPr>
            <w:tcW w:type="dxa" w:w="3061"/>
          </w:tcPr>
          <w:p>
            <w:r/>
            <w:r>
              <w:rPr>
                <w:sz w:val="20"/>
              </w:rPr>
              <w:t>Angaben zu Ihrem Betrieb dauerhaft speichern</w:t>
            </w:r>
          </w:p>
        </w:tc>
        <w:tc>
          <w:tcPr>
            <w:tcW w:type="dxa" w:w="4082"/>
          </w:tcPr>
          <w:p>
            <w:r/>
            <w:r>
              <w:rPr>
                <w:sz w:val="20"/>
              </w:rPr>
              <w:t>Kachel anklicken filtert; "Neu / Aendern" legt an</w:t>
            </w:r>
          </w:p>
        </w:tc>
      </w:tr>
      <w:tr>
        <w:tc>
          <w:tcPr>
            <w:tcW w:type="dxa" w:w="1928"/>
          </w:tcPr>
          <w:p>
            <w:r/>
            <w:r>
              <w:rPr>
                <w:sz w:val="20"/>
              </w:rPr>
              <w:t>3. Belege &amp; Dokumente</w:t>
            </w:r>
          </w:p>
        </w:tc>
        <w:tc>
          <w:tcPr>
            <w:tcW w:type="dxa" w:w="3061"/>
          </w:tcPr>
          <w:p>
            <w:r/>
            <w:r>
              <w:rPr>
                <w:sz w:val="20"/>
              </w:rPr>
              <w:t>Eigene Dokumente einlesen und analysieren</w:t>
            </w:r>
          </w:p>
        </w:tc>
        <w:tc>
          <w:tcPr>
            <w:tcW w:type="dxa" w:w="4082"/>
          </w:tcPr>
          <w:p>
            <w:r/>
            <w:r>
              <w:rPr>
                <w:sz w:val="20"/>
              </w:rPr>
              <w:t>Datei auswaehlen oder hereinziehen</w:t>
            </w:r>
          </w:p>
        </w:tc>
      </w:tr>
      <w:tr>
        <w:tc>
          <w:tcPr>
            <w:tcW w:type="dxa" w:w="1928"/>
          </w:tcPr>
          <w:p>
            <w:r/>
            <w:r>
              <w:rPr>
                <w:sz w:val="20"/>
              </w:rPr>
              <w:t>4. Arbeitsergebnisse</w:t>
            </w:r>
          </w:p>
        </w:tc>
        <w:tc>
          <w:tcPr>
            <w:tcW w:type="dxa" w:w="3061"/>
          </w:tcPr>
          <w:p>
            <w:r/>
            <w:r>
              <w:rPr>
                <w:sz w:val="20"/>
              </w:rPr>
              <w:t>Erzeugte Dateien finden und weitergeben</w:t>
            </w:r>
          </w:p>
        </w:tc>
        <w:tc>
          <w:tcPr>
            <w:tcW w:type="dxa" w:w="4082"/>
          </w:tcPr>
          <w:p>
            <w:r/>
            <w:r>
              <w:rPr>
                <w:sz w:val="20"/>
              </w:rPr>
              <w:t>Oeffnen, Exportieren, Umbenennen, Loeschen</w:t>
            </w:r>
          </w:p>
        </w:tc>
      </w:tr>
      <w:tr>
        <w:tc>
          <w:tcPr>
            <w:tcW w:type="dxa" w:w="1928"/>
          </w:tcPr>
          <w:p>
            <w:r/>
            <w:r>
              <w:rPr>
                <w:sz w:val="20"/>
              </w:rPr>
              <w:t>5. Wissen &amp; Quellen</w:t>
            </w:r>
          </w:p>
        </w:tc>
        <w:tc>
          <w:tcPr>
            <w:tcW w:type="dxa" w:w="3061"/>
          </w:tcPr>
          <w:p>
            <w:r/>
            <w:r>
              <w:rPr>
                <w:sz w:val="20"/>
              </w:rPr>
              <w:t>Wissensstand und amtliche Quellen</w:t>
            </w:r>
          </w:p>
        </w:tc>
        <w:tc>
          <w:tcPr>
            <w:tcW w:type="dxa" w:w="4082"/>
          </w:tcPr>
          <w:p>
            <w:r/>
            <w:r>
              <w:rPr>
                <w:sz w:val="20"/>
              </w:rPr>
              <w:t>"Jetzt aktualisieren" (braucht Internet)</w:t>
            </w:r>
          </w:p>
        </w:tc>
      </w:tr>
      <w:tr>
        <w:tc>
          <w:tcPr>
            <w:tcW w:type="dxa" w:w="1928"/>
          </w:tcPr>
          <w:p>
            <w:r/>
            <w:r>
              <w:rPr>
                <w:sz w:val="20"/>
              </w:rPr>
              <w:t>6. Vorlagen</w:t>
            </w:r>
          </w:p>
        </w:tc>
        <w:tc>
          <w:tcPr>
            <w:tcW w:type="dxa" w:w="3061"/>
          </w:tcPr>
          <w:p>
            <w:r/>
            <w:r>
              <w:rPr>
                <w:sz w:val="20"/>
              </w:rPr>
              <w:t>Wiederverwendbare Vorlagen fuellen und erzeugen</w:t>
            </w:r>
          </w:p>
        </w:tc>
        <w:tc>
          <w:tcPr>
            <w:tcW w:type="dxa" w:w="4082"/>
          </w:tcPr>
          <w:p>
            <w:r/>
            <w:r>
              <w:rPr>
                <w:sz w:val="20"/>
              </w:rPr>
              <w:t>Vorlage waehlen, Angaben eintragen, "Datei erzeugen"</w:t>
            </w:r>
          </w:p>
        </w:tc>
      </w:tr>
      <w:tr>
        <w:tc>
          <w:tcPr>
            <w:tcW w:type="dxa" w:w="1928"/>
          </w:tcPr>
          <w:p>
            <w:r/>
            <w:r>
              <w:rPr>
                <w:sz w:val="20"/>
              </w:rPr>
              <w:t>7. Aufgaben</w:t>
            </w:r>
          </w:p>
        </w:tc>
        <w:tc>
          <w:tcPr>
            <w:tcW w:type="dxa" w:w="3061"/>
          </w:tcPr>
          <w:p>
            <w:r/>
            <w:r>
              <w:rPr>
                <w:sz w:val="20"/>
              </w:rPr>
              <w:t>Geplante und wiederkehrende Arbeiten</w:t>
            </w:r>
          </w:p>
        </w:tc>
        <w:tc>
          <w:tcPr>
            <w:tcW w:type="dxa" w:w="4082"/>
          </w:tcPr>
          <w:p>
            <w:r/>
            <w:r>
              <w:rPr>
                <w:sz w:val="20"/>
              </w:rPr>
              <w:t>Noch nicht verfuegbar - der Bereich sagt das auch</w:t>
            </w:r>
          </w:p>
        </w:tc>
      </w:tr>
      <w:tr>
        <w:tc>
          <w:tcPr>
            <w:tcW w:type="dxa" w:w="1928"/>
          </w:tcPr>
          <w:p>
            <w:r/>
            <w:r>
              <w:rPr>
                <w:sz w:val="20"/>
              </w:rPr>
              <w:t>8. Plugins</w:t>
            </w:r>
          </w:p>
        </w:tc>
        <w:tc>
          <w:tcPr>
            <w:tcW w:type="dxa" w:w="3061"/>
          </w:tcPr>
          <w:p>
            <w:r/>
            <w:r>
              <w:rPr>
                <w:sz w:val="20"/>
              </w:rPr>
              <w:t>Zusatzfaehigkeiten installieren und verwalten</w:t>
            </w:r>
          </w:p>
        </w:tc>
        <w:tc>
          <w:tcPr>
            <w:tcW w:type="dxa" w:w="4082"/>
          </w:tcPr>
          <w:p>
            <w:r/>
            <w:r>
              <w:rPr>
                <w:sz w:val="20"/>
              </w:rPr>
              <w:t>Aus Datei installieren, aktivieren, Rechte pruefen</w:t>
            </w:r>
          </w:p>
        </w:tc>
      </w:tr>
      <w:tr>
        <w:tc>
          <w:tcPr>
            <w:tcW w:type="dxa" w:w="1928"/>
          </w:tcPr>
          <w:p>
            <w:r/>
            <w:r>
              <w:rPr>
                <w:sz w:val="20"/>
              </w:rPr>
              <w:t>9. Verbundene Dienste</w:t>
            </w:r>
          </w:p>
        </w:tc>
        <w:tc>
          <w:tcPr>
            <w:tcW w:type="dxa" w:w="3061"/>
          </w:tcPr>
          <w:p>
            <w:r/>
            <w:r>
              <w:rPr>
                <w:sz w:val="20"/>
              </w:rPr>
              <w:t>Externe Systeme anbinden</w:t>
            </w:r>
          </w:p>
        </w:tc>
        <w:tc>
          <w:tcPr>
            <w:tcW w:type="dxa" w:w="4082"/>
          </w:tcPr>
          <w:p>
            <w:r/>
            <w:r>
              <w:rPr>
                <w:sz w:val="20"/>
              </w:rPr>
              <w:t>Verbindung testen, trennen</w:t>
            </w:r>
          </w:p>
        </w:tc>
      </w:tr>
      <w:tr>
        <w:tc>
          <w:tcPr>
            <w:tcW w:type="dxa" w:w="1928"/>
          </w:tcPr>
          <w:p>
            <w:r/>
            <w:r>
              <w:rPr>
                <w:sz w:val="20"/>
              </w:rPr>
              <w:t>10. Einstellungen &amp; Status</w:t>
            </w:r>
          </w:p>
        </w:tc>
        <w:tc>
          <w:tcPr>
            <w:tcW w:type="dxa" w:w="3061"/>
          </w:tcPr>
          <w:p>
            <w:r/>
            <w:r>
              <w:rPr>
                <w:sz w:val="20"/>
              </w:rPr>
              <w:t>Verhalten einstellen, Zustand pruefen</w:t>
            </w:r>
          </w:p>
        </w:tc>
        <w:tc>
          <w:tcPr>
            <w:tcW w:type="dxa" w:w="4082"/>
          </w:tcPr>
          <w:p>
            <w:r/>
            <w:r>
              <w:rPr>
                <w:sz w:val="20"/>
              </w:rPr>
              <w:t>Gruppen links, Systemstatus rechts</w:t>
            </w:r>
          </w:p>
        </w:tc>
      </w:tr>
    </w:tbl>
    <w:p/>
    <w:p>
      <w:r>
        <w:rPr>
          <w:b w:val="0"/>
          <w:i w:val="0"/>
        </w:rPr>
        <w:t>Einen der zehn Bereiche gibt es noch nicht: Aufgaben. Er steht trotzdem in der Liste und erklaert, was er koennen wird und was heute stattdessen hilft. Ein Knopf, der nichts tut, steht dort nicht - das waere schlimmer als ein fehlender Bereich.</w:t>
      </w:r>
    </w:p>
    <w:p>
      <w:r>
        <w:rPr>
          <w:b w:val="0"/>
          <w:i w:val="0"/>
        </w:rPr>
        <w:t>Oben rechts stehen drei Angaben, die Sie im Blick behalten sollten:</w:t>
      </w:r>
    </w:p>
    <w:p>
      <w:pPr>
        <w:pStyle w:val="ListBullet"/>
      </w:pPr>
      <w:r>
        <w:t>Wissensstand - das Datum, auf dem die gespeicherten Fachquellen stehen.</w:t>
      </w:r>
    </w:p>
    <w:p>
      <w:pPr>
        <w:pStyle w:val="ListBullet"/>
      </w:pPr>
      <w:r>
        <w:t>Internet - ob eine Verbindung besteht. Das ist etwas anderes als der Betriebsmodus: "OFFLINE gewaehlt, Internet verfuegbar" ist ein gueltiger Zustand.</w:t>
      </w:r>
    </w:p>
    <w:p>
      <w:pPr>
        <w:pStyle w:val="ListBullet"/>
      </w:pPr>
      <w:r>
        <w:t>Ganz rechts das Auswahlfeld fuer den Betriebsmodus - OFFLINE, HYBRID oder ONLINE. Es zeigt den aktuellen Modus und stellt ihn zugleich um. Eine zusaetzliche Anzeige daneben gibt es bewusst nicht: zweimal dasselbe Wort macht es nicht deutlicher, nur enger.</w:t>
      </w:r>
    </w:p>
    <w:p>
      <w:r>
        <w:rPr>
          <w:b w:val="0"/>
          <w:i w:val="0"/>
        </w:rPr>
        <w:t>Unten links in der Navigation stehen dauerhaft Ihr Profil und die Lage. Ganz unten laeuft eine Statuszeile mit, die auch den Pfad Ihres Datentraegers nennt - und waehrend einer Frage, worauf gerade gewartet wird und seit wann.</w:t>
      </w:r>
    </w:p>
    <w:p>
      <w:pPr>
        <w:pStyle w:val="Heading2"/>
      </w:pPr>
      <w:r>
        <w:t>Die zehn Bereiche im Bild</w:t>
      </w:r>
    </w:p>
    <w:p>
      <w:r>
        <w:rPr>
          <w:b w:val="0"/>
          <w:i w:val="0"/>
        </w:rPr>
        <w:t>Damit Sie sich schneller zurechtfinden, hier jeder Bereich so, wie er auf dem Bildschirm aussieht. Die Bilder sind aus dem laufenden Programm aufgenommen, nicht gezeichnet - was Sie hier sehen, sehen Sie auch dort. Die Beispieldaten darin sind als Beispiel gekennzeichnet.</w:t>
      </w:r>
    </w:p>
    <w:p>
      <w:pPr>
        <w:jc w:val="center"/>
      </w:pPr>
      <w:r>
        <w:drawing>
          <wp:inline xmlns:a="http://schemas.openxmlformats.org/drawingml/2006/main" xmlns:pic="http://schemas.openxmlformats.org/drawingml/2006/picture">
            <wp:extent cx="5580000" cy="3496800"/>
            <wp:docPr id="3" name="Picture 3"/>
            <wp:cNvGraphicFramePr>
              <a:graphicFrameLocks noChangeAspect="1"/>
            </wp:cNvGraphicFramePr>
            <a:graphic>
              <a:graphicData uri="http://schemas.openxmlformats.org/drawingml/2006/picture">
                <pic:pic>
                  <pic:nvPicPr>
                    <pic:cNvPr id="0" name="02_Unternehmenswissen.png"/>
                    <pic:cNvPicPr/>
                  </pic:nvPicPr>
                  <pic:blipFill>
                    <a:blip r:embed="rId11"/>
                    <a:stretch>
                      <a:fillRect/>
                    </a:stretch>
                  </pic:blipFill>
                  <pic:spPr>
                    <a:xfrm>
                      <a:off x="0" y="0"/>
                      <a:ext cx="5580000" cy="3496800"/>
                    </a:xfrm>
                    <a:prstGeom prst="rect"/>
                  </pic:spPr>
                </pic:pic>
              </a:graphicData>
            </a:graphic>
          </wp:inline>
        </w:drawing>
      </w:r>
    </w:p>
    <w:p>
      <w:pPr>
        <w:jc w:val="center"/>
      </w:pPr>
      <w:r>
        <w:rPr>
          <w:i/>
          <w:color w:val="555555"/>
          <w:sz w:val="18"/>
        </w:rPr>
        <w:t>Unternehmenswissen: sechs Kacheln als Filter, darunter die Eintraege.</w:t>
      </w:r>
    </w:p>
    <w:p>
      <w:pPr>
        <w:jc w:val="center"/>
      </w:pPr>
      <w:r>
        <w:drawing>
          <wp:inline xmlns:a="http://schemas.openxmlformats.org/drawingml/2006/main" xmlns:pic="http://schemas.openxmlformats.org/drawingml/2006/picture">
            <wp:extent cx="5580000" cy="3496800"/>
            <wp:docPr id="4" name="Picture 4"/>
            <wp:cNvGraphicFramePr>
              <a:graphicFrameLocks noChangeAspect="1"/>
            </wp:cNvGraphicFramePr>
            <a:graphic>
              <a:graphicData uri="http://schemas.openxmlformats.org/drawingml/2006/picture">
                <pic:pic>
                  <pic:nvPicPr>
                    <pic:cNvPr id="0" name="03_Belege_und_Dokumente.png"/>
                    <pic:cNvPicPr/>
                  </pic:nvPicPr>
                  <pic:blipFill>
                    <a:blip r:embed="rId12"/>
                    <a:stretch>
                      <a:fillRect/>
                    </a:stretch>
                  </pic:blipFill>
                  <pic:spPr>
                    <a:xfrm>
                      <a:off x="0" y="0"/>
                      <a:ext cx="5580000" cy="3496800"/>
                    </a:xfrm>
                    <a:prstGeom prst="rect"/>
                  </pic:spPr>
                </pic:pic>
              </a:graphicData>
            </a:graphic>
          </wp:inline>
        </w:drawing>
      </w:r>
    </w:p>
    <w:p>
      <w:pPr>
        <w:jc w:val="center"/>
      </w:pPr>
      <w:r>
        <w:rPr>
          <w:i/>
          <w:color w:val="555555"/>
          <w:sz w:val="18"/>
        </w:rPr>
        <w:t>Belege &amp; Dokumente: oben die Aktionen, darunter der Weg vom Beleg zum Ergebnis.</w:t>
      </w:r>
    </w:p>
    <w:p>
      <w:pPr>
        <w:jc w:val="center"/>
      </w:pPr>
      <w:r>
        <w:drawing>
          <wp:inline xmlns:a="http://schemas.openxmlformats.org/drawingml/2006/main" xmlns:pic="http://schemas.openxmlformats.org/drawingml/2006/picture">
            <wp:extent cx="5580000" cy="3496800"/>
            <wp:docPr id="5" name="Picture 5"/>
            <wp:cNvGraphicFramePr>
              <a:graphicFrameLocks noChangeAspect="1"/>
            </wp:cNvGraphicFramePr>
            <a:graphic>
              <a:graphicData uri="http://schemas.openxmlformats.org/drawingml/2006/picture">
                <pic:pic>
                  <pic:nvPicPr>
                    <pic:cNvPr id="0" name="04_Arbeitsergebnisse.png"/>
                    <pic:cNvPicPr/>
                  </pic:nvPicPr>
                  <pic:blipFill>
                    <a:blip r:embed="rId13"/>
                    <a:stretch>
                      <a:fillRect/>
                    </a:stretch>
                  </pic:blipFill>
                  <pic:spPr>
                    <a:xfrm>
                      <a:off x="0" y="0"/>
                      <a:ext cx="5580000" cy="3496800"/>
                    </a:xfrm>
                    <a:prstGeom prst="rect"/>
                  </pic:spPr>
                </pic:pic>
              </a:graphicData>
            </a:graphic>
          </wp:inline>
        </w:drawing>
      </w:r>
    </w:p>
    <w:p>
      <w:pPr>
        <w:jc w:val="center"/>
      </w:pPr>
      <w:r>
        <w:rPr>
          <w:i/>
          <w:color w:val="555555"/>
          <w:sz w:val="18"/>
        </w:rPr>
        <w:t>Arbeitsergebnisse: jede erzeugte Datei mit Format, Fassung und Ablageort.</w:t>
      </w:r>
    </w:p>
    <w:p>
      <w:pPr>
        <w:jc w:val="center"/>
      </w:pPr>
      <w:r>
        <w:drawing>
          <wp:inline xmlns:a="http://schemas.openxmlformats.org/drawingml/2006/main" xmlns:pic="http://schemas.openxmlformats.org/drawingml/2006/picture">
            <wp:extent cx="5580000" cy="3496800"/>
            <wp:docPr id="6" name="Picture 6"/>
            <wp:cNvGraphicFramePr>
              <a:graphicFrameLocks noChangeAspect="1"/>
            </wp:cNvGraphicFramePr>
            <a:graphic>
              <a:graphicData uri="http://schemas.openxmlformats.org/drawingml/2006/picture">
                <pic:pic>
                  <pic:nvPicPr>
                    <pic:cNvPr id="0" name="05_Wissen_und_Quellen.png"/>
                    <pic:cNvPicPr/>
                  </pic:nvPicPr>
                  <pic:blipFill>
                    <a:blip r:embed="rId14"/>
                    <a:stretch>
                      <a:fillRect/>
                    </a:stretch>
                  </pic:blipFill>
                  <pic:spPr>
                    <a:xfrm>
                      <a:off x="0" y="0"/>
                      <a:ext cx="5580000" cy="3496800"/>
                    </a:xfrm>
                    <a:prstGeom prst="rect"/>
                  </pic:spPr>
                </pic:pic>
              </a:graphicData>
            </a:graphic>
          </wp:inline>
        </w:drawing>
      </w:r>
    </w:p>
    <w:p>
      <w:pPr>
        <w:jc w:val="center"/>
      </w:pPr>
      <w:r>
        <w:rPr>
          <w:i/>
          <w:color w:val="555555"/>
          <w:sz w:val="18"/>
        </w:rPr>
        <w:t>Wissen &amp; Quellen: Wissensstand, Update-Pipeline und das Quellenregister.</w:t>
      </w:r>
    </w:p>
    <w:p>
      <w:pPr>
        <w:jc w:val="center"/>
      </w:pPr>
      <w:r>
        <w:drawing>
          <wp:inline xmlns:a="http://schemas.openxmlformats.org/drawingml/2006/main" xmlns:pic="http://schemas.openxmlformats.org/drawingml/2006/picture">
            <wp:extent cx="5580000" cy="3496800"/>
            <wp:docPr id="7" name="Picture 7"/>
            <wp:cNvGraphicFramePr>
              <a:graphicFrameLocks noChangeAspect="1"/>
            </wp:cNvGraphicFramePr>
            <a:graphic>
              <a:graphicData uri="http://schemas.openxmlformats.org/drawingml/2006/picture">
                <pic:pic>
                  <pic:nvPicPr>
                    <pic:cNvPr id="0" name="06_Vorlagen.png"/>
                    <pic:cNvPicPr/>
                  </pic:nvPicPr>
                  <pic:blipFill>
                    <a:blip r:embed="rId15"/>
                    <a:stretch>
                      <a:fillRect/>
                    </a:stretch>
                  </pic:blipFill>
                  <pic:spPr>
                    <a:xfrm>
                      <a:off x="0" y="0"/>
                      <a:ext cx="5580000" cy="3496800"/>
                    </a:xfrm>
                    <a:prstGeom prst="rect"/>
                  </pic:spPr>
                </pic:pic>
              </a:graphicData>
            </a:graphic>
          </wp:inline>
        </w:drawing>
      </w:r>
    </w:p>
    <w:p>
      <w:pPr>
        <w:jc w:val="center"/>
      </w:pPr>
      <w:r>
        <w:rPr>
          <w:i/>
          <w:color w:val="555555"/>
          <w:sz w:val="18"/>
        </w:rPr>
        <w:t>Vorlagen: links die Liste, rechts die gewaehlte Vorlage. Gefragt wird nur nach den Stellen, die offen sind.</w:t>
      </w:r>
    </w:p>
    <w:p>
      <w:pPr>
        <w:jc w:val="center"/>
      </w:pPr>
      <w:r>
        <w:drawing>
          <wp:inline xmlns:a="http://schemas.openxmlformats.org/drawingml/2006/main" xmlns:pic="http://schemas.openxmlformats.org/drawingml/2006/picture">
            <wp:extent cx="5580000" cy="3496800"/>
            <wp:docPr id="8" name="Picture 8"/>
            <wp:cNvGraphicFramePr>
              <a:graphicFrameLocks noChangeAspect="1"/>
            </wp:cNvGraphicFramePr>
            <a:graphic>
              <a:graphicData uri="http://schemas.openxmlformats.org/drawingml/2006/picture">
                <pic:pic>
                  <pic:nvPicPr>
                    <pic:cNvPr id="0" name="07_Aufgaben.png"/>
                    <pic:cNvPicPr/>
                  </pic:nvPicPr>
                  <pic:blipFill>
                    <a:blip r:embed="rId16"/>
                    <a:stretch>
                      <a:fillRect/>
                    </a:stretch>
                  </pic:blipFill>
                  <pic:spPr>
                    <a:xfrm>
                      <a:off x="0" y="0"/>
                      <a:ext cx="5580000" cy="3496800"/>
                    </a:xfrm>
                    <a:prstGeom prst="rect"/>
                  </pic:spPr>
                </pic:pic>
              </a:graphicData>
            </a:graphic>
          </wp:inline>
        </w:drawing>
      </w:r>
    </w:p>
    <w:p>
      <w:pPr>
        <w:jc w:val="center"/>
      </w:pPr>
      <w:r>
        <w:rPr>
          <w:i/>
          <w:color w:val="555555"/>
          <w:sz w:val="18"/>
        </w:rPr>
        <w:t>Aufgaben &amp; Automationen: ebenfalls noch nicht verfuegbar, mit Verweis auf den Zeitplan unter Wissen &amp; Quellen.</w:t>
      </w:r>
    </w:p>
    <w:p>
      <w:pPr>
        <w:jc w:val="center"/>
      </w:pPr>
      <w:r>
        <w:drawing>
          <wp:inline xmlns:a="http://schemas.openxmlformats.org/drawingml/2006/main" xmlns:pic="http://schemas.openxmlformats.org/drawingml/2006/picture">
            <wp:extent cx="5580000" cy="3496800"/>
            <wp:docPr id="9" name="Picture 9"/>
            <wp:cNvGraphicFramePr>
              <a:graphicFrameLocks noChangeAspect="1"/>
            </wp:cNvGraphicFramePr>
            <a:graphic>
              <a:graphicData uri="http://schemas.openxmlformats.org/drawingml/2006/picture">
                <pic:pic>
                  <pic:nvPicPr>
                    <pic:cNvPr id="0" name="08_Plugins.png"/>
                    <pic:cNvPicPr/>
                  </pic:nvPicPr>
                  <pic:blipFill>
                    <a:blip r:embed="rId17"/>
                    <a:stretch>
                      <a:fillRect/>
                    </a:stretch>
                  </pic:blipFill>
                  <pic:spPr>
                    <a:xfrm>
                      <a:off x="0" y="0"/>
                      <a:ext cx="5580000" cy="3496800"/>
                    </a:xfrm>
                    <a:prstGeom prst="rect"/>
                  </pic:spPr>
                </pic:pic>
              </a:graphicData>
            </a:graphic>
          </wp:inline>
        </w:drawing>
      </w:r>
    </w:p>
    <w:p>
      <w:pPr>
        <w:jc w:val="center"/>
      </w:pPr>
      <w:r>
        <w:rPr>
          <w:i/>
          <w:color w:val="555555"/>
          <w:sz w:val="18"/>
        </w:rPr>
        <w:t>Plugins &amp; Erweiterungen: installieren, aktivieren, Berechtigungen pruefen.</w:t>
      </w:r>
    </w:p>
    <w:p>
      <w:pPr>
        <w:jc w:val="center"/>
      </w:pPr>
      <w:r>
        <w:drawing>
          <wp:inline xmlns:a="http://schemas.openxmlformats.org/drawingml/2006/main" xmlns:pic="http://schemas.openxmlformats.org/drawingml/2006/picture">
            <wp:extent cx="5580000" cy="3496800"/>
            <wp:docPr id="10" name="Picture 10"/>
            <wp:cNvGraphicFramePr>
              <a:graphicFrameLocks noChangeAspect="1"/>
            </wp:cNvGraphicFramePr>
            <a:graphic>
              <a:graphicData uri="http://schemas.openxmlformats.org/drawingml/2006/picture">
                <pic:pic>
                  <pic:nvPicPr>
                    <pic:cNvPr id="0" name="09_Verbundene_Dienste.png"/>
                    <pic:cNvPicPr/>
                  </pic:nvPicPr>
                  <pic:blipFill>
                    <a:blip r:embed="rId18"/>
                    <a:stretch>
                      <a:fillRect/>
                    </a:stretch>
                  </pic:blipFill>
                  <pic:spPr>
                    <a:xfrm>
                      <a:off x="0" y="0"/>
                      <a:ext cx="5580000" cy="3496800"/>
                    </a:xfrm>
                    <a:prstGeom prst="rect"/>
                  </pic:spPr>
                </pic:pic>
              </a:graphicData>
            </a:graphic>
          </wp:inline>
        </w:drawing>
      </w:r>
    </w:p>
    <w:p>
      <w:pPr>
        <w:jc w:val="center"/>
      </w:pPr>
      <w:r>
        <w:rPr>
          <w:i/>
          <w:color w:val="555555"/>
          <w:sz w:val="18"/>
        </w:rPr>
        <w:t>Verbundene Dienste: externe Systeme verbinden, testen, trennen.</w:t>
      </w:r>
    </w:p>
    <w:p>
      <w:pPr>
        <w:jc w:val="center"/>
      </w:pPr>
      <w:r>
        <w:drawing>
          <wp:inline xmlns:a="http://schemas.openxmlformats.org/drawingml/2006/main" xmlns:pic="http://schemas.openxmlformats.org/drawingml/2006/picture">
            <wp:extent cx="5580000" cy="3496800"/>
            <wp:docPr id="11" name="Picture 11"/>
            <wp:cNvGraphicFramePr>
              <a:graphicFrameLocks noChangeAspect="1"/>
            </wp:cNvGraphicFramePr>
            <a:graphic>
              <a:graphicData uri="http://schemas.openxmlformats.org/drawingml/2006/picture">
                <pic:pic>
                  <pic:nvPicPr>
                    <pic:cNvPr id="0" name="10_Einstellungen_und_Status.png"/>
                    <pic:cNvPicPr/>
                  </pic:nvPicPr>
                  <pic:blipFill>
                    <a:blip r:embed="rId19"/>
                    <a:stretch>
                      <a:fillRect/>
                    </a:stretch>
                  </pic:blipFill>
                  <pic:spPr>
                    <a:xfrm>
                      <a:off x="0" y="0"/>
                      <a:ext cx="5580000" cy="3496800"/>
                    </a:xfrm>
                    <a:prstGeom prst="rect"/>
                  </pic:spPr>
                </pic:pic>
              </a:graphicData>
            </a:graphic>
          </wp:inline>
        </w:drawing>
      </w:r>
    </w:p>
    <w:p>
      <w:pPr>
        <w:jc w:val="center"/>
      </w:pPr>
      <w:r>
        <w:rPr>
          <w:i/>
          <w:color w:val="555555"/>
          <w:sz w:val="18"/>
        </w:rPr>
        <w:t>Einstellungen &amp; Status: links die Einstellungen, rechts der Systemstatus als Ampel.</w:t>
      </w:r>
    </w:p>
    <w:p>
      <w:pPr>
        <w:pStyle w:val="Heading2"/>
      </w:pPr>
      <w:r>
        <w:t>Tastenkuerzel</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Taste</w:t>
            </w:r>
          </w:p>
        </w:tc>
        <w:tc>
          <w:tcPr>
            <w:tcW w:type="dxa" w:w="6236"/>
          </w:tcPr>
          <w:p>
            <w:r/>
            <w:r>
              <w:rPr>
                <w:b/>
              </w:rPr>
              <w:t>Wirkung</w:t>
            </w:r>
          </w:p>
        </w:tc>
      </w:tr>
      <w:tr>
        <w:tc>
          <w:tcPr>
            <w:tcW w:type="dxa" w:w="2268"/>
          </w:tcPr>
          <w:p>
            <w:r/>
            <w:r>
              <w:rPr>
                <w:sz w:val="20"/>
              </w:rPr>
              <w:t>Eingabe</w:t>
            </w:r>
          </w:p>
        </w:tc>
        <w:tc>
          <w:tcPr>
            <w:tcW w:type="dxa" w:w="6236"/>
          </w:tcPr>
          <w:p>
            <w:r/>
            <w:r>
              <w:rPr>
                <w:sz w:val="20"/>
              </w:rPr>
              <w:t>Nachricht senden</w:t>
            </w:r>
          </w:p>
        </w:tc>
      </w:tr>
      <w:tr>
        <w:tc>
          <w:tcPr>
            <w:tcW w:type="dxa" w:w="2268"/>
          </w:tcPr>
          <w:p>
            <w:r/>
            <w:r>
              <w:rPr>
                <w:sz w:val="20"/>
              </w:rPr>
              <w:t>Umschalt + Eingabe</w:t>
            </w:r>
          </w:p>
        </w:tc>
        <w:tc>
          <w:tcPr>
            <w:tcW w:type="dxa" w:w="6236"/>
          </w:tcPr>
          <w:p>
            <w:r/>
            <w:r>
              <w:rPr>
                <w:sz w:val="20"/>
              </w:rPr>
              <w:t>Zeilenumbruch, ohne zu senden</w:t>
            </w:r>
          </w:p>
        </w:tc>
      </w:tr>
      <w:tr>
        <w:tc>
          <w:tcPr>
            <w:tcW w:type="dxa" w:w="2268"/>
          </w:tcPr>
          <w:p>
            <w:r/>
            <w:r>
              <w:rPr>
                <w:sz w:val="20"/>
              </w:rPr>
              <w:t>Strg + N</w:t>
            </w:r>
          </w:p>
        </w:tc>
        <w:tc>
          <w:tcPr>
            <w:tcW w:type="dxa" w:w="6236"/>
          </w:tcPr>
          <w:p>
            <w:r/>
            <w:r>
              <w:rPr>
                <w:sz w:val="20"/>
              </w:rPr>
              <w:t>Neue Unterhaltung beginnen</w:t>
            </w:r>
          </w:p>
        </w:tc>
      </w:tr>
      <w:tr>
        <w:tc>
          <w:tcPr>
            <w:tcW w:type="dxa" w:w="2268"/>
          </w:tcPr>
          <w:p>
            <w:r/>
            <w:r>
              <w:rPr>
                <w:sz w:val="20"/>
              </w:rPr>
              <w:t>Escape</w:t>
            </w:r>
          </w:p>
        </w:tc>
        <w:tc>
          <w:tcPr>
            <w:tcW w:type="dxa" w:w="6236"/>
          </w:tcPr>
          <w:p>
            <w:r/>
            <w:r>
              <w:rPr>
                <w:sz w:val="20"/>
              </w:rPr>
              <w:t>Laufende Antwort abbrechen</w:t>
            </w:r>
          </w:p>
        </w:tc>
      </w:tr>
      <w:tr>
        <w:tc>
          <w:tcPr>
            <w:tcW w:type="dxa" w:w="2268"/>
          </w:tcPr>
          <w:p>
            <w:r/>
            <w:r>
              <w:rPr>
                <w:sz w:val="20"/>
              </w:rPr>
              <w:t>Doppelklick</w:t>
            </w:r>
          </w:p>
        </w:tc>
        <w:tc>
          <w:tcPr>
            <w:tcW w:type="dxa" w:w="6236"/>
          </w:tcPr>
          <w:p>
            <w:r/>
            <w:r>
              <w:rPr>
                <w:sz w:val="20"/>
              </w:rPr>
              <w:t>In Listen: Eintrag oeffnen</w:t>
            </w:r>
          </w:p>
        </w:tc>
      </w:tr>
    </w:tbl>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r>
        <w:rPr>
          <w:b w:val="0"/>
          <w:i w:val="0"/>
        </w:rPr>
        <w:t>Unter den Quellen steht "Recherche-Details anzeigen". Dahinter liegen die technischen Angaben: wie viele Fundstellen gefunden und wie viele davon verwendet wurden, die Bewertungszahl je Fundstelle und ihre interne Kennung. Der Bereich ist absichtlich zugeklappt und steht absichtlich nicht in der Antwort. Eine Bewertungszahl neben einer Gesetzesangabe sieht aus, als gehoere sie zur fachlichen Aussage - sie tut es nicht, sie sagt nur, wie aehnlich ein Textstueck Ihrer Frage war. Aufklappen lohnt, wenn Sie wissen wollen, warum eine bestimmte Fundstelle herangezogen wurde.</w:t>
      </w:r>
    </w:p>
    <w:p>
      <w:r>
        <w:rPr>
          <w:b w:val="0"/>
          <w:i w:val="0"/>
        </w:rPr>
        <w:t>Mit "ausblenden" oben rechts verschwindet die ganze Quellenspalte und die Antwort bekommt die volle Breite. Mit "einblenden" kommt sie zurueck.</w:t>
      </w:r>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Fassung</w:t>
            </w:r>
          </w:p>
        </w:tc>
        <w:tc>
          <w:tcPr>
            <w:tcW w:type="dxa" w:w="6236"/>
          </w:tcPr>
          <w:p>
            <w:r/>
            <w:r>
              <w:rPr>
                <w:sz w:val="20"/>
              </w:rPr>
              <w:t>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Vorlagen: dieselbe Datei immer wieder</w:t>
      </w:r>
    </w:p>
    <w:p>
      <w:r>
        <w:rPr>
          <w:b w:val="0"/>
          <w:i w:val="0"/>
        </w:rPr>
        <w:t>Kapitel 12 zeigt, wie aus einer Antwort eine Datei wird. Eine Vorlage ist der umgekehrte Weg: der Text steht schon fest, und gefuellt werden nur die Stellen, die sich von Fall zu Fall aendern. Ein Mandantenbrief ist jeden Monat derselbe Brief - nur mit anderem Empfaenger, anderem Betreff und anderem Datum.</w:t>
      </w:r>
    </w:p>
    <w:p>
      <w:r>
        <w:rPr>
          <w:b w:val="0"/>
          <w:i w:val="0"/>
        </w:rPr>
        <w:t>Sechs Vorlagen sind mitgeliefert und ab dem ersten Start da:</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Vorlage</w:t>
            </w:r>
          </w:p>
        </w:tc>
        <w:tc>
          <w:tcPr>
            <w:tcW w:type="dxa" w:w="5669"/>
          </w:tcPr>
          <w:p>
            <w:r/>
            <w:r>
              <w:rPr>
                <w:b/>
              </w:rPr>
              <w:t>Wofuer</w:t>
            </w:r>
          </w:p>
        </w:tc>
      </w:tr>
      <w:tr>
        <w:tc>
          <w:tcPr>
            <w:tcW w:type="dxa" w:w="2835"/>
          </w:tcPr>
          <w:p>
            <w:r/>
            <w:r>
              <w:rPr>
                <w:sz w:val="20"/>
              </w:rPr>
              <w:t>Mandantenbrief</w:t>
            </w:r>
          </w:p>
        </w:tc>
        <w:tc>
          <w:tcPr>
            <w:tcW w:type="dxa" w:w="5669"/>
          </w:tcPr>
          <w:p>
            <w:r/>
            <w:r>
              <w:rPr>
                <w:sz w:val="20"/>
              </w:rPr>
              <w:t>Anschreiben mit Anlagenverzeichnis</w:t>
            </w:r>
          </w:p>
        </w:tc>
      </w:tr>
      <w:tr>
        <w:tc>
          <w:tcPr>
            <w:tcW w:type="dxa" w:w="2835"/>
          </w:tcPr>
          <w:p>
            <w:r/>
            <w:r>
              <w:rPr>
                <w:sz w:val="20"/>
              </w:rPr>
              <w:t>Belege nachfordern</w:t>
            </w:r>
          </w:p>
        </w:tc>
        <w:tc>
          <w:tcPr>
            <w:tcW w:type="dxa" w:w="5669"/>
          </w:tcPr>
          <w:p>
            <w:r/>
            <w:r>
              <w:rPr>
                <w:sz w:val="20"/>
              </w:rPr>
              <w:t>Fehlende Belege eines Zeitraums anfordern</w:t>
            </w:r>
          </w:p>
        </w:tc>
      </w:tr>
      <w:tr>
        <w:tc>
          <w:tcPr>
            <w:tcW w:type="dxa" w:w="2835"/>
          </w:tcPr>
          <w:p>
            <w:r/>
            <w:r>
              <w:rPr>
                <w:sz w:val="20"/>
              </w:rPr>
              <w:t>Monatsabschluss - Checkliste</w:t>
            </w:r>
          </w:p>
        </w:tc>
        <w:tc>
          <w:tcPr>
            <w:tcW w:type="dxa" w:w="5669"/>
          </w:tcPr>
          <w:p>
            <w:r/>
            <w:r>
              <w:rPr>
                <w:sz w:val="20"/>
              </w:rPr>
              <w:t>Punkte vor dem Abschluss eines Monats</w:t>
            </w:r>
          </w:p>
        </w:tc>
      </w:tr>
      <w:tr>
        <w:tc>
          <w:tcPr>
            <w:tcW w:type="dxa" w:w="2835"/>
          </w:tcPr>
          <w:p>
            <w:r/>
            <w:r>
              <w:rPr>
                <w:sz w:val="20"/>
              </w:rPr>
              <w:t>Anlagenverzeichnis (AfA)</w:t>
            </w:r>
          </w:p>
        </w:tc>
        <w:tc>
          <w:tcPr>
            <w:tcW w:type="dxa" w:w="5669"/>
          </w:tcPr>
          <w:p>
            <w:r/>
            <w:r>
              <w:rPr>
                <w:sz w:val="20"/>
              </w:rPr>
              <w:t>Anlagegueter mit Abschreibung und Buchwert</w:t>
            </w:r>
          </w:p>
        </w:tc>
      </w:tr>
      <w:tr>
        <w:tc>
          <w:tcPr>
            <w:tcW w:type="dxa" w:w="2835"/>
          </w:tcPr>
          <w:p>
            <w:r/>
            <w:r>
              <w:rPr>
                <w:sz w:val="20"/>
              </w:rPr>
              <w:t>Umsatzsteuer-Voranmeldung</w:t>
            </w:r>
          </w:p>
        </w:tc>
        <w:tc>
          <w:tcPr>
            <w:tcW w:type="dxa" w:w="5669"/>
          </w:tcPr>
          <w:p>
            <w:r/>
            <w:r>
              <w:rPr>
                <w:sz w:val="20"/>
              </w:rPr>
              <w:t>Abgabevermerk fuer einen Zeitraum</w:t>
            </w:r>
          </w:p>
        </w:tc>
      </w:tr>
      <w:tr>
        <w:tc>
          <w:tcPr>
            <w:tcW w:type="dxa" w:w="2835"/>
          </w:tcPr>
          <w:p>
            <w:r/>
            <w:r>
              <w:rPr>
                <w:sz w:val="20"/>
              </w:rPr>
              <w:t>Aktennotiz</w:t>
            </w:r>
          </w:p>
        </w:tc>
        <w:tc>
          <w:tcPr>
            <w:tcW w:type="dxa" w:w="5669"/>
          </w:tcPr>
          <w:p>
            <w:r/>
            <w:r>
              <w:rPr>
                <w:sz w:val="20"/>
              </w:rPr>
              <w:t>Kurze Notiz zu Vorgang, Gespraech oder Entscheidung</w:t>
            </w:r>
          </w:p>
        </w:tc>
      </w:tr>
    </w:tbl>
    <w:p/>
    <w:p>
      <w:pPr>
        <w:jc w:val="center"/>
      </w:pPr>
      <w:r>
        <w:drawing>
          <wp:inline xmlns:a="http://schemas.openxmlformats.org/drawingml/2006/main" xmlns:pic="http://schemas.openxmlformats.org/drawingml/2006/picture">
            <wp:extent cx="5580000" cy="3496800"/>
            <wp:docPr id="12" name="Picture 12"/>
            <wp:cNvGraphicFramePr>
              <a:graphicFrameLocks noChangeAspect="1"/>
            </wp:cNvGraphicFramePr>
            <a:graphic>
              <a:graphicData uri="http://schemas.openxmlformats.org/drawingml/2006/picture">
                <pic:pic>
                  <pic:nvPicPr>
                    <pic:cNvPr id="0" name="06_Vorlagen.png"/>
                    <pic:cNvPicPr/>
                  </pic:nvPicPr>
                  <pic:blipFill>
                    <a:blip r:embed="rId15"/>
                    <a:stretch>
                      <a:fillRect/>
                    </a:stretch>
                  </pic:blipFill>
                  <pic:spPr>
                    <a:xfrm>
                      <a:off x="0" y="0"/>
                      <a:ext cx="5580000" cy="3496800"/>
                    </a:xfrm>
                    <a:prstGeom prst="rect"/>
                  </pic:spPr>
                </pic:pic>
              </a:graphicData>
            </a:graphic>
          </wp:inline>
        </w:drawing>
      </w:r>
    </w:p>
    <w:p>
      <w:pPr>
        <w:jc w:val="center"/>
      </w:pPr>
      <w:r>
        <w:rPr>
          <w:i/>
          <w:color w:val="555555"/>
          <w:sz w:val="18"/>
        </w:rPr>
        <w:t>Links die Liste, rechts die gewaehlte Vorlage mit ihren offenen Stellen und der Vorschau.</w:t>
      </w:r>
    </w:p>
    <w:p>
      <w:pPr>
        <w:pStyle w:val="Heading2"/>
      </w:pPr>
      <w:r>
        <w:t>So erzeugen Sie eine Datei aus einer Vorlage</w:t>
      </w:r>
    </w:p>
    <w:p>
      <w:pPr>
        <w:pStyle w:val="ListNumber"/>
      </w:pPr>
      <w:r>
        <w:t>Links im Bereich Vorlagen eine Zeile anklicken.</w:t>
      </w:r>
    </w:p>
    <w:p>
      <w:pPr>
        <w:pStyle w:val="ListNumber"/>
      </w:pPr>
      <w:r>
        <w:t>Rechts erscheinen die Angaben, die noch fehlen. Alles, was in Ihrem Unternehmenswissen steht, ist bereits eingesetzt und wird gar nicht erst gefragt.</w:t>
      </w:r>
    </w:p>
    <w:p>
      <w:pPr>
        <w:pStyle w:val="ListNumber"/>
      </w:pPr>
      <w:r>
        <w:t>Die Felder ausfuellen - so viele, wie Sie mochten.</w:t>
      </w:r>
    </w:p>
    <w:p>
      <w:pPr>
        <w:pStyle w:val="ListNumber"/>
      </w:pPr>
      <w:r>
        <w:t>Vorschau anklicken und lesen, was herauskommt.</w:t>
      </w:r>
    </w:p>
    <w:p>
      <w:pPr>
        <w:pStyle w:val="ListNumber"/>
      </w:pPr>
      <w:r>
        <w:t>Format waehlen und auf Datei erzeugen klicken. Die Datei landet unter Arbeitsergebnisse.</w:t>
      </w:r>
    </w:p>
    <w:tbl>
      <w:tblPr>
        <w:tblStyle w:val="TableGrid"/>
        <w:tblW w:type="auto" w:w="0"/>
        <w:tblLook w:firstColumn="1" w:firstRow="1" w:lastColumn="0" w:lastRow="0" w:noHBand="0" w:noVBand="1" w:val="04A0"/>
      </w:tblPr>
      <w:tblGrid>
        <w:gridCol w:w="9518"/>
      </w:tblGrid>
      <w:tr>
        <w:tc>
          <w:tcPr>
            <w:tcW w:type="dxa" w:w="9518"/>
          </w:tcPr>
          <w:p>
            <w:r>
              <w:rPr>
                <w:b/>
                <w:color w:val="1F4E79"/>
              </w:rPr>
              <w:t>Was fehlt, bleibt stehen</w:t>
            </w:r>
          </w:p>
          <w:p>
            <w:r>
              <w:t>Ein Platzhalter ohne Wert wird nicht weggelassen. Er steht sichtbar in der fertigen Datei - als {{betreff}} - und die Anwendung sagt Ihnen, welche es waren.</w:t>
              <w:br/>
              <w:br/>
              <w:t>Der Grund: ein Brief mit "Sehr geehrte Damen und Herren der {{firma.name}}," faellt beim Durchlesen auf. Einer, in dem der Name stillschweigend fehlt, geht raus.</w:t>
            </w:r>
          </w:p>
        </w:tc>
      </w:tr>
    </w:tbl>
    <w:p/>
    <w:p>
      <w:r>
        <w:rPr>
          <w:b w:val="0"/>
          <w:i w:val="0"/>
        </w:rPr>
        <w:t>Deshalb koennen Sie eine Datei auch dann erzeugen, wenn noch nicht alles ausgefuellt ist. Ein Entwurf, in dem drei Stellen von Hand zu ergaenzen sind, ist ein brauchbares Arbeitsergebnis.</w:t>
      </w:r>
    </w:p>
    <w:p>
      <w:pPr>
        <w:pStyle w:val="Heading2"/>
      </w:pPr>
      <w:r>
        <w:t>Woher die Werte kommen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Quelle</w:t>
            </w:r>
          </w:p>
        </w:tc>
        <w:tc>
          <w:tcPr>
            <w:tcW w:type="dxa" w:w="4535"/>
          </w:tcPr>
          <w:p>
            <w:r/>
            <w:r>
              <w:rPr>
                <w:b/>
              </w:rPr>
              <w:t>Was von dort kommt</w:t>
            </w:r>
          </w:p>
        </w:tc>
        <w:tc>
          <w:tcPr>
            <w:tcW w:type="dxa" w:w="2608"/>
          </w:tcPr>
          <w:p>
            <w:r/>
            <w:r>
              <w:rPr>
                <w:b/>
              </w:rPr>
              <w:t>Rang</w:t>
            </w:r>
          </w:p>
        </w:tc>
      </w:tr>
      <w:tr>
        <w:tc>
          <w:tcPr>
            <w:tcW w:type="dxa" w:w="1928"/>
          </w:tcPr>
          <w:p>
            <w:r/>
            <w:r>
              <w:rPr>
                <w:sz w:val="20"/>
              </w:rPr>
              <w:t>Ihre Eingabe</w:t>
            </w:r>
          </w:p>
        </w:tc>
        <w:tc>
          <w:tcPr>
            <w:tcW w:type="dxa" w:w="4535"/>
          </w:tcPr>
          <w:p>
            <w:r/>
            <w:r>
              <w:rPr>
                <w:sz w:val="20"/>
              </w:rPr>
              <w:t>Alles, was Sie rechts eintragen</w:t>
            </w:r>
          </w:p>
        </w:tc>
        <w:tc>
          <w:tcPr>
            <w:tcW w:type="dxa" w:w="2608"/>
          </w:tcPr>
          <w:p>
            <w:r/>
            <w:r>
              <w:rPr>
                <w:sz w:val="20"/>
              </w:rPr>
              <w:t>hat Vorrang</w:t>
            </w:r>
          </w:p>
        </w:tc>
      </w:tr>
      <w:tr>
        <w:tc>
          <w:tcPr>
            <w:tcW w:type="dxa" w:w="1928"/>
          </w:tcPr>
          <w:p>
            <w:r/>
            <w:r>
              <w:rPr>
                <w:sz w:val="20"/>
              </w:rPr>
              <w:t>Unternehmenswissen</w:t>
            </w:r>
          </w:p>
        </w:tc>
        <w:tc>
          <w:tcPr>
            <w:tcW w:type="dxa" w:w="4535"/>
          </w:tcPr>
          <w:p>
            <w:r/>
            <w:r>
              <w:rPr>
                <w:sz w:val="20"/>
              </w:rPr>
              <w:t>Firmenname, Steuernummer, Kontenrahmen und alles Weitere, was Sie dort gepflegt haben</w:t>
            </w:r>
          </w:p>
        </w:tc>
        <w:tc>
          <w:tcPr>
            <w:tcW w:type="dxa" w:w="2608"/>
          </w:tcPr>
          <w:p>
            <w:r/>
            <w:r>
              <w:rPr>
                <w:sz w:val="20"/>
              </w:rPr>
              <w:t>wird genommen, wenn Sie nichts eintragen</w:t>
            </w:r>
          </w:p>
        </w:tc>
      </w:tr>
      <w:tr>
        <w:tc>
          <w:tcPr>
            <w:tcW w:type="dxa" w:w="1928"/>
          </w:tcPr>
          <w:p>
            <w:r/>
            <w:r>
              <w:rPr>
                <w:sz w:val="20"/>
              </w:rPr>
              <w:t>Das Datum</w:t>
            </w:r>
          </w:p>
        </w:tc>
        <w:tc>
          <w:tcPr>
            <w:tcW w:type="dxa" w:w="4535"/>
          </w:tcPr>
          <w:p>
            <w:r/>
            <w:r>
              <w:rPr>
                <w:sz w:val="20"/>
              </w:rPr>
              <w:t>datum, jahr, monat</w:t>
            </w:r>
          </w:p>
        </w:tc>
        <w:tc>
          <w:tcPr>
            <w:tcW w:type="dxa" w:w="2608"/>
          </w:tcPr>
          <w:p>
            <w:r/>
            <w:r>
              <w:rPr>
                <w:sz w:val="20"/>
              </w:rPr>
              <w:t>kommt von selbst</w:t>
            </w:r>
          </w:p>
        </w:tc>
      </w:tr>
    </w:tbl>
    <w:p/>
    <w:p>
      <w:r>
        <w:rPr>
          <w:b w:val="0"/>
          <w:i w:val="0"/>
        </w:rPr>
        <w:t>Je mehr unter Unternehmenswissen steht, desto weniger fragt eine Vorlage. Wer seinen Firmennamen dort hinterlegt, tippt ihn nicht bei jedem Brief erneut.</w:t>
      </w:r>
    </w:p>
    <w:p>
      <w:pPr>
        <w:pStyle w:val="Heading2"/>
      </w:pPr>
      <w:r>
        <w:t>Eigene Vorlagen aufnehmen</w:t>
      </w:r>
    </w:p>
    <w:p>
      <w:r>
        <w:rPr>
          <w:b w:val="0"/>
          <w:i w:val="0"/>
        </w:rPr>
        <w:t>Eine Vorlage ist eine schlichte Textdatei (.md oder .txt). Die Stellen zum Fuellen stehen in doppelten geschweiften Klammern:</w:t>
      </w:r>
    </w:p>
    <w:p>
      <w:r>
        <w:rPr>
          <w:b w:val="0"/>
          <w:i w:val="0"/>
        </w:rPr>
        <w:t>Sehr geehrte Damen und Herren der {{mandant.name}},</w:t>
      </w:r>
    </w:p>
    <w:p>
      <w:pPr>
        <w:pStyle w:val="ListNumber"/>
      </w:pPr>
      <w:r>
        <w:t>Text in eine .txt- oder .md-Datei schreiben, Platzhalter setzen.</w:t>
      </w:r>
    </w:p>
    <w:p>
      <w:pPr>
        <w:pStyle w:val="ListNumber"/>
      </w:pPr>
      <w:r>
        <w:t>Im Bereich Vorlagen auf Eigene Vorlage aufnehmen klicken.</w:t>
      </w:r>
    </w:p>
    <w:p>
      <w:pPr>
        <w:pStyle w:val="ListNumber"/>
      </w:pPr>
      <w:r>
        <w:t>Die Datei auswaehlen. PORTIVA meldet, wieviele Platzhalter es gefunden hat.</w:t>
      </w:r>
    </w:p>
    <w:p>
      <w:r>
        <w:rPr>
          <w:b w:val="0"/>
          <w:i w:val="0"/>
        </w:rPr>
        <w:t>Word-Dateien gehen hier bewusst nicht. Den Text koennte die Anwendung herausloesen, die Formatierung nicht - und eine Vorlage, die ihr Aussehen verliert, ist als Vorlage wertlos. Besser ein klarer Satz als ein enttaeuschendes Ergebnis.</w:t>
      </w:r>
    </w:p>
    <w:tbl>
      <w:tblPr>
        <w:tblStyle w:val="TableGrid"/>
        <w:tblW w:type="auto" w:w="0"/>
        <w:tblLook w:firstColumn="1" w:firstRow="1" w:lastColumn="0" w:lastRow="0" w:noHBand="0" w:noVBand="1" w:val="04A0"/>
      </w:tblPr>
      <w:tblGrid>
        <w:gridCol w:w="9518"/>
      </w:tblGrid>
      <w:tr>
        <w:tc>
          <w:tcPr>
            <w:tcW w:type="dxa" w:w="9518"/>
          </w:tcPr>
          <w:p>
            <w:r>
              <w:rPr>
                <w:b/>
                <w:color w:val="1F4E79"/>
              </w:rPr>
              <w:t>Ihre Vorlagen gehoeren Ihnen</w:t>
            </w:r>
          </w:p>
          <w:p>
            <w:r>
              <w:t>Sie liegen als lesbare Textdateien unter workspace\vorlagen auf dem Datentraeger - im Bereich Ihres Unternehmens, nicht im Programmordner. Arbeiten mehrere Unternehmen auf demselben Datentraeger, hat jedes seine eigenen.</w:t>
              <w:br/>
              <w:br/>
              <w:t>Aendern Sie eine mitgelieferte Vorlage, bleibt Ihre Fassung erhalten - auch wenn eine neuere Programmfassung eine andere mitbringt.</w:t>
            </w:r>
          </w:p>
        </w:tc>
      </w:tr>
    </w:tbl>
    <w:p/>
    <w:p>
      <w:r>
        <w:rPr>
          <w:b w:val="0"/>
          <w:i w:val="0"/>
        </w:rPr>
        <w:t>Jede aus einer Vorlage erzeugte Datei traegt unten den Hinweis, dass sie fachliche Zuarbeit ist und vor der Verwendung durch einen Menschen zu pruefen ist. Sie sieht aus wie ein fertiges Dokument - sie ist keines.</w:t>
      </w:r>
    </w:p>
    <w:p>
      <w:pPr>
        <w:pStyle w:val="Heading1"/>
      </w:pPr>
      <w:r>
        <w:t>14.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15.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16.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17.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18.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19.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20.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