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07.09.2026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sechs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16).</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Die folgenden Antworten kommen deutlich schneller.</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sechs Registerkarten</w:t>
      </w:r>
    </w:p>
    <w:p>
      <w:r>
        <w:rPr>
          <w:b w:val="0"/>
          <w:i w:val="0"/>
        </w:rPr>
        <w:t>Nach dem Start sehen Sie oben eine Zeile mit sechs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Sprachmodell</w:t>
            </w:r>
          </w:p>
        </w:tc>
        <w:tc>
          <w:tcPr>
            <w:tcW w:type="dxa" w:w="3061"/>
          </w:tcPr>
          <w:p>
            <w:r/>
            <w:r>
              <w:rPr>
                <w:sz w:val="20"/>
              </w:rPr>
              <w:t>Das Modell einmalig einrichten und ausprobieren</w:t>
            </w:r>
          </w:p>
        </w:tc>
        <w:tc>
          <w:tcPr>
            <w:tcW w:type="dxa" w:w="3969"/>
          </w:tcPr>
          <w:p>
            <w:r/>
            <w:r>
              <w:rPr>
                <w:sz w:val="20"/>
              </w:rPr>
              <w:t>Auswahlliste mit dem Modell; sonst nur Schaltflaechen</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