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08.09.2026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_Begruessungsbild.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555555"/>
          <w:sz w:val="18"/>
        </w:rPr>
        <w:t>So begruesst Sie PORTIVA: drei Sekunden, dann geht die Startseite auf.</w:t>
      </w:r>
    </w:p>
    <w:p>
      <w:r>
        <w:rPr>
          <w:b w:val="0"/>
          <w:i w:val="0"/>
        </w:rPr>
        <w:t>Danach sehen Sie links eine dauerhafte Navigation mit zehn Bereichen. Der Bereich, in dem Sie gerade sind, ist hervorgehoben. Ueber "Leiste einklappen" wird die Navigation schmal - die Bereiche bleiben dabei anklickbar.</w:t>
      </w:r>
    </w:p>
    <w:p>
      <w:pPr>
        <w:jc w:val="center"/>
      </w:pPr>
      <w:r>
        <w:drawing>
          <wp:inline xmlns:a="http://schemas.openxmlformats.org/drawingml/2006/main" xmlns:pic="http://schemas.openxmlformats.org/drawingml/2006/picture">
            <wp:extent cx="5580000" cy="3496800"/>
            <wp:docPr id="2" name="Picture 2"/>
            <wp:cNvGraphicFramePr>
              <a:graphicFrameLocks noChangeAspect="1"/>
            </wp:cNvGraphicFramePr>
            <a:graphic>
              <a:graphicData uri="http://schemas.openxmlformats.org/drawingml/2006/picture">
                <pic:pic>
                  <pic:nvPicPr>
                    <pic:cNvPr id="0" name="01_Unterhaltung.png"/>
                    <pic:cNvPicPr/>
                  </pic:nvPicPr>
                  <pic:blipFill>
                    <a:blip r:embed="rId10"/>
                    <a:stretch>
                      <a:fillRect/>
                    </a:stretch>
                  </pic:blipFill>
                  <pic:spPr>
                    <a:xfrm>
                      <a:off x="0" y="0"/>
                      <a:ext cx="5580000" cy="3496800"/>
                    </a:xfrm>
                    <a:prstGeom prst="rect"/>
                  </pic:spPr>
                </pic:pic>
              </a:graphicData>
            </a:graphic>
          </wp:inline>
        </w:drawing>
      </w:r>
    </w:p>
    <w:p>
      <w:pPr>
        <w:jc w:val="center"/>
      </w:pPr>
      <w:r>
        <w:rPr>
          <w:i/>
          <w:color w:val="555555"/>
          <w:sz w:val="18"/>
        </w:rPr>
        <w:t>Der Bereich Unterhaltung. Links die Navigation, in der Mitte das Gespraech, rechts die Quellen der letzten Antwort.</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Word-, Excel- und PDF-Vorlagen</w:t>
            </w:r>
          </w:p>
        </w:tc>
        <w:tc>
          <w:tcPr>
            <w:tcW w:type="dxa" w:w="4082"/>
          </w:tcPr>
          <w:p>
            <w:r/>
            <w:r>
              <w:rPr>
                <w:sz w:val="20"/>
              </w:rPr>
              <w:t>Noch nicht verfuegbar - der Bereich sagt das auch</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Noch nicht verfuegbar - der Bereich sagt das auch</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Zwei der zehn Bereiche gibt es noch nicht: Vorlagen und Aufgaben. Sie stehen trotzdem in der Liste und erklaeren, was sie koennen werden und was heute stattdessen hilft. Ein Knopf, der nichts tut, steht dort nicht - das waere schlimmer als ein fehlender Bereich.</w:t>
      </w:r>
    </w:p>
    <w:p>
      <w:r>
        <w:rPr>
          <w:b w:val="0"/>
          <w:i w:val="0"/>
        </w:rPr>
        <w:t>Oben rechts stehen drei Angaben, die Sie im Blick behalten sollten:</w:t>
      </w:r>
    </w:p>
    <w:p>
      <w:pPr>
        <w:pStyle w:val="ListBullet"/>
      </w:pPr>
      <w:r>
        <w:t>Wissensstand - das Datum, auf dem die gespeicherten Fachquellen stehen.</w:t>
      </w:r>
    </w:p>
    <w:p>
      <w:pPr>
        <w:pStyle w:val="ListBullet"/>
      </w:pPr>
      <w:r>
        <w:t>Internet - ob eine Verbindung besteht. Das ist etwas anderes als der Betriebsmodus: "OFFLINE gewaehlt, Internet verfuegbar" ist ein gueltiger Zustand.</w:t>
      </w:r>
    </w:p>
    <w:p>
      <w:pPr>
        <w:pStyle w:val="ListBullet"/>
      </w:pPr>
      <w:r>
        <w:t>Ganz rechts das Auswahlfeld fuer den Betriebsmodus - OFFLINE, HYBRID oder ONLINE. Es zeigt den aktuellen Modus und stellt ihn zugleich um. Eine zusaetzliche Anzeige daneben gibt es bewusst nicht: zweimal dasselbe Wort macht es nicht deutlicher, nur enger.</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Die zehn Bereiche im Bild</w:t>
      </w:r>
    </w:p>
    <w:p>
      <w:r>
        <w:rPr>
          <w:b w:val="0"/>
          <w:i w:val="0"/>
        </w:rPr>
        <w:t>Damit Sie sich schneller zurechtfinden, hier jeder Bereich so, wie er auf dem Bildschirm aussieht. Die Bilder sind aus dem laufenden Programm aufgenommen, nicht gezeichnet - was Sie hier sehen, sehen Sie auch dort. Die Beispieldaten darin sind als Beispiel gekennzeichnet.</w:t>
      </w:r>
    </w:p>
    <w:p>
      <w:pPr>
        <w:jc w:val="center"/>
      </w:pPr>
      <w:r>
        <w:drawing>
          <wp:inline xmlns:a="http://schemas.openxmlformats.org/drawingml/2006/main" xmlns:pic="http://schemas.openxmlformats.org/drawingml/2006/picture">
            <wp:extent cx="5580000" cy="3496800"/>
            <wp:docPr id="3" name="Picture 3"/>
            <wp:cNvGraphicFramePr>
              <a:graphicFrameLocks noChangeAspect="1"/>
            </wp:cNvGraphicFramePr>
            <a:graphic>
              <a:graphicData uri="http://schemas.openxmlformats.org/drawingml/2006/picture">
                <pic:pic>
                  <pic:nvPicPr>
                    <pic:cNvPr id="0" name="02_Unternehmenswissen.png"/>
                    <pic:cNvPicPr/>
                  </pic:nvPicPr>
                  <pic:blipFill>
                    <a:blip r:embed="rId11"/>
                    <a:stretch>
                      <a:fillRect/>
                    </a:stretch>
                  </pic:blipFill>
                  <pic:spPr>
                    <a:xfrm>
                      <a:off x="0" y="0"/>
                      <a:ext cx="5580000" cy="3496800"/>
                    </a:xfrm>
                    <a:prstGeom prst="rect"/>
                  </pic:spPr>
                </pic:pic>
              </a:graphicData>
            </a:graphic>
          </wp:inline>
        </w:drawing>
      </w:r>
    </w:p>
    <w:p>
      <w:pPr>
        <w:jc w:val="center"/>
      </w:pPr>
      <w:r>
        <w:rPr>
          <w:i/>
          <w:color w:val="555555"/>
          <w:sz w:val="18"/>
        </w:rPr>
        <w:t>Unternehmenswissen: sechs Kacheln als Filter, darunter die Eintraege.</w:t>
      </w:r>
    </w:p>
    <w:p>
      <w:pPr>
        <w:jc w:val="center"/>
      </w:pPr>
      <w:r>
        <w:drawing>
          <wp:inline xmlns:a="http://schemas.openxmlformats.org/drawingml/2006/main" xmlns:pic="http://schemas.openxmlformats.org/drawingml/2006/picture">
            <wp:extent cx="5580000" cy="3496800"/>
            <wp:docPr id="4" name="Picture 4"/>
            <wp:cNvGraphicFramePr>
              <a:graphicFrameLocks noChangeAspect="1"/>
            </wp:cNvGraphicFramePr>
            <a:graphic>
              <a:graphicData uri="http://schemas.openxmlformats.org/drawingml/2006/picture">
                <pic:pic>
                  <pic:nvPicPr>
                    <pic:cNvPr id="0" name="03_Belege_und_Dokumente.png"/>
                    <pic:cNvPicPr/>
                  </pic:nvPicPr>
                  <pic:blipFill>
                    <a:blip r:embed="rId12"/>
                    <a:stretch>
                      <a:fillRect/>
                    </a:stretch>
                  </pic:blipFill>
                  <pic:spPr>
                    <a:xfrm>
                      <a:off x="0" y="0"/>
                      <a:ext cx="5580000" cy="3496800"/>
                    </a:xfrm>
                    <a:prstGeom prst="rect"/>
                  </pic:spPr>
                </pic:pic>
              </a:graphicData>
            </a:graphic>
          </wp:inline>
        </w:drawing>
      </w:r>
    </w:p>
    <w:p>
      <w:pPr>
        <w:jc w:val="center"/>
      </w:pPr>
      <w:r>
        <w:rPr>
          <w:i/>
          <w:color w:val="555555"/>
          <w:sz w:val="18"/>
        </w:rPr>
        <w:t>Belege &amp; Dokumente: oben die Aktionen, darunter der Weg vom Beleg zum Ergebnis.</w:t>
      </w:r>
    </w:p>
    <w:p>
      <w:pPr>
        <w:jc w:val="center"/>
      </w:pPr>
      <w:r>
        <w:drawing>
          <wp:inline xmlns:a="http://schemas.openxmlformats.org/drawingml/2006/main" xmlns:pic="http://schemas.openxmlformats.org/drawingml/2006/picture">
            <wp:extent cx="5580000" cy="3496800"/>
            <wp:docPr id="5" name="Picture 5"/>
            <wp:cNvGraphicFramePr>
              <a:graphicFrameLocks noChangeAspect="1"/>
            </wp:cNvGraphicFramePr>
            <a:graphic>
              <a:graphicData uri="http://schemas.openxmlformats.org/drawingml/2006/picture">
                <pic:pic>
                  <pic:nvPicPr>
                    <pic:cNvPr id="0" name="04_Arbeitsergebnisse.png"/>
                    <pic:cNvPicPr/>
                  </pic:nvPicPr>
                  <pic:blipFill>
                    <a:blip r:embed="rId13"/>
                    <a:stretch>
                      <a:fillRect/>
                    </a:stretch>
                  </pic:blipFill>
                  <pic:spPr>
                    <a:xfrm>
                      <a:off x="0" y="0"/>
                      <a:ext cx="5580000" cy="3496800"/>
                    </a:xfrm>
                    <a:prstGeom prst="rect"/>
                  </pic:spPr>
                </pic:pic>
              </a:graphicData>
            </a:graphic>
          </wp:inline>
        </w:drawing>
      </w:r>
    </w:p>
    <w:p>
      <w:pPr>
        <w:jc w:val="center"/>
      </w:pPr>
      <w:r>
        <w:rPr>
          <w:i/>
          <w:color w:val="555555"/>
          <w:sz w:val="18"/>
        </w:rPr>
        <w:t>Arbeitsergebnisse: jede erzeugte Datei mit Format, Fassung und Ablageort.</w:t>
      </w:r>
    </w:p>
    <w:p>
      <w:pPr>
        <w:jc w:val="center"/>
      </w:pPr>
      <w:r>
        <w:drawing>
          <wp:inline xmlns:a="http://schemas.openxmlformats.org/drawingml/2006/main" xmlns:pic="http://schemas.openxmlformats.org/drawingml/2006/picture">
            <wp:extent cx="5580000" cy="3496800"/>
            <wp:docPr id="6" name="Picture 6"/>
            <wp:cNvGraphicFramePr>
              <a:graphicFrameLocks noChangeAspect="1"/>
            </wp:cNvGraphicFramePr>
            <a:graphic>
              <a:graphicData uri="http://schemas.openxmlformats.org/drawingml/2006/picture">
                <pic:pic>
                  <pic:nvPicPr>
                    <pic:cNvPr id="0" name="05_Wissen_und_Quellen.png"/>
                    <pic:cNvPicPr/>
                  </pic:nvPicPr>
                  <pic:blipFill>
                    <a:blip r:embed="rId14"/>
                    <a:stretch>
                      <a:fillRect/>
                    </a:stretch>
                  </pic:blipFill>
                  <pic:spPr>
                    <a:xfrm>
                      <a:off x="0" y="0"/>
                      <a:ext cx="5580000" cy="3496800"/>
                    </a:xfrm>
                    <a:prstGeom prst="rect"/>
                  </pic:spPr>
                </pic:pic>
              </a:graphicData>
            </a:graphic>
          </wp:inline>
        </w:drawing>
      </w:r>
    </w:p>
    <w:p>
      <w:pPr>
        <w:jc w:val="center"/>
      </w:pPr>
      <w:r>
        <w:rPr>
          <w:i/>
          <w:color w:val="555555"/>
          <w:sz w:val="18"/>
        </w:rPr>
        <w:t>Wissen &amp; Quellen: Wissensstand, Update-Pipeline und das Quellenregister.</w:t>
      </w:r>
    </w:p>
    <w:p>
      <w:pPr>
        <w:jc w:val="center"/>
      </w:pPr>
      <w:r>
        <w:drawing>
          <wp:inline xmlns:a="http://schemas.openxmlformats.org/drawingml/2006/main" xmlns:pic="http://schemas.openxmlformats.org/drawingml/2006/picture">
            <wp:extent cx="5580000" cy="3496800"/>
            <wp:docPr id="7" name="Picture 7"/>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Vorlagen: der Bereich sagt offen, dass es ihn noch nicht gibt - und was heute stattdessen hilft.</w:t>
      </w:r>
    </w:p>
    <w:p>
      <w:pPr>
        <w:jc w:val="center"/>
      </w:pPr>
      <w:r>
        <w:drawing>
          <wp:inline xmlns:a="http://schemas.openxmlformats.org/drawingml/2006/main" xmlns:pic="http://schemas.openxmlformats.org/drawingml/2006/picture">
            <wp:extent cx="5580000" cy="3496800"/>
            <wp:docPr id="8" name="Picture 8"/>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Aufgaben &amp; Automationen: ebenfalls noch nicht verfuegbar, mit Verweis auf den Zeitplan unter Wissen &amp; Quellen.</w:t>
      </w:r>
    </w:p>
    <w:p>
      <w:pPr>
        <w:jc w:val="center"/>
      </w:pPr>
      <w:r>
        <w:drawing>
          <wp:inline xmlns:a="http://schemas.openxmlformats.org/drawingml/2006/main" xmlns:pic="http://schemas.openxmlformats.org/drawingml/2006/picture">
            <wp:extent cx="5580000" cy="3496800"/>
            <wp:docPr id="9" name="Picture 9"/>
            <wp:cNvGraphicFramePr>
              <a:graphicFrameLocks noChangeAspect="1"/>
            </wp:cNvGraphicFramePr>
            <a:graphic>
              <a:graphicData uri="http://schemas.openxmlformats.org/drawingml/2006/picture">
                <pic:pic>
                  <pic:nvPicPr>
                    <pic:cNvPr id="0" name="08_Plugins.png"/>
                    <pic:cNvPicPr/>
                  </pic:nvPicPr>
                  <pic:blipFill>
                    <a:blip r:embed="rId17"/>
                    <a:stretch>
                      <a:fillRect/>
                    </a:stretch>
                  </pic:blipFill>
                  <pic:spPr>
                    <a:xfrm>
                      <a:off x="0" y="0"/>
                      <a:ext cx="5580000" cy="3496800"/>
                    </a:xfrm>
                    <a:prstGeom prst="rect"/>
                  </pic:spPr>
                </pic:pic>
              </a:graphicData>
            </a:graphic>
          </wp:inline>
        </w:drawing>
      </w:r>
    </w:p>
    <w:p>
      <w:pPr>
        <w:jc w:val="center"/>
      </w:pPr>
      <w:r>
        <w:rPr>
          <w:i/>
          <w:color w:val="555555"/>
          <w:sz w:val="18"/>
        </w:rPr>
        <w:t>Plugins &amp; Erweiterungen: installieren, aktivieren, Berechtigungen pruefen.</w:t>
      </w:r>
    </w:p>
    <w:p>
      <w:pPr>
        <w:jc w:val="center"/>
      </w:pPr>
      <w:r>
        <w:drawing>
          <wp:inline xmlns:a="http://schemas.openxmlformats.org/drawingml/2006/main" xmlns:pic="http://schemas.openxmlformats.org/drawingml/2006/picture">
            <wp:extent cx="5580000" cy="3496800"/>
            <wp:docPr id="10" name="Picture 10"/>
            <wp:cNvGraphicFramePr>
              <a:graphicFrameLocks noChangeAspect="1"/>
            </wp:cNvGraphicFramePr>
            <a:graphic>
              <a:graphicData uri="http://schemas.openxmlformats.org/drawingml/2006/picture">
                <pic:pic>
                  <pic:nvPicPr>
                    <pic:cNvPr id="0" name="09_Verbundene_Dienste.png"/>
                    <pic:cNvPicPr/>
                  </pic:nvPicPr>
                  <pic:blipFill>
                    <a:blip r:embed="rId18"/>
                    <a:stretch>
                      <a:fillRect/>
                    </a:stretch>
                  </pic:blipFill>
                  <pic:spPr>
                    <a:xfrm>
                      <a:off x="0" y="0"/>
                      <a:ext cx="5580000" cy="3496800"/>
                    </a:xfrm>
                    <a:prstGeom prst="rect"/>
                  </pic:spPr>
                </pic:pic>
              </a:graphicData>
            </a:graphic>
          </wp:inline>
        </w:drawing>
      </w:r>
    </w:p>
    <w:p>
      <w:pPr>
        <w:jc w:val="center"/>
      </w:pPr>
      <w:r>
        <w:rPr>
          <w:i/>
          <w:color w:val="555555"/>
          <w:sz w:val="18"/>
        </w:rPr>
        <w:t>Verbundene Dienste: externe Systeme verbinden, testen, trennen.</w:t>
      </w:r>
    </w:p>
    <w:p>
      <w:pPr>
        <w:jc w:val="center"/>
      </w:pPr>
      <w:r>
        <w:drawing>
          <wp:inline xmlns:a="http://schemas.openxmlformats.org/drawingml/2006/main" xmlns:pic="http://schemas.openxmlformats.org/drawingml/2006/picture">
            <wp:extent cx="5580000" cy="3496800"/>
            <wp:docPr id="11" name="Picture 11"/>
            <wp:cNvGraphicFramePr>
              <a:graphicFrameLocks noChangeAspect="1"/>
            </wp:cNvGraphicFramePr>
            <a:graphic>
              <a:graphicData uri="http://schemas.openxmlformats.org/drawingml/2006/picture">
                <pic:pic>
                  <pic:nvPicPr>
                    <pic:cNvPr id="0" name="10_Einstellungen_und_Status.png"/>
                    <pic:cNvPicPr/>
                  </pic:nvPicPr>
                  <pic:blipFill>
                    <a:blip r:embed="rId19"/>
                    <a:stretch>
                      <a:fillRect/>
                    </a:stretch>
                  </pic:blipFill>
                  <pic:spPr>
                    <a:xfrm>
                      <a:off x="0" y="0"/>
                      <a:ext cx="5580000" cy="3496800"/>
                    </a:xfrm>
                    <a:prstGeom prst="rect"/>
                  </pic:spPr>
                </pic:pic>
              </a:graphicData>
            </a:graphic>
          </wp:inline>
        </w:drawing>
      </w:r>
    </w:p>
    <w:p>
      <w:pPr>
        <w:jc w:val="center"/>
      </w:pPr>
      <w:r>
        <w:rPr>
          <w:i/>
          <w:color w:val="555555"/>
          <w:sz w:val="18"/>
        </w:rPr>
        <w:t>Einstellungen &amp; Status: links die Einstellungen, rechts der Systemstatus als Ampel.</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r>
        <w:rPr>
          <w:b w:val="0"/>
          <w:i w:val="0"/>
        </w:rPr>
        <w:t>Unter den Quellen steht "Recherche-Details anzeigen". Dahinter liegen die technischen Angaben: wie viele Fundstellen gefunden und wie viele davon verwendet wurden, die Bewertungszahl je Fundstelle und ihre interne Kennung. Der Bereich ist absichtlich zugeklappt und steht absichtlich nicht in der Antwort. Eine Bewertungszahl neben einer Gesetzesangabe sieht aus, als gehoere sie zur fachlichen Aussage - sie tut es nicht, sie sagt nur, wie aehnlich ein Textstueck Ihrer Frage war. Aufklappen lohnt, wenn Sie wissen wollen, warum eine bestimmte Fundstelle herangezogen wurde.</w:t>
      </w:r>
    </w:p>
    <w:p>
      <w:r>
        <w:rPr>
          <w:b w:val="0"/>
          <w:i w:val="0"/>
        </w:rPr>
        <w:t>Mit "ausblenden" oben rechts verschwindet die ganze Quellenspalte und die Antwort bekommt die volle Breite. Mit "einblenden" kommt sie zurueck.</w:t>
      </w:r>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