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21903"/>
        <w:gridCol w:w="21903"/>
        <w:gridCol w:w="21903"/>
      </w:tblGrid>
      <w:tr>
        <w:tc>
          <w:tcPr>
            <w:tcW w:type="dxa" w:w="65707"/>
            <w:gridSpan w:val="3"/>
            <w:tcMar>
              <w:top w:w="100" w:type="dxa"/>
              <w:bottom w:w="100" w:type="dxa"/>
              <w:left w:w="100" w:type="dxa"/>
              <w:right w:w="100" w:type="dxa"/>
            </w:tcMar>
          </w:tcPr>
          <w:p>
            <w:pPr>
              <w:spacing w:before="0" w:after="40"/>
              <w:jc w:val="center"/>
            </w:pPr>
            <w:r>
              <w:rPr>
                <w:rFonts w:ascii="Calibri Light" w:hAnsi="Calibri Light"/>
                <w:b/>
                <w:color w:val="1F3864"/>
                <w:sz w:val="144"/>
              </w:rPr>
              <w:t>Poco — Preserve Originals, Conceal Only</w:t>
            </w:r>
          </w:p>
          <w:p>
            <w:pPr>
              <w:spacing w:before="40" w:after="40"/>
              <w:jc w:val="center"/>
            </w:pPr>
            <w:r>
              <w:rPr>
                <w:rFonts w:ascii="Calibri Light" w:hAnsi="Calibri Light"/>
                <w:color w:val="404040"/>
                <w:sz w:val="64"/>
              </w:rPr>
              <w:t>Privacy-first PII anonymisation for LLM workflows, with a fully automated multi-environment DevOps pipeline</w:t>
            </w:r>
          </w:p>
        </w:tc>
      </w:tr>
      <w:tr>
        <w:tc>
          <w:tcPr>
            <w:tcW w:type="dxa" w:w="65707"/>
            <w:gridSpan w:val="3"/>
            <w:shd w:fill="F2F2F2"/>
            <w:tcMar>
              <w:top w:w="100" w:type="dxa"/>
              <w:bottom w:w="100" w:type="dxa"/>
              <w:left w:w="100" w:type="dxa"/>
              <w:right w:w="100" w:type="dxa"/>
            </w:tcMar>
          </w:tcPr>
          <w:p/>
          <w:tbl>
            <w:tblPr>
              <w:tblW w:type="auto" w:w="0"/>
              <w:tblLayout w:type="fixed"/>
              <w:tblLook w:firstColumn="1" w:firstRow="1" w:lastColumn="0" w:lastRow="0" w:noHBand="0" w:noVBand="1" w:val="04A0"/>
              <w:tblBorders>
                <w:top w:val="none"/>
                <w:bottom w:val="none"/>
                <w:left w:val="none"/>
                <w:right w:val="none"/>
                <w:insideH w:val="none"/>
                <w:insideV w:val="none"/>
              </w:tblBorders>
            </w:tblPr>
            <w:tblGrid>
              <w:gridCol w:w="13039"/>
              <w:gridCol w:w="13039"/>
              <w:gridCol w:w="13039"/>
              <w:gridCol w:w="13039"/>
              <w:gridCol w:w="13039"/>
            </w:tblGrid>
            <w:tr>
              <w:tc>
                <w:tcPr>
                  <w:tcW w:type="dxa" w:w="13039"/>
                  <w:tcMar>
                    <w:top w:w="60" w:type="dxa"/>
                    <w:bottom w:w="60" w:type="dxa"/>
                    <w:left w:w="40" w:type="dxa"/>
                    <w:right w:w="40" w:type="dxa"/>
                  </w:tcMar>
                </w:tcPr>
                <w:p>
                  <w:pPr>
                    <w:spacing w:before="0" w:after="40"/>
                    <w:jc w:val="center"/>
                  </w:pPr>
                  <w:r>
                    <w:rPr>
                      <w:rFonts w:ascii="Calibri Light" w:hAnsi="Calibri Light"/>
                      <w:b/>
                      <w:color w:val="1F3864"/>
                      <w:sz w:val="96"/>
                    </w:rPr>
                    <w:t>20 / 43</w:t>
                  </w:r>
                </w:p>
                <w:p>
                  <w:pPr>
                    <w:spacing w:before="0" w:after="0"/>
                    <w:jc w:val="center"/>
                  </w:pPr>
                  <w:r>
                    <w:rPr>
                      <w:rFonts w:ascii="Calibri Light" w:hAnsi="Calibri Light"/>
                      <w:color w:val="404040"/>
                      <w:sz w:val="36"/>
                    </w:rPr>
                    <w:t>PII labels viable for training</w:t>
                  </w:r>
                </w:p>
              </w:tc>
              <w:tc>
                <w:tcPr>
                  <w:tcW w:type="dxa" w:w="13039"/>
                  <w:tcMar>
                    <w:top w:w="60" w:type="dxa"/>
                    <w:bottom w:w="60" w:type="dxa"/>
                    <w:left w:w="40" w:type="dxa"/>
                    <w:right w:w="40" w:type="dxa"/>
                  </w:tcMar>
                </w:tcPr>
                <w:p>
                  <w:pPr>
                    <w:spacing w:before="0" w:after="40"/>
                    <w:jc w:val="center"/>
                  </w:pPr>
                  <w:r>
                    <w:rPr>
                      <w:rFonts w:ascii="Calibri Light" w:hAnsi="Calibri Light"/>
                      <w:b/>
                      <w:color w:val="1F3864"/>
                      <w:sz w:val="96"/>
                    </w:rPr>
                    <w:t>8</w:t>
                  </w:r>
                </w:p>
                <w:p>
                  <w:pPr>
                    <w:spacing w:before="0" w:after="0"/>
                    <w:jc w:val="center"/>
                  </w:pPr>
                  <w:r>
                    <w:rPr>
                      <w:rFonts w:ascii="Calibri Light" w:hAnsi="Calibri Light"/>
                      <w:color w:val="404040"/>
                      <w:sz w:val="36"/>
                    </w:rPr>
                    <w:t>labels with zero validation instances</w:t>
                  </w:r>
                </w:p>
              </w:tc>
              <w:tc>
                <w:tcPr>
                  <w:tcW w:type="dxa" w:w="13039"/>
                  <w:tcMar>
                    <w:top w:w="60" w:type="dxa"/>
                    <w:bottom w:w="60" w:type="dxa"/>
                    <w:left w:w="40" w:type="dxa"/>
                    <w:right w:w="40" w:type="dxa"/>
                  </w:tcMar>
                </w:tcPr>
                <w:p>
                  <w:pPr>
                    <w:spacing w:before="0" w:after="40"/>
                    <w:jc w:val="center"/>
                  </w:pPr>
                  <w:r>
                    <w:rPr>
                      <w:rFonts w:ascii="Calibri Light" w:hAnsi="Calibri Light"/>
                      <w:b/>
                      <w:color w:val="1F3864"/>
                      <w:sz w:val="96"/>
                    </w:rPr>
                    <w:t>2.4×</w:t>
                  </w:r>
                </w:p>
                <w:p>
                  <w:pPr>
                    <w:spacing w:before="0" w:after="0"/>
                    <w:jc w:val="center"/>
                  </w:pPr>
                  <w:r>
                    <w:rPr>
                      <w:rFonts w:ascii="Calibri Light" w:hAnsi="Calibri Light"/>
                      <w:color w:val="404040"/>
                      <w:sz w:val="36"/>
                    </w:rPr>
                    <w:t>more tokens per character for Chinese</w:t>
                  </w:r>
                </w:p>
              </w:tc>
              <w:tc>
                <w:tcPr>
                  <w:tcW w:type="dxa" w:w="13039"/>
                  <w:tcMar>
                    <w:top w:w="60" w:type="dxa"/>
                    <w:bottom w:w="60" w:type="dxa"/>
                    <w:left w:w="40" w:type="dxa"/>
                    <w:right w:w="40" w:type="dxa"/>
                  </w:tcMar>
                </w:tcPr>
                <w:p>
                  <w:pPr>
                    <w:spacing w:before="0" w:after="40"/>
                    <w:jc w:val="center"/>
                  </w:pPr>
                  <w:r>
                    <w:rPr>
                      <w:rFonts w:ascii="Calibri Light" w:hAnsi="Calibri Light"/>
                      <w:b/>
                      <w:color w:val="1F3864"/>
                      <w:sz w:val="96"/>
                    </w:rPr>
                    <w:t>73:1</w:t>
                  </w:r>
                </w:p>
                <w:p>
                  <w:pPr>
                    <w:spacing w:before="0" w:after="0"/>
                    <w:jc w:val="center"/>
                  </w:pPr>
                  <w:r>
                    <w:rPr>
                      <w:rFonts w:ascii="Calibri Light" w:hAnsi="Calibri Light"/>
                      <w:color w:val="404040"/>
                      <w:sz w:val="36"/>
                    </w:rPr>
                    <w:t>class imbalance (GIVENNAME : TIME)</w:t>
                  </w:r>
                </w:p>
              </w:tc>
              <w:tc>
                <w:tcPr>
                  <w:tcW w:type="dxa" w:w="13039"/>
                  <w:tcMar>
                    <w:top w:w="60" w:type="dxa"/>
                    <w:bottom w:w="60" w:type="dxa"/>
                    <w:left w:w="40" w:type="dxa"/>
                    <w:right w:w="40" w:type="dxa"/>
                  </w:tcMar>
                </w:tcPr>
                <w:p>
                  <w:pPr>
                    <w:spacing w:before="0" w:after="40"/>
                    <w:jc w:val="center"/>
                  </w:pPr>
                  <w:r>
                    <w:rPr>
                      <w:rFonts w:ascii="Calibri Light" w:hAnsi="Calibri Light"/>
                      <w:b/>
                      <w:color w:val="1F3864"/>
                      <w:sz w:val="96"/>
                    </w:rPr>
                    <w:t>99.99%</w:t>
                  </w:r>
                </w:p>
                <w:p>
                  <w:pPr>
                    <w:spacing w:before="0" w:after="0"/>
                    <w:jc w:val="center"/>
                  </w:pPr>
                  <w:r>
                    <w:rPr>
                      <w:rFonts w:ascii="Calibri Light" w:hAnsi="Calibri Light"/>
                      <w:color w:val="404040"/>
                      <w:sz w:val="36"/>
                    </w:rPr>
                    <w:t>of annotations in viable labels</w:t>
                  </w:r>
                </w:p>
              </w:tc>
            </w:tr>
          </w:tbl>
          <w:p/>
        </w:tc>
      </w:tr>
      <w:tr>
        <w:tc>
          <w:tcPr>
            <w:tcW w:type="dxa" w:w="21543"/>
            <w:tcMar>
              <w:top w:w="100" w:type="dxa"/>
              <w:bottom w:w="100" w:type="dxa"/>
              <w:left w:w="60" w:type="dxa"/>
              <w:right w:w="140" w:type="dxa"/>
            </w:tcMar>
          </w:tcPr>
          <w:p/>
          <w:p>
            <w:pPr>
              <w:spacing w:before="80" w:after="40" w:line="252" w:lineRule="auto"/>
            </w:pPr>
            <w:r>
              <w:rPr>
                <w:rFonts w:ascii="Calibri Light" w:hAnsi="Calibri Light"/>
                <w:b/>
                <w:color w:val="1F3864"/>
                <w:sz w:val="80"/>
              </w:rPr>
              <w:t>The Problem</w:t>
            </w:r>
          </w:p>
          <w:p>
            <w:pPr>
              <w:spacing w:before="0" w:after="80" w:line="276" w:lineRule="auto"/>
            </w:pPr>
            <w:r>
              <w:rPr>
                <w:rFonts w:ascii="Calibri Light" w:hAnsi="Calibri Light"/>
                <w:color w:val="262626"/>
                <w:sz w:val="48"/>
              </w:rPr>
              <w:t>Every day, people paste contracts, medical notes, and CVs into ChatGPT. Once they do, names, addresses, and financial details are outside their control. Poco makes that safe.</w:t>
            </w:r>
          </w:p>
          <w:p>
            <w:pPr>
              <w:spacing w:before="200" w:after="40" w:line="252" w:lineRule="auto"/>
            </w:pPr>
            <w:r>
              <w:rPr>
                <w:rFonts w:ascii="Calibri Light" w:hAnsi="Calibri Light"/>
                <w:b/>
                <w:color w:val="1F3864"/>
                <w:sz w:val="80"/>
              </w:rPr>
              <w:t>How Poco Works</w:t>
            </w:r>
          </w:p>
          <w:p>
            <w:pPr>
              <w:spacing w:before="0" w:after="80" w:line="276" w:lineRule="auto"/>
            </w:pPr>
            <w:r>
              <w:rPr>
                <w:rFonts w:ascii="Calibri Light" w:hAnsi="Calibri Light"/>
                <w:color w:val="262626"/>
                <w:sz w:val="48"/>
              </w:rPr>
              <w:t>Poco detects personal information, replaces each value with a reversible token like [PERSON_1] or [EMAIL_1], and stores the mapping in an encrypted session vault. The redacted text is sent to any LLM, and the response is restored to its original form when it returns.</w:t>
            </w:r>
          </w:p>
          <w:tbl>
            <w:tblPr>
              <w:tblW w:type="auto" w:w="0"/>
              <w:tblLayout w:type="fixed"/>
              <w:tblLook w:firstColumn="1" w:firstRow="1" w:lastColumn="0" w:lastRow="0" w:noHBand="0" w:noVBand="1" w:val="04A0"/>
              <w:tblBorders>
                <w:top w:val="none"/>
                <w:bottom w:val="none"/>
                <w:left w:val="none"/>
                <w:right w:val="none"/>
                <w:insideH w:val="none"/>
                <w:insideV w:val="none"/>
              </w:tblBorders>
            </w:tblPr>
            <w:tblGrid>
              <w:gridCol w:w="6520"/>
              <w:gridCol w:w="680"/>
              <w:gridCol w:w="6520"/>
              <w:gridCol w:w="680"/>
              <w:gridCol w:w="6520"/>
            </w:tblGrid>
            <w:tr>
              <w:tc>
                <w:tcPr>
                  <w:tcW w:type="dxa" w:w="6520"/>
                  <w:tcMar>
                    <w:top w:w="80" w:type="dxa"/>
                    <w:bottom w:w="80" w:type="dxa"/>
                    <w:left w:w="40" w:type="dxa"/>
                    <w:right w:w="40" w:type="dxa"/>
                  </w:tcMar>
                  <w:shd w:fill="2E75B6"/>
                </w:tcPr>
                <w:p>
                  <w:pPr>
                    <w:jc w:val="center"/>
                  </w:pPr>
                  <w:r>
                    <w:rPr>
                      <w:b/>
                      <w:color w:val="FFFFFF"/>
                      <w:sz w:val="48"/>
                    </w:rPr>
                    <w:t>Paste text</w:t>
                    <w:br/>
                  </w:r>
                  <w:r>
                    <w:rPr>
                      <w:i/>
                      <w:color w:val="FFFFFF"/>
                      <w:sz w:val="32"/>
                    </w:rPr>
                    <w:t>User input document</w:t>
                  </w:r>
                </w:p>
              </w:tc>
              <w:tc>
                <w:tcPr>
                  <w:tcW w:type="dxa" w:w="680"/>
                  <w:tcMar>
                    <w:top w:w="80" w:type="dxa"/>
                    <w:bottom w:w="80" w:type="dxa"/>
                    <w:left w:w="40" w:type="dxa"/>
                    <w:right w:w="40" w:type="dxa"/>
                  </w:tcMar>
                </w:tcPr>
                <w:p>
                  <w:pPr>
                    <w:jc w:val="center"/>
                  </w:pPr>
                  <w:r>
                    <w:rPr>
                      <w:b/>
                      <w:color w:val="1F3864"/>
                      <w:sz w:val="64"/>
                    </w:rPr>
                    <w:t>→</w:t>
                  </w:r>
                </w:p>
              </w:tc>
              <w:tc>
                <w:tcPr>
                  <w:tcW w:type="dxa" w:w="6520"/>
                  <w:tcMar>
                    <w:top w:w="80" w:type="dxa"/>
                    <w:bottom w:w="80" w:type="dxa"/>
                    <w:left w:w="40" w:type="dxa"/>
                    <w:right w:w="40" w:type="dxa"/>
                  </w:tcMar>
                  <w:shd w:fill="1F3864"/>
                </w:tcPr>
                <w:p>
                  <w:pPr>
                    <w:jc w:val="center"/>
                  </w:pPr>
                  <w:r>
                    <w:rPr>
                      <w:b/>
                      <w:color w:val="FFFFFF"/>
                      <w:sz w:val="48"/>
                    </w:rPr>
                    <w:t>Tokenise</w:t>
                    <w:br/>
                  </w:r>
                  <w:r>
                    <w:rPr>
                      <w:i/>
                      <w:color w:val="FFFFFF"/>
                      <w:sz w:val="32"/>
                    </w:rPr>
                    <w:t>Reversible vault mapping</w:t>
                  </w:r>
                </w:p>
              </w:tc>
              <w:tc>
                <w:tcPr>
                  <w:tcW w:type="dxa" w:w="680"/>
                  <w:tcMar>
                    <w:top w:w="80" w:type="dxa"/>
                    <w:bottom w:w="80" w:type="dxa"/>
                    <w:left w:w="40" w:type="dxa"/>
                    <w:right w:w="40" w:type="dxa"/>
                  </w:tcMar>
                </w:tcPr>
                <w:p>
                  <w:pPr>
                    <w:jc w:val="center"/>
                  </w:pPr>
                  <w:r>
                    <w:rPr>
                      <w:b/>
                      <w:color w:val="1F3864"/>
                      <w:sz w:val="64"/>
                    </w:rPr>
                    <w:t>→</w:t>
                  </w:r>
                </w:p>
              </w:tc>
              <w:tc>
                <w:tcPr>
                  <w:tcW w:type="dxa" w:w="6520"/>
                  <w:tcMar>
                    <w:top w:w="80" w:type="dxa"/>
                    <w:bottom w:w="80" w:type="dxa"/>
                    <w:left w:w="40" w:type="dxa"/>
                    <w:right w:w="40" w:type="dxa"/>
                  </w:tcMar>
                  <w:shd w:fill="2E75B6"/>
                </w:tcPr>
                <w:p>
                  <w:pPr>
                    <w:jc w:val="center"/>
                  </w:pPr>
                  <w:r>
                    <w:rPr>
                      <w:b/>
                      <w:color w:val="FFFFFF"/>
                      <w:sz w:val="48"/>
                    </w:rPr>
                    <w:t>Restore response</w:t>
                    <w:br/>
                  </w:r>
                  <w:r>
                    <w:rPr>
                      <w:i/>
                      <w:color w:val="FFFFFF"/>
                      <w:sz w:val="32"/>
                    </w:rPr>
                    <w:t>LLM response restored</w:t>
                  </w:r>
                </w:p>
              </w:tc>
            </w:tr>
          </w:tbl>
          <w:p/>
          <w:p>
            <w:pPr>
              <w:spacing w:before="200" w:after="40" w:line="252" w:lineRule="auto"/>
            </w:pPr>
            <w:r>
              <w:rPr>
                <w:rFonts w:ascii="Calibri Light" w:hAnsi="Calibri Light"/>
                <w:b/>
                <w:color w:val="1F3864"/>
                <w:sz w:val="80"/>
              </w:rPr>
              <w:t>Architecture</w:t>
            </w:r>
          </w:p>
          <w:p>
            <w:pPr>
              <w:spacing w:before="40" w:after="40"/>
              <w:jc w:val="center"/>
            </w:pPr>
            <w:r>
              <w:drawing>
                <wp:inline xmlns:a="http://schemas.openxmlformats.org/drawingml/2006/main" xmlns:pic="http://schemas.openxmlformats.org/drawingml/2006/picture">
                  <wp:extent cx="13140000" cy="9448989"/>
                  <wp:docPr id="1" name="Picture 1"/>
                  <wp:cNvGraphicFramePr>
                    <a:graphicFrameLocks noChangeAspect="1"/>
                  </wp:cNvGraphicFramePr>
                  <a:graphic>
                    <a:graphicData uri="http://schemas.openxmlformats.org/drawingml/2006/picture">
                      <pic:pic>
                        <pic:nvPicPr>
                          <pic:cNvPr id="0" name="poco_architecture.png"/>
                          <pic:cNvPicPr/>
                        </pic:nvPicPr>
                        <pic:blipFill>
                          <a:blip r:embed="rId9"/>
                          <a:stretch>
                            <a:fillRect/>
                          </a:stretch>
                        </pic:blipFill>
                        <pic:spPr>
                          <a:xfrm>
                            <a:off x="0" y="0"/>
                            <a:ext cx="13140000" cy="9448989"/>
                          </a:xfrm>
                          <a:prstGeom prst="rect"/>
                        </pic:spPr>
                      </pic:pic>
                    </a:graphicData>
                  </a:graphic>
                </wp:inline>
              </w:drawing>
            </w:r>
          </w:p>
          <w:p>
            <w:pPr>
              <w:spacing w:before="40" w:after="120" w:line="252" w:lineRule="auto"/>
              <w:jc w:val="center"/>
            </w:pPr>
            <w:r>
              <w:rPr>
                <w:rFonts w:ascii="Calibri Light" w:hAnsi="Calibri Light"/>
                <w:i/>
                <w:color w:val="595959"/>
                <w:sz w:val="36"/>
              </w:rPr>
              <w:t>Figure 1. Two-pass hybrid PII detection engine.</w:t>
            </w:r>
          </w:p>
          <w:p>
            <w:pPr>
              <w:spacing w:before="200" w:after="40" w:line="252" w:lineRule="auto"/>
            </w:pPr>
            <w:r>
              <w:rPr>
                <w:rFonts w:ascii="Calibri Light" w:hAnsi="Calibri Light"/>
                <w:b/>
                <w:color w:val="1F3864"/>
                <w:sz w:val="80"/>
              </w:rPr>
              <w:t>DevOps Pipeline</w:t>
            </w:r>
          </w:p>
          <w:p>
            <w:pPr>
              <w:spacing w:before="0" w:after="80" w:line="276" w:lineRule="auto"/>
            </w:pPr>
            <w:r>
              <w:rPr>
                <w:rFonts w:ascii="Calibri Light" w:hAnsi="Calibri Light"/>
                <w:color w:val="262626"/>
                <w:sz w:val="48"/>
              </w:rPr>
              <w:t>Every code change flows through GitHub Actions, which builds the Rust backend inside the Cargo Lambda container, runs unit, integration, and browser acceptance tests, and deploys to four isolated AWS environments. Failed tests block promotion.</w:t>
            </w:r>
          </w:p>
          <w:tbl>
            <w:tblPr>
              <w:tblW w:type="auto" w:w="0"/>
              <w:tblLayout w:type="fixed"/>
              <w:tblLook w:firstColumn="1" w:firstRow="1" w:lastColumn="0" w:lastRow="0" w:noHBand="0" w:noVBand="1" w:val="04A0"/>
              <w:tblBorders>
                <w:top w:val="none"/>
                <w:bottom w:val="none"/>
                <w:left w:val="none"/>
                <w:right w:val="none"/>
                <w:insideH w:val="none"/>
                <w:insideV w:val="none"/>
              </w:tblBorders>
            </w:tblPr>
            <w:tblGrid>
              <w:gridCol w:w="3798"/>
              <w:gridCol w:w="397"/>
              <w:gridCol w:w="3798"/>
              <w:gridCol w:w="397"/>
              <w:gridCol w:w="3798"/>
              <w:gridCol w:w="397"/>
              <w:gridCol w:w="3798"/>
              <w:gridCol w:w="397"/>
              <w:gridCol w:w="3798"/>
            </w:tblGrid>
            <w:tr>
              <w:tc>
                <w:tcPr>
                  <w:tcW w:type="dxa" w:w="3798"/>
                  <w:shd w:fill="1F3864"/>
                  <w:tcMar>
                    <w:top w:w="60" w:type="dxa"/>
                    <w:bottom w:w="60" w:type="dxa"/>
                    <w:left w:w="30" w:type="dxa"/>
                    <w:right w:w="30" w:type="dxa"/>
                  </w:tcMar>
                </w:tcPr>
                <w:p>
                  <w:pPr>
                    <w:jc w:val="center"/>
                  </w:pPr>
                  <w:r>
                    <w:rPr>
                      <w:b/>
                      <w:color w:val="FFFFFF"/>
                      <w:sz w:val="34"/>
                    </w:rPr>
                    <w:t>Commit</w:t>
                    <w:br/>
                  </w:r>
                  <w:r>
                    <w:rPr>
                      <w:color w:val="EAEEF7"/>
                      <w:sz w:val="22"/>
                    </w:rPr>
                    <w:t>GitHub Actions</w:t>
                  </w:r>
                </w:p>
              </w:tc>
              <w:tc>
                <w:tcPr>
                  <w:tcW w:type="dxa" w:w="397"/>
                </w:tcPr>
                <w:p>
                  <w:pPr>
                    <w:jc w:val="center"/>
                  </w:pPr>
                  <w:r>
                    <w:rPr>
                      <w:b/>
                      <w:color w:val="1F3864"/>
                      <w:sz w:val="40"/>
                    </w:rPr>
                    <w:t>→</w:t>
                  </w:r>
                </w:p>
              </w:tc>
              <w:tc>
                <w:tcPr>
                  <w:tcW w:type="dxa" w:w="3798"/>
                  <w:shd w:fill="2E75B6"/>
                  <w:tcMar>
                    <w:top w:w="60" w:type="dxa"/>
                    <w:bottom w:w="60" w:type="dxa"/>
                    <w:left w:w="30" w:type="dxa"/>
                    <w:right w:w="30" w:type="dxa"/>
                  </w:tcMar>
                </w:tcPr>
                <w:p>
                  <w:pPr>
                    <w:jc w:val="center"/>
                  </w:pPr>
                  <w:r>
                    <w:rPr>
                      <w:b/>
                      <w:color w:val="FFFFFF"/>
                      <w:sz w:val="34"/>
                    </w:rPr>
                    <w:t>Build</w:t>
                    <w:br/>
                  </w:r>
                  <w:r>
                    <w:rPr>
                      <w:color w:val="EAEEF7"/>
                      <w:sz w:val="22"/>
                    </w:rPr>
                    <w:t>Cargo Lambda</w:t>
                  </w:r>
                </w:p>
              </w:tc>
              <w:tc>
                <w:tcPr>
                  <w:tcW w:type="dxa" w:w="397"/>
                </w:tcPr>
                <w:p>
                  <w:pPr>
                    <w:jc w:val="center"/>
                  </w:pPr>
                  <w:r>
                    <w:rPr>
                      <w:b/>
                      <w:color w:val="1F3864"/>
                      <w:sz w:val="40"/>
                    </w:rPr>
                    <w:t>→</w:t>
                  </w:r>
                </w:p>
              </w:tc>
              <w:tc>
                <w:tcPr>
                  <w:tcW w:type="dxa" w:w="3798"/>
                  <w:shd w:fill="1F3864"/>
                  <w:tcMar>
                    <w:top w:w="60" w:type="dxa"/>
                    <w:bottom w:w="60" w:type="dxa"/>
                    <w:left w:w="30" w:type="dxa"/>
                    <w:right w:w="30" w:type="dxa"/>
                  </w:tcMar>
                </w:tcPr>
                <w:p>
                  <w:pPr>
                    <w:jc w:val="center"/>
                  </w:pPr>
                  <w:r>
                    <w:rPr>
                      <w:b/>
                      <w:color w:val="FFFFFF"/>
                      <w:sz w:val="34"/>
                    </w:rPr>
                    <w:t>Test</w:t>
                    <w:br/>
                  </w:r>
                  <w:r>
                    <w:rPr>
                      <w:color w:val="EAEEF7"/>
                      <w:sz w:val="22"/>
                    </w:rPr>
                    <w:t>Unit &amp; Playwright</w:t>
                  </w:r>
                </w:p>
              </w:tc>
              <w:tc>
                <w:tcPr>
                  <w:tcW w:type="dxa" w:w="397"/>
                </w:tcPr>
                <w:p>
                  <w:pPr>
                    <w:jc w:val="center"/>
                  </w:pPr>
                  <w:r>
                    <w:rPr>
                      <w:b/>
                      <w:color w:val="1F3864"/>
                      <w:sz w:val="40"/>
                    </w:rPr>
                    <w:t>→</w:t>
                  </w:r>
                </w:p>
              </w:tc>
              <w:tc>
                <w:tcPr>
                  <w:tcW w:type="dxa" w:w="3798"/>
                  <w:shd w:fill="2E75B6"/>
                  <w:tcMar>
                    <w:top w:w="60" w:type="dxa"/>
                    <w:bottom w:w="60" w:type="dxa"/>
                    <w:left w:w="30" w:type="dxa"/>
                    <w:right w:w="30" w:type="dxa"/>
                  </w:tcMar>
                </w:tcPr>
                <w:p>
                  <w:pPr>
                    <w:jc w:val="center"/>
                  </w:pPr>
                  <w:r>
                    <w:rPr>
                      <w:b/>
                      <w:color w:val="FFFFFF"/>
                      <w:sz w:val="34"/>
                    </w:rPr>
                    <w:t>Deploy</w:t>
                    <w:br/>
                  </w:r>
                  <w:r>
                    <w:rPr>
                      <w:color w:val="EAEEF7"/>
                      <w:sz w:val="22"/>
                    </w:rPr>
                    <w:t>Dev · Staging · Prod</w:t>
                  </w:r>
                </w:p>
              </w:tc>
              <w:tc>
                <w:tcPr>
                  <w:tcW w:type="dxa" w:w="397"/>
                </w:tcPr>
                <w:p>
                  <w:pPr>
                    <w:jc w:val="center"/>
                  </w:pPr>
                  <w:r>
                    <w:rPr>
                      <w:b/>
                      <w:color w:val="1F3864"/>
                      <w:sz w:val="40"/>
                    </w:rPr>
                    <w:t>→</w:t>
                  </w:r>
                </w:p>
              </w:tc>
              <w:tc>
                <w:tcPr>
                  <w:tcW w:type="dxa" w:w="3798"/>
                  <w:shd w:fill="1F3864"/>
                  <w:tcMar>
                    <w:top w:w="60" w:type="dxa"/>
                    <w:bottom w:w="60" w:type="dxa"/>
                    <w:left w:w="30" w:type="dxa"/>
                    <w:right w:w="30" w:type="dxa"/>
                  </w:tcMar>
                </w:tcPr>
                <w:p>
                  <w:pPr>
                    <w:jc w:val="center"/>
                  </w:pPr>
                  <w:r>
                    <w:rPr>
                      <w:b/>
                      <w:color w:val="FFFFFF"/>
                      <w:sz w:val="34"/>
                    </w:rPr>
                    <w:t>Monitor</w:t>
                    <w:br/>
                  </w:r>
                  <w:r>
                    <w:rPr>
                      <w:color w:val="EAEEF7"/>
                      <w:sz w:val="22"/>
                    </w:rPr>
                    <w:t>CloudWatch</w:t>
                  </w:r>
                </w:p>
              </w:tc>
            </w:tr>
          </w:tbl>
          <w:p/>
          <w:p>
            <w:pPr>
              <w:spacing w:before="200" w:after="40" w:line="252" w:lineRule="auto"/>
            </w:pPr>
            <w:r>
              <w:rPr>
                <w:rFonts w:ascii="Calibri Light" w:hAnsi="Calibri Light"/>
                <w:b/>
                <w:color w:val="1F3864"/>
                <w:sz w:val="80"/>
              </w:rPr>
              <w:t>Live Demo</w:t>
            </w:r>
          </w:p>
          <w:tbl>
            <w:tblPr>
              <w:tblW w:type="auto" w:w="0"/>
              <w:tblLayout w:type="fixed"/>
              <w:tblLook w:firstColumn="1" w:firstRow="1" w:lastColumn="0" w:lastRow="0" w:noHBand="0" w:noVBand="1" w:val="04A0"/>
              <w:tblBorders>
                <w:top w:val="none"/>
                <w:bottom w:val="none"/>
                <w:left w:val="none"/>
                <w:right w:val="none"/>
                <w:insideH w:val="none"/>
                <w:insideV w:val="none"/>
              </w:tblBorders>
            </w:tblPr>
            <w:tblGrid>
              <w:gridCol w:w="3685"/>
              <w:gridCol w:w="17008"/>
            </w:tblGrid>
            <w:tr>
              <w:tc>
                <w:tcPr>
                  <w:tcW w:type="dxa" w:w="3685"/>
                </w:tcPr>
                <w:p/>
                <w:p>
                  <w:pPr>
                    <w:spacing w:before="40" w:after="40"/>
                    <w:jc w:val="center"/>
                  </w:pPr>
                  <w:r>
                    <w:drawing>
                      <wp:inline xmlns:a="http://schemas.openxmlformats.org/drawingml/2006/main" xmlns:pic="http://schemas.openxmlformats.org/drawingml/2006/picture">
                        <wp:extent cx="1980000" cy="1980000"/>
                        <wp:docPr id="2" name="Picture 2"/>
                        <wp:cNvGraphicFramePr>
                          <a:graphicFrameLocks noChangeAspect="1"/>
                        </wp:cNvGraphicFramePr>
                        <a:graphic>
                          <a:graphicData uri="http://schemas.openxmlformats.org/drawingml/2006/picture">
                            <pic:pic>
                              <pic:nvPicPr>
                                <pic:cNvPr id="0" name="qrcode_demo.png"/>
                                <pic:cNvPicPr/>
                              </pic:nvPicPr>
                              <pic:blipFill>
                                <a:blip r:embed="rId10"/>
                                <a:stretch>
                                  <a:fillRect/>
                                </a:stretch>
                              </pic:blipFill>
                              <pic:spPr>
                                <a:xfrm>
                                  <a:off x="0" y="0"/>
                                  <a:ext cx="1980000" cy="1980000"/>
                                </a:xfrm>
                                <a:prstGeom prst="rect"/>
                              </pic:spPr>
                            </pic:pic>
                          </a:graphicData>
                        </a:graphic>
                      </wp:inline>
                    </w:drawing>
                  </w:r>
                </w:p>
              </w:tc>
              <w:tc>
                <w:tcPr>
                  <w:tcW w:type="dxa" w:w="17008"/>
                </w:tcPr>
                <w:p>
                  <w:pPr>
                    <w:spacing w:before="160"/>
                  </w:pPr>
                  <w:r>
                    <w:rPr>
                      <w:b/>
                      <w:color w:val="1F3864"/>
                      <w:sz w:val="56"/>
                    </w:rPr>
                    <w:t>littlepoco.me</w:t>
                    <w:br/>
                  </w:r>
                  <w:r>
                    <w:rPr>
                      <w:color w:val="2E75B6"/>
                      <w:sz w:val="40"/>
                    </w:rPr>
                    <w:t>Confidential session vault</w:t>
                  </w:r>
                </w:p>
              </w:tc>
            </w:tr>
          </w:tbl>
          <w:p/>
          <w:p>
            <w:pPr>
              <w:spacing w:before="40" w:after="40"/>
              <w:jc w:val="center"/>
            </w:pPr>
            <w:r>
              <w:drawing>
                <wp:inline xmlns:a="http://schemas.openxmlformats.org/drawingml/2006/main" xmlns:pic="http://schemas.openxmlformats.org/drawingml/2006/picture">
                  <wp:extent cx="13140000" cy="8566655"/>
                  <wp:docPr id="3" name="Picture 3"/>
                  <wp:cNvGraphicFramePr>
                    <a:graphicFrameLocks noChangeAspect="1"/>
                  </wp:cNvGraphicFramePr>
                  <a:graphic>
                    <a:graphicData uri="http://schemas.openxmlformats.org/drawingml/2006/picture">
                      <pic:pic>
                        <pic:nvPicPr>
                          <pic:cNvPr id="0" name="poco_screenshot.png"/>
                          <pic:cNvPicPr/>
                        </pic:nvPicPr>
                        <pic:blipFill>
                          <a:blip r:embed="rId11"/>
                          <a:stretch>
                            <a:fillRect/>
                          </a:stretch>
                        </pic:blipFill>
                        <pic:spPr>
                          <a:xfrm>
                            <a:off x="0" y="0"/>
                            <a:ext cx="13140000" cy="8566655"/>
                          </a:xfrm>
                          <a:prstGeom prst="rect"/>
                        </pic:spPr>
                      </pic:pic>
                    </a:graphicData>
                  </a:graphic>
                </wp:inline>
              </w:drawing>
            </w:r>
          </w:p>
          <w:p>
            <w:pPr>
              <w:spacing w:before="40" w:after="120" w:line="252" w:lineRule="auto"/>
              <w:jc w:val="center"/>
            </w:pPr>
            <w:r>
              <w:rPr>
                <w:rFonts w:ascii="Calibri Light" w:hAnsi="Calibri Light"/>
                <w:i/>
                <w:color w:val="595959"/>
                <w:sz w:val="36"/>
              </w:rPr>
              <w:t>Figure 2. Poco encode view with coloured token highlighting.</w:t>
            </w:r>
          </w:p>
        </w:tc>
        <w:tc>
          <w:tcPr>
            <w:tcW w:type="dxa" w:w="21543"/>
            <w:tcMar>
              <w:top w:w="100" w:type="dxa"/>
              <w:bottom w:w="100" w:type="dxa"/>
              <w:left w:w="100" w:type="dxa"/>
              <w:right w:w="100" w:type="dxa"/>
            </w:tcMar>
          </w:tcPr>
          <w:p/>
          <w:p>
            <w:pPr>
              <w:spacing w:before="80" w:after="40" w:line="252" w:lineRule="auto"/>
            </w:pPr>
            <w:r>
              <w:rPr>
                <w:rFonts w:ascii="Calibri Light" w:hAnsi="Calibri Light"/>
                <w:b/>
                <w:color w:val="1F3864"/>
                <w:sz w:val="72"/>
              </w:rPr>
              <w:t>Dataset Overview</w:t>
            </w:r>
          </w:p>
          <w:p>
            <w:pPr>
              <w:spacing w:before="0" w:after="80" w:line="276" w:lineRule="auto"/>
            </w:pPr>
            <w:r>
              <w:rPr>
                <w:rFonts w:ascii="Calibri Light" w:hAnsi="Calibri Light"/>
                <w:color w:val="262626"/>
                <w:sz w:val="44"/>
              </w:rPr>
              <w:t>Analysis of 1,636,375 multilingual documents across 30 languages, 11.9 million PII annotations, and 43 discovered PII entity classes.</w:t>
            </w:r>
          </w:p>
          <w:tbl>
            <w:tblPr>
              <w:tblW w:type="auto" w:w="0"/>
              <w:tblLayout w:type="fixed"/>
              <w:tblLook w:firstColumn="1" w:firstRow="1" w:lastColumn="0" w:lastRow="0" w:noHBand="0" w:noVBand="1" w:val="04A0"/>
              <w:tblBorders>
                <w:top w:val="none"/>
                <w:bottom w:val="none"/>
                <w:left w:val="none"/>
                <w:right w:val="none"/>
                <w:insideH w:val="none"/>
                <w:insideV w:val="none"/>
              </w:tblBorders>
            </w:tblPr>
            <w:tblGrid>
              <w:gridCol w:w="5216"/>
              <w:gridCol w:w="5216"/>
              <w:gridCol w:w="5216"/>
              <w:gridCol w:w="5216"/>
            </w:tblGrid>
            <w:tr>
              <w:tc>
                <w:tcPr>
                  <w:tcW w:type="dxa" w:w="5216"/>
                  <w:shd w:fill="F2F2F2"/>
                  <w:tcMar>
                    <w:top w:w="40" w:type="dxa"/>
                    <w:bottom w:w="0" w:type="dxa"/>
                    <w:left w:w="20" w:type="dxa"/>
                    <w:right w:w="20" w:type="dxa"/>
                  </w:tcMar>
                </w:tcPr>
                <w:p>
                  <w:pPr>
                    <w:jc w:val="center"/>
                  </w:pPr>
                  <w:r>
                    <w:rPr>
                      <w:b/>
                      <w:color w:val="1F3864"/>
                      <w:sz w:val="52"/>
                    </w:rPr>
                    <w:t>1,636,375</w:t>
                  </w:r>
                </w:p>
              </w:tc>
              <w:tc>
                <w:tcPr>
                  <w:tcW w:type="dxa" w:w="5216"/>
                  <w:shd w:fill="F2F2F2"/>
                  <w:tcMar>
                    <w:top w:w="40" w:type="dxa"/>
                    <w:bottom w:w="0" w:type="dxa"/>
                    <w:left w:w="20" w:type="dxa"/>
                    <w:right w:w="20" w:type="dxa"/>
                  </w:tcMar>
                </w:tcPr>
                <w:p>
                  <w:pPr>
                    <w:jc w:val="center"/>
                  </w:pPr>
                  <w:r>
                    <w:rPr>
                      <w:b/>
                      <w:color w:val="1F3864"/>
                      <w:sz w:val="52"/>
                    </w:rPr>
                    <w:t>11,887,370</w:t>
                  </w:r>
                </w:p>
              </w:tc>
              <w:tc>
                <w:tcPr>
                  <w:tcW w:type="dxa" w:w="5216"/>
                  <w:shd w:fill="F2F2F2"/>
                  <w:tcMar>
                    <w:top w:w="40" w:type="dxa"/>
                    <w:bottom w:w="0" w:type="dxa"/>
                    <w:left w:w="20" w:type="dxa"/>
                    <w:right w:w="20" w:type="dxa"/>
                  </w:tcMar>
                </w:tcPr>
                <w:p>
                  <w:pPr>
                    <w:jc w:val="center"/>
                  </w:pPr>
                  <w:r>
                    <w:rPr>
                      <w:b/>
                      <w:color w:val="1F3864"/>
                      <w:sz w:val="52"/>
                    </w:rPr>
                    <w:t>43</w:t>
                  </w:r>
                </w:p>
              </w:tc>
              <w:tc>
                <w:tcPr>
                  <w:tcW w:type="dxa" w:w="5216"/>
                  <w:shd w:fill="F2F2F2"/>
                  <w:tcMar>
                    <w:top w:w="40" w:type="dxa"/>
                    <w:bottom w:w="0" w:type="dxa"/>
                    <w:left w:w="20" w:type="dxa"/>
                    <w:right w:w="20" w:type="dxa"/>
                  </w:tcMar>
                </w:tcPr>
                <w:p>
                  <w:pPr>
                    <w:jc w:val="center"/>
                  </w:pPr>
                  <w:r>
                    <w:rPr>
                      <w:b/>
                      <w:color w:val="1F3864"/>
                      <w:sz w:val="52"/>
                    </w:rPr>
                    <w:t>30</w:t>
                  </w:r>
                </w:p>
              </w:tc>
            </w:tr>
            <w:tr>
              <w:tc>
                <w:tcPr>
                  <w:tcW w:type="dxa" w:w="5216"/>
                  <w:shd w:fill="F2F2F2"/>
                  <w:tcMar>
                    <w:top w:w="0" w:type="dxa"/>
                    <w:bottom w:w="40" w:type="dxa"/>
                    <w:left w:w="20" w:type="dxa"/>
                    <w:right w:w="20" w:type="dxa"/>
                  </w:tcMar>
                </w:tcPr>
                <w:p>
                  <w:pPr>
                    <w:jc w:val="center"/>
                  </w:pPr>
                  <w:r>
                    <w:rPr>
                      <w:color w:val="404040"/>
                      <w:sz w:val="32"/>
                    </w:rPr>
                    <w:t>Examples</w:t>
                  </w:r>
                </w:p>
              </w:tc>
              <w:tc>
                <w:tcPr>
                  <w:tcW w:type="dxa" w:w="5216"/>
                  <w:shd w:fill="F2F2F2"/>
                  <w:tcMar>
                    <w:top w:w="0" w:type="dxa"/>
                    <w:bottom w:w="40" w:type="dxa"/>
                    <w:left w:w="20" w:type="dxa"/>
                    <w:right w:w="20" w:type="dxa"/>
                  </w:tcMar>
                </w:tcPr>
                <w:p>
                  <w:pPr>
                    <w:jc w:val="center"/>
                  </w:pPr>
                  <w:r>
                    <w:rPr>
                      <w:color w:val="404040"/>
                      <w:sz w:val="32"/>
                    </w:rPr>
                    <w:t>Annotations</w:t>
                  </w:r>
                </w:p>
              </w:tc>
              <w:tc>
                <w:tcPr>
                  <w:tcW w:type="dxa" w:w="5216"/>
                  <w:shd w:fill="F2F2F2"/>
                  <w:tcMar>
                    <w:top w:w="0" w:type="dxa"/>
                    <w:bottom w:w="40" w:type="dxa"/>
                    <w:left w:w="20" w:type="dxa"/>
                    <w:right w:w="20" w:type="dxa"/>
                  </w:tcMar>
                </w:tcPr>
                <w:p>
                  <w:pPr>
                    <w:jc w:val="center"/>
                  </w:pPr>
                  <w:r>
                    <w:rPr>
                      <w:color w:val="404040"/>
                      <w:sz w:val="32"/>
                    </w:rPr>
                    <w:t>PII classes</w:t>
                  </w:r>
                </w:p>
              </w:tc>
              <w:tc>
                <w:tcPr>
                  <w:tcW w:type="dxa" w:w="5216"/>
                  <w:shd w:fill="F2F2F2"/>
                  <w:tcMar>
                    <w:top w:w="0" w:type="dxa"/>
                    <w:bottom w:w="40" w:type="dxa"/>
                    <w:left w:w="20" w:type="dxa"/>
                    <w:right w:w="20" w:type="dxa"/>
                  </w:tcMar>
                </w:tcPr>
                <w:p>
                  <w:pPr>
                    <w:jc w:val="center"/>
                  </w:pPr>
                  <w:r>
                    <w:rPr>
                      <w:color w:val="404040"/>
                      <w:sz w:val="32"/>
                    </w:rPr>
                    <w:t>Languages</w:t>
                  </w:r>
                </w:p>
              </w:tc>
            </w:tr>
          </w:tbl>
          <w:p/>
          <w:p>
            <w:pPr>
              <w:spacing w:before="160" w:after="40" w:line="252" w:lineRule="auto"/>
            </w:pPr>
            <w:r>
              <w:rPr>
                <w:rFonts w:ascii="Calibri Light" w:hAnsi="Calibri Light"/>
                <w:b/>
                <w:color w:val="1F3864"/>
                <w:sz w:val="72"/>
              </w:rPr>
              <w:t>Label Distribution</w:t>
            </w:r>
          </w:p>
          <w:tbl>
            <w:tblPr>
              <w:tblW w:type="auto" w:w="0"/>
              <w:tblLayout w:type="fixed"/>
              <w:tblLook w:firstColumn="1" w:firstRow="1" w:lastColumn="0" w:lastRow="0" w:noHBand="0" w:noVBand="1" w:val="04A0"/>
              <w:tblBorders>
                <w:top w:val="none"/>
                <w:bottom w:val="none"/>
                <w:left w:val="none"/>
                <w:right w:val="none"/>
                <w:insideH w:val="none"/>
                <w:insideV w:val="none"/>
              </w:tblBorders>
            </w:tblPr>
            <w:tblGrid>
              <w:gridCol w:w="10318"/>
              <w:gridCol w:w="10318"/>
            </w:tblGrid>
            <w:tr>
              <w:tc>
                <w:tcPr>
                  <w:tcW w:type="dxa" w:w="10318"/>
                  <w:tcMar>
                    <w:top w:w="0" w:type="dxa"/>
                    <w:bottom w:w="0" w:type="dxa"/>
                    <w:left w:w="0" w:type="dxa"/>
                    <w:right w:w="40" w:type="dxa"/>
                  </w:tcMar>
                </w:tcPr>
                <w:p/>
                <w:p>
                  <w:pPr>
                    <w:spacing w:before="40" w:after="40"/>
                    <w:jc w:val="center"/>
                  </w:pPr>
                  <w:r>
                    <w:drawing>
                      <wp:inline xmlns:a="http://schemas.openxmlformats.org/drawingml/2006/main" xmlns:pic="http://schemas.openxmlformats.org/drawingml/2006/picture">
                        <wp:extent cx="6408000" cy="5340000"/>
                        <wp:docPr id="4" name="Picture 4"/>
                        <wp:cNvGraphicFramePr>
                          <a:graphicFrameLocks noChangeAspect="1"/>
                        </wp:cNvGraphicFramePr>
                        <a:graphic>
                          <a:graphicData uri="http://schemas.openxmlformats.org/drawingml/2006/picture">
                            <pic:pic>
                              <pic:nvPicPr>
                                <pic:cNvPr id="0" name="fig1_label_distribution.png"/>
                                <pic:cNvPicPr/>
                              </pic:nvPicPr>
                              <pic:blipFill>
                                <a:blip r:embed="rId12"/>
                                <a:stretch>
                                  <a:fillRect/>
                                </a:stretch>
                              </pic:blipFill>
                              <pic:spPr>
                                <a:xfrm>
                                  <a:off x="0" y="0"/>
                                  <a:ext cx="6408000" cy="5340000"/>
                                </a:xfrm>
                                <a:prstGeom prst="rect"/>
                              </pic:spPr>
                            </pic:pic>
                          </a:graphicData>
                        </a:graphic>
                      </wp:inline>
                    </w:drawing>
                  </w:r>
                </w:p>
                <w:p>
                  <w:pPr>
                    <w:spacing w:before="40" w:after="120" w:line="252" w:lineRule="auto"/>
                    <w:jc w:val="center"/>
                  </w:pPr>
                  <w:r>
                    <w:rPr>
                      <w:rFonts w:ascii="Calibri Light" w:hAnsi="Calibri Light"/>
                      <w:i/>
                      <w:color w:val="595959"/>
                      <w:sz w:val="36"/>
                    </w:rPr>
                    <w:t>Figure 3. PII entity distribution across top 25 labels, colour-coded by viability tier.</w:t>
                  </w:r>
                </w:p>
              </w:tc>
              <w:tc>
                <w:tcPr>
                  <w:tcW w:type="dxa" w:w="10318"/>
                  <w:tcMar>
                    <w:top w:w="0" w:type="dxa"/>
                    <w:bottom w:w="0" w:type="dxa"/>
                    <w:left w:w="40" w:type="dxa"/>
                    <w:right w:w="0" w:type="dxa"/>
                  </w:tcMar>
                </w:tcPr>
                <w:p/>
                <w:p>
                  <w:pPr>
                    <w:spacing w:before="40" w:after="40"/>
                    <w:jc w:val="center"/>
                  </w:pPr>
                  <w:r>
                    <w:drawing>
                      <wp:inline xmlns:a="http://schemas.openxmlformats.org/drawingml/2006/main" xmlns:pic="http://schemas.openxmlformats.org/drawingml/2006/picture">
                        <wp:extent cx="6408000" cy="5874000"/>
                        <wp:docPr id="5" name="Picture 5"/>
                        <wp:cNvGraphicFramePr>
                          <a:graphicFrameLocks noChangeAspect="1"/>
                        </wp:cNvGraphicFramePr>
                        <a:graphic>
                          <a:graphicData uri="http://schemas.openxmlformats.org/drawingml/2006/picture">
                            <pic:pic>
                              <pic:nvPicPr>
                                <pic:cNvPr id="0" name="fig2_label_log.png"/>
                                <pic:cNvPicPr/>
                              </pic:nvPicPr>
                              <pic:blipFill>
                                <a:blip r:embed="rId13"/>
                                <a:stretch>
                                  <a:fillRect/>
                                </a:stretch>
                              </pic:blipFill>
                              <pic:spPr>
                                <a:xfrm>
                                  <a:off x="0" y="0"/>
                                  <a:ext cx="6408000" cy="5874000"/>
                                </a:xfrm>
                                <a:prstGeom prst="rect"/>
                              </pic:spPr>
                            </pic:pic>
                          </a:graphicData>
                        </a:graphic>
                      </wp:inline>
                    </w:drawing>
                  </w:r>
                </w:p>
                <w:p>
                  <w:pPr>
                    <w:spacing w:before="40" w:after="120" w:line="252" w:lineRule="auto"/>
                    <w:jc w:val="center"/>
                  </w:pPr>
                  <w:r>
                    <w:rPr>
                      <w:rFonts w:ascii="Calibri Light" w:hAnsi="Calibri Light"/>
                      <w:i/>
                      <w:color w:val="595959"/>
                      <w:sz w:val="36"/>
                    </w:rPr>
                    <w:t>Figure 4. Complete 43-label taxonomy (log scale).</w:t>
                  </w:r>
                </w:p>
              </w:tc>
            </w:tr>
          </w:tbl>
          <w:p/>
          <w:p>
            <w:pPr>
              <w:spacing w:before="160" w:after="40" w:line="252" w:lineRule="auto"/>
            </w:pPr>
            <w:r>
              <w:rPr>
                <w:rFonts w:ascii="Calibri Light" w:hAnsi="Calibri Light"/>
                <w:b/>
                <w:color w:val="1F3864"/>
                <w:sz w:val="72"/>
              </w:rPr>
              <w:t>Class Viability</w:t>
            </w:r>
          </w:p>
          <w:p>
            <w:pPr>
              <w:spacing w:before="0" w:after="80" w:line="276" w:lineRule="auto"/>
            </w:pPr>
            <w:r>
              <w:rPr>
                <w:rFonts w:ascii="Calibri Light" w:hAnsi="Calibri Light"/>
                <w:color w:val="262626"/>
                <w:sz w:val="44"/>
              </w:rPr>
              <w:t>Only 20 of 43 discovered labels are viable for supervised training. 4 are marginal; 19 are unviable (&lt;100 corpus annotations, down to single occurrences). The unviable labels are handled by deterministic regex in Poco.</w:t>
            </w:r>
          </w:p>
          <w:p>
            <w:pPr>
              <w:spacing w:before="160" w:after="40" w:line="252" w:lineRule="auto"/>
            </w:pPr>
            <w:r>
              <w:rPr>
                <w:rFonts w:ascii="Calibri Light" w:hAnsi="Calibri Light"/>
                <w:b/>
                <w:color w:val="1F3864"/>
                <w:sz w:val="72"/>
              </w:rPr>
              <w:t>Language Coverage</w:t>
            </w:r>
          </w:p>
          <w:tbl>
            <w:tblPr>
              <w:tblW w:type="auto" w:w="0"/>
              <w:tblLayout w:type="fixed"/>
              <w:tblLook w:firstColumn="1" w:firstRow="1" w:lastColumn="0" w:lastRow="0" w:noHBand="0" w:noVBand="1" w:val="04A0"/>
              <w:tblBorders>
                <w:top w:val="none"/>
                <w:bottom w:val="none"/>
                <w:left w:val="none"/>
                <w:right w:val="none"/>
                <w:insideH w:val="none"/>
                <w:insideV w:val="none"/>
              </w:tblBorders>
            </w:tblPr>
            <w:tblGrid>
              <w:gridCol w:w="10318"/>
              <w:gridCol w:w="10318"/>
            </w:tblGrid>
            <w:tr>
              <w:tc>
                <w:tcPr>
                  <w:tcW w:type="dxa" w:w="10318"/>
                  <w:tcMar>
                    <w:top w:w="0" w:type="dxa"/>
                    <w:bottom w:w="0" w:type="dxa"/>
                    <w:left w:w="0" w:type="dxa"/>
                    <w:right w:w="40" w:type="dxa"/>
                  </w:tcMar>
                </w:tcPr>
                <w:p/>
                <w:p>
                  <w:pPr>
                    <w:spacing w:before="40" w:after="40"/>
                    <w:jc w:val="center"/>
                  </w:pPr>
                  <w:r>
                    <w:drawing>
                      <wp:inline xmlns:a="http://schemas.openxmlformats.org/drawingml/2006/main" xmlns:pic="http://schemas.openxmlformats.org/drawingml/2006/picture">
                        <wp:extent cx="6408000" cy="3495273"/>
                        <wp:docPr id="6" name="Picture 6"/>
                        <wp:cNvGraphicFramePr>
                          <a:graphicFrameLocks noChangeAspect="1"/>
                        </wp:cNvGraphicFramePr>
                        <a:graphic>
                          <a:graphicData uri="http://schemas.openxmlformats.org/drawingml/2006/picture">
                            <pic:pic>
                              <pic:nvPicPr>
                                <pic:cNvPr id="0" name="fig3_languages.png"/>
                                <pic:cNvPicPr/>
                              </pic:nvPicPr>
                              <pic:blipFill>
                                <a:blip r:embed="rId14"/>
                                <a:stretch>
                                  <a:fillRect/>
                                </a:stretch>
                              </pic:blipFill>
                              <pic:spPr>
                                <a:xfrm>
                                  <a:off x="0" y="0"/>
                                  <a:ext cx="6408000" cy="3495273"/>
                                </a:xfrm>
                                <a:prstGeom prst="rect"/>
                              </pic:spPr>
                            </pic:pic>
                          </a:graphicData>
                        </a:graphic>
                      </wp:inline>
                    </w:drawing>
                  </w:r>
                </w:p>
                <w:p>
                  <w:pPr>
                    <w:spacing w:before="40" w:after="120" w:line="252" w:lineRule="auto"/>
                    <w:jc w:val="center"/>
                  </w:pPr>
                  <w:r>
                    <w:rPr>
                      <w:rFonts w:ascii="Calibri Light" w:hAnsi="Calibri Light"/>
                      <w:i/>
                      <w:color w:val="595959"/>
                      <w:sz w:val="36"/>
                    </w:rPr>
                    <w:t>Figure 5. Full-corpus language representation across 30 languages.</w:t>
                  </w:r>
                </w:p>
              </w:tc>
              <w:tc>
                <w:tcPr>
                  <w:tcW w:type="dxa" w:w="10318"/>
                  <w:tcMar>
                    <w:top w:w="0" w:type="dxa"/>
                    <w:bottom w:w="0" w:type="dxa"/>
                    <w:left w:w="40" w:type="dxa"/>
                    <w:right w:w="0" w:type="dxa"/>
                  </w:tcMar>
                </w:tcPr>
                <w:p/>
                <w:p>
                  <w:pPr>
                    <w:spacing w:before="40" w:after="40"/>
                    <w:jc w:val="center"/>
                  </w:pPr>
                  <w:r>
                    <w:drawing>
                      <wp:inline xmlns:a="http://schemas.openxmlformats.org/drawingml/2006/main" xmlns:pic="http://schemas.openxmlformats.org/drawingml/2006/picture">
                        <wp:extent cx="6408000" cy="3738000"/>
                        <wp:docPr id="7" name="Picture 7"/>
                        <wp:cNvGraphicFramePr>
                          <a:graphicFrameLocks noChangeAspect="1"/>
                        </wp:cNvGraphicFramePr>
                        <a:graphic>
                          <a:graphicData uri="http://schemas.openxmlformats.org/drawingml/2006/picture">
                            <pic:pic>
                              <pic:nvPicPr>
                                <pic:cNvPr id="0" name="fig4_region_lang.png"/>
                                <pic:cNvPicPr/>
                              </pic:nvPicPr>
                              <pic:blipFill>
                                <a:blip r:embed="rId15"/>
                                <a:stretch>
                                  <a:fillRect/>
                                </a:stretch>
                              </pic:blipFill>
                              <pic:spPr>
                                <a:xfrm>
                                  <a:off x="0" y="0"/>
                                  <a:ext cx="6408000" cy="3738000"/>
                                </a:xfrm>
                                <a:prstGeom prst="rect"/>
                              </pic:spPr>
                            </pic:pic>
                          </a:graphicData>
                        </a:graphic>
                      </wp:inline>
                    </w:drawing>
                  </w:r>
                </w:p>
                <w:p>
                  <w:pPr>
                    <w:spacing w:before="40" w:after="120" w:line="252" w:lineRule="auto"/>
                    <w:jc w:val="center"/>
                  </w:pPr>
                  <w:r>
                    <w:rPr>
                      <w:rFonts w:ascii="Calibri Light" w:hAnsi="Calibri Light"/>
                      <w:i/>
                      <w:color w:val="595959"/>
                      <w:sz w:val="36"/>
                    </w:rPr>
                    <w:t>Figure 6. Region × language coverage map.</w:t>
                  </w:r>
                </w:p>
              </w:tc>
            </w:tr>
          </w:tbl>
          <w:p/>
          <w:p>
            <w:pPr>
              <w:spacing w:before="160" w:after="40" w:line="252" w:lineRule="auto"/>
            </w:pPr>
            <w:r>
              <w:rPr>
                <w:rFonts w:ascii="Calibri Light" w:hAnsi="Calibri Light"/>
                <w:b/>
                <w:color w:val="1F3864"/>
                <w:sz w:val="72"/>
              </w:rPr>
              <w:t>Document Lengths</w:t>
            </w:r>
          </w:p>
          <w:tbl>
            <w:tblPr>
              <w:tblW w:type="auto" w:w="0"/>
              <w:tblLayout w:type="fixed"/>
              <w:tblLook w:firstColumn="1" w:firstRow="1" w:lastColumn="0" w:lastRow="0" w:noHBand="0" w:noVBand="1" w:val="04A0"/>
              <w:tblBorders>
                <w:top w:val="none"/>
                <w:bottom w:val="none"/>
                <w:left w:val="none"/>
                <w:right w:val="none"/>
                <w:insideH w:val="none"/>
                <w:insideV w:val="none"/>
              </w:tblBorders>
            </w:tblPr>
            <w:tblGrid>
              <w:gridCol w:w="10318"/>
              <w:gridCol w:w="10318"/>
            </w:tblGrid>
            <w:tr>
              <w:tc>
                <w:tcPr>
                  <w:tcW w:type="dxa" w:w="10318"/>
                  <w:tcMar>
                    <w:top w:w="0" w:type="dxa"/>
                    <w:bottom w:w="0" w:type="dxa"/>
                    <w:left w:w="0" w:type="dxa"/>
                    <w:right w:w="40" w:type="dxa"/>
                  </w:tcMar>
                </w:tcPr>
                <w:p/>
                <w:p>
                  <w:pPr>
                    <w:spacing w:before="40" w:after="40"/>
                    <w:jc w:val="center"/>
                  </w:pPr>
                  <w:r>
                    <w:drawing>
                      <wp:inline xmlns:a="http://schemas.openxmlformats.org/drawingml/2006/main" xmlns:pic="http://schemas.openxmlformats.org/drawingml/2006/picture">
                        <wp:extent cx="6408000" cy="3204000"/>
                        <wp:docPr id="8" name="Picture 8"/>
                        <wp:cNvGraphicFramePr>
                          <a:graphicFrameLocks noChangeAspect="1"/>
                        </wp:cNvGraphicFramePr>
                        <a:graphic>
                          <a:graphicData uri="http://schemas.openxmlformats.org/drawingml/2006/picture">
                            <pic:pic>
                              <pic:nvPicPr>
                                <pic:cNvPr id="0" name="fig5_entities_per_example.png"/>
                                <pic:cNvPicPr/>
                              </pic:nvPicPr>
                              <pic:blipFill>
                                <a:blip r:embed="rId16"/>
                                <a:stretch>
                                  <a:fillRect/>
                                </a:stretch>
                              </pic:blipFill>
                              <pic:spPr>
                                <a:xfrm>
                                  <a:off x="0" y="0"/>
                                  <a:ext cx="6408000" cy="3204000"/>
                                </a:xfrm>
                                <a:prstGeom prst="rect"/>
                              </pic:spPr>
                            </pic:pic>
                          </a:graphicData>
                        </a:graphic>
                      </wp:inline>
                    </w:drawing>
                  </w:r>
                </w:p>
                <w:p>
                  <w:pPr>
                    <w:spacing w:before="40" w:after="120" w:line="252" w:lineRule="auto"/>
                    <w:jc w:val="center"/>
                  </w:pPr>
                  <w:r>
                    <w:rPr>
                      <w:rFonts w:ascii="Calibri Light" w:hAnsi="Calibri Light"/>
                      <w:i/>
                      <w:color w:val="595959"/>
                      <w:sz w:val="36"/>
                    </w:rPr>
                    <w:t>Figure 7. PII entities per document distribution.</w:t>
                  </w:r>
                </w:p>
              </w:tc>
              <w:tc>
                <w:tcPr>
                  <w:tcW w:type="dxa" w:w="10318"/>
                  <w:tcMar>
                    <w:top w:w="0" w:type="dxa"/>
                    <w:bottom w:w="0" w:type="dxa"/>
                    <w:left w:w="40" w:type="dxa"/>
                    <w:right w:w="0" w:type="dxa"/>
                  </w:tcMar>
                </w:tcPr>
                <w:p/>
                <w:p>
                  <w:pPr>
                    <w:spacing w:before="40" w:after="40"/>
                    <w:jc w:val="center"/>
                  </w:pPr>
                  <w:r>
                    <w:drawing>
                      <wp:inline xmlns:a="http://schemas.openxmlformats.org/drawingml/2006/main" xmlns:pic="http://schemas.openxmlformats.org/drawingml/2006/picture">
                        <wp:extent cx="6408000" cy="3204000"/>
                        <wp:docPr id="9" name="Picture 9"/>
                        <wp:cNvGraphicFramePr>
                          <a:graphicFrameLocks noChangeAspect="1"/>
                        </wp:cNvGraphicFramePr>
                        <a:graphic>
                          <a:graphicData uri="http://schemas.openxmlformats.org/drawingml/2006/picture">
                            <pic:pic>
                              <pic:nvPicPr>
                                <pic:cNvPr id="0" name="fig7_token_lengths.png"/>
                                <pic:cNvPicPr/>
                              </pic:nvPicPr>
                              <pic:blipFill>
                                <a:blip r:embed="rId17"/>
                                <a:stretch>
                                  <a:fillRect/>
                                </a:stretch>
                              </pic:blipFill>
                              <pic:spPr>
                                <a:xfrm>
                                  <a:off x="0" y="0"/>
                                  <a:ext cx="6408000" cy="3204000"/>
                                </a:xfrm>
                                <a:prstGeom prst="rect"/>
                              </pic:spPr>
                            </pic:pic>
                          </a:graphicData>
                        </a:graphic>
                      </wp:inline>
                    </w:drawing>
                  </w:r>
                </w:p>
                <w:p>
                  <w:pPr>
                    <w:spacing w:before="40" w:after="120" w:line="252" w:lineRule="auto"/>
                    <w:jc w:val="center"/>
                  </w:pPr>
                  <w:r>
                    <w:rPr>
                      <w:rFonts w:ascii="Calibri Light" w:hAnsi="Calibri Light"/>
                      <w:i/>
                      <w:color w:val="595959"/>
                      <w:sz w:val="36"/>
                    </w:rPr>
                    <w:t>Figure 8. mBERT token length distribution with 512-token ceiling.</w:t>
                  </w:r>
                </w:p>
              </w:tc>
            </w:tr>
          </w:tbl>
          <w:p/>
          <w:p>
            <w:pPr>
              <w:spacing w:before="160" w:after="40" w:line="252" w:lineRule="auto"/>
            </w:pPr>
            <w:r>
              <w:rPr>
                <w:rFonts w:ascii="Calibri Light" w:hAnsi="Calibri Light"/>
                <w:b/>
                <w:color w:val="1F3864"/>
                <w:sz w:val="72"/>
              </w:rPr>
              <w:t>Entity Characteristics</w:t>
            </w:r>
          </w:p>
          <w:tbl>
            <w:tblPr>
              <w:tblW w:type="auto" w:w="0"/>
              <w:tblLayout w:type="fixed"/>
              <w:tblLook w:firstColumn="1" w:firstRow="1" w:lastColumn="0" w:lastRow="0" w:noHBand="0" w:noVBand="1" w:val="04A0"/>
              <w:tblBorders>
                <w:top w:val="none"/>
                <w:bottom w:val="none"/>
                <w:left w:val="none"/>
                <w:right w:val="none"/>
                <w:insideH w:val="none"/>
                <w:insideV w:val="none"/>
              </w:tblBorders>
            </w:tblPr>
            <w:tblGrid>
              <w:gridCol w:w="10318"/>
              <w:gridCol w:w="10318"/>
            </w:tblGrid>
            <w:tr>
              <w:tc>
                <w:tcPr>
                  <w:tcW w:type="dxa" w:w="10318"/>
                  <w:tcMar>
                    <w:top w:w="0" w:type="dxa"/>
                    <w:bottom w:w="0" w:type="dxa"/>
                    <w:left w:w="0" w:type="dxa"/>
                    <w:right w:w="40" w:type="dxa"/>
                  </w:tcMar>
                </w:tcPr>
                <w:p/>
                <w:p>
                  <w:pPr>
                    <w:spacing w:before="40" w:after="40"/>
                    <w:jc w:val="center"/>
                  </w:pPr>
                  <w:r>
                    <w:drawing>
                      <wp:inline xmlns:a="http://schemas.openxmlformats.org/drawingml/2006/main" xmlns:pic="http://schemas.openxmlformats.org/drawingml/2006/picture">
                        <wp:extent cx="6408000" cy="4077818"/>
                        <wp:docPr id="10" name="Picture 10"/>
                        <wp:cNvGraphicFramePr>
                          <a:graphicFrameLocks noChangeAspect="1"/>
                        </wp:cNvGraphicFramePr>
                        <a:graphic>
                          <a:graphicData uri="http://schemas.openxmlformats.org/drawingml/2006/picture">
                            <pic:pic>
                              <pic:nvPicPr>
                                <pic:cNvPr id="0" name="fig8_span_lengths.png"/>
                                <pic:cNvPicPr/>
                              </pic:nvPicPr>
                              <pic:blipFill>
                                <a:blip r:embed="rId18"/>
                                <a:stretch>
                                  <a:fillRect/>
                                </a:stretch>
                              </pic:blipFill>
                              <pic:spPr>
                                <a:xfrm>
                                  <a:off x="0" y="0"/>
                                  <a:ext cx="6408000" cy="4077818"/>
                                </a:xfrm>
                                <a:prstGeom prst="rect"/>
                              </pic:spPr>
                            </pic:pic>
                          </a:graphicData>
                        </a:graphic>
                      </wp:inline>
                    </w:drawing>
                  </w:r>
                </w:p>
                <w:p>
                  <w:pPr>
                    <w:spacing w:before="40" w:after="120" w:line="252" w:lineRule="auto"/>
                    <w:jc w:val="center"/>
                  </w:pPr>
                  <w:r>
                    <w:rPr>
                      <w:rFonts w:ascii="Calibri Light" w:hAnsi="Calibri Light"/>
                      <w:i/>
                      <w:color w:val="595959"/>
                      <w:sz w:val="36"/>
                    </w:rPr>
                    <w:t>Figure 9. Average word span length by entity class.</w:t>
                  </w:r>
                </w:p>
              </w:tc>
              <w:tc>
                <w:tcPr>
                  <w:tcW w:type="dxa" w:w="10318"/>
                  <w:tcMar>
                    <w:top w:w="0" w:type="dxa"/>
                    <w:bottom w:w="0" w:type="dxa"/>
                    <w:left w:w="40" w:type="dxa"/>
                    <w:right w:w="0" w:type="dxa"/>
                  </w:tcMar>
                </w:tcPr>
                <w:p/>
                <w:p>
                  <w:pPr>
                    <w:spacing w:before="40" w:after="40"/>
                    <w:jc w:val="center"/>
                  </w:pPr>
                  <w:r>
                    <w:drawing>
                      <wp:inline xmlns:a="http://schemas.openxmlformats.org/drawingml/2006/main" xmlns:pic="http://schemas.openxmlformats.org/drawingml/2006/picture">
                        <wp:extent cx="6408000" cy="5034857"/>
                        <wp:docPr id="11" name="Picture 11"/>
                        <wp:cNvGraphicFramePr>
                          <a:graphicFrameLocks noChangeAspect="1"/>
                        </wp:cNvGraphicFramePr>
                        <a:graphic>
                          <a:graphicData uri="http://schemas.openxmlformats.org/drawingml/2006/picture">
                            <pic:pic>
                              <pic:nvPicPr>
                                <pic:cNvPr id="0" name="fig6_cooccurrence.png"/>
                                <pic:cNvPicPr/>
                              </pic:nvPicPr>
                              <pic:blipFill>
                                <a:blip r:embed="rId19"/>
                                <a:stretch>
                                  <a:fillRect/>
                                </a:stretch>
                              </pic:blipFill>
                              <pic:spPr>
                                <a:xfrm>
                                  <a:off x="0" y="0"/>
                                  <a:ext cx="6408000" cy="5034857"/>
                                </a:xfrm>
                                <a:prstGeom prst="rect"/>
                              </pic:spPr>
                            </pic:pic>
                          </a:graphicData>
                        </a:graphic>
                      </wp:inline>
                    </w:drawing>
                  </w:r>
                </w:p>
                <w:p>
                  <w:pPr>
                    <w:spacing w:before="40" w:after="120" w:line="252" w:lineRule="auto"/>
                    <w:jc w:val="center"/>
                  </w:pPr>
                  <w:r>
                    <w:rPr>
                      <w:rFonts w:ascii="Calibri Light" w:hAnsi="Calibri Light"/>
                      <w:i/>
                      <w:color w:val="595959"/>
                      <w:sz w:val="36"/>
                    </w:rPr>
                    <w:t>Figure 10. Entity co-occurrence matrix (log scale).</w:t>
                  </w:r>
                </w:p>
              </w:tc>
            </w:tr>
          </w:tbl>
          <w:p/>
        </w:tc>
        <w:tc>
          <w:tcPr>
            <w:tcW w:type="dxa" w:w="22620"/>
            <w:tcMar>
              <w:top w:w="100" w:type="dxa"/>
              <w:bottom w:w="100" w:type="dxa"/>
              <w:left w:w="140" w:type="dxa"/>
              <w:right w:w="60" w:type="dxa"/>
            </w:tcMar>
          </w:tcPr>
          <w:p/>
          <w:p>
            <w:pPr>
              <w:spacing w:before="80" w:after="40" w:line="252" w:lineRule="auto"/>
            </w:pPr>
            <w:r>
              <w:rPr>
                <w:rFonts w:ascii="Calibri Light" w:hAnsi="Calibri Light"/>
                <w:b/>
                <w:color w:val="1F3864"/>
                <w:sz w:val="72"/>
              </w:rPr>
              <w:t>Per-Language Composition</w:t>
            </w:r>
          </w:p>
          <w:p>
            <w:pPr>
              <w:spacing w:before="40" w:after="40"/>
              <w:jc w:val="center"/>
            </w:pPr>
            <w:r>
              <w:drawing>
                <wp:inline xmlns:a="http://schemas.openxmlformats.org/drawingml/2006/main" xmlns:pic="http://schemas.openxmlformats.org/drawingml/2006/picture">
                  <wp:extent cx="13320000" cy="7265455"/>
                  <wp:docPr id="12" name="Picture 12"/>
                  <wp:cNvGraphicFramePr>
                    <a:graphicFrameLocks noChangeAspect="1"/>
                  </wp:cNvGraphicFramePr>
                  <a:graphic>
                    <a:graphicData uri="http://schemas.openxmlformats.org/drawingml/2006/picture">
                      <pic:pic>
                        <pic:nvPicPr>
                          <pic:cNvPr id="0" name="fig9_language_entity_composition.png"/>
                          <pic:cNvPicPr/>
                        </pic:nvPicPr>
                        <pic:blipFill>
                          <a:blip r:embed="rId20"/>
                          <a:stretch>
                            <a:fillRect/>
                          </a:stretch>
                        </pic:blipFill>
                        <pic:spPr>
                          <a:xfrm>
                            <a:off x="0" y="0"/>
                            <a:ext cx="13320000" cy="7265455"/>
                          </a:xfrm>
                          <a:prstGeom prst="rect"/>
                        </pic:spPr>
                      </pic:pic>
                    </a:graphicData>
                  </a:graphic>
                </wp:inline>
              </w:drawing>
            </w:r>
          </w:p>
          <w:p>
            <w:pPr>
              <w:spacing w:before="40" w:after="120" w:line="252" w:lineRule="auto"/>
              <w:jc w:val="center"/>
            </w:pPr>
            <w:r>
              <w:rPr>
                <w:rFonts w:ascii="Calibri Light" w:hAnsi="Calibri Light"/>
                <w:i/>
                <w:color w:val="595959"/>
                <w:sz w:val="36"/>
              </w:rPr>
              <w:t>Figure 11. Per-language entity composition across 8 Asia-Pacific languages.</w:t>
            </w:r>
          </w:p>
          <w:p>
            <w:pPr>
              <w:spacing w:before="0" w:after="80" w:line="276" w:lineRule="auto"/>
            </w:pPr>
            <w:r>
              <w:rPr>
                <w:rFonts w:ascii="Calibri Light" w:hAnsi="Calibri Light"/>
                <w:color w:val="262626"/>
                <w:sz w:val="40"/>
              </w:rPr>
              <w:t>Chi-square p &lt; 10⁻³⁰⁰, but Cramér's V = 0.017 shows the effect is negligible — the generator produces uniform proportions.</w:t>
            </w:r>
          </w:p>
          <w:p>
            <w:pPr>
              <w:spacing w:before="120" w:after="40" w:line="252" w:lineRule="auto"/>
            </w:pPr>
            <w:r>
              <w:rPr>
                <w:rFonts w:ascii="Calibri Light" w:hAnsi="Calibri Light"/>
                <w:b/>
                <w:color w:val="1F3864"/>
                <w:sz w:val="72"/>
              </w:rPr>
              <w:t>Data Quality</w:t>
            </w:r>
          </w:p>
          <w:tbl>
            <w:tblPr>
              <w:tblW w:type="auto" w:w="0"/>
              <w:tblLayout w:type="fixed"/>
              <w:tblLook w:firstColumn="1" w:firstRow="1" w:lastColumn="0" w:lastRow="0" w:noHBand="0" w:noVBand="1" w:val="04A0"/>
              <w:tblBorders>
                <w:top w:val="none"/>
                <w:bottom w:val="none"/>
                <w:left w:val="none"/>
                <w:right w:val="none"/>
                <w:insideH w:val="none"/>
                <w:insideV w:val="none"/>
              </w:tblBorders>
            </w:tblPr>
            <w:tblGrid>
              <w:gridCol w:w="11310"/>
              <w:gridCol w:w="11310"/>
            </w:tblGrid>
            <w:tr>
              <w:tc>
                <w:tcPr>
                  <w:tcW w:type="dxa" w:w="10318"/>
                  <w:tcMar>
                    <w:top w:w="0" w:type="dxa"/>
                    <w:bottom w:w="0" w:type="dxa"/>
                    <w:left w:w="0" w:type="dxa"/>
                    <w:right w:w="30" w:type="dxa"/>
                  </w:tcMar>
                </w:tcPr>
                <w:p/>
                <w:p>
                  <w:pPr>
                    <w:spacing w:before="40" w:after="40"/>
                    <w:jc w:val="center"/>
                  </w:pPr>
                  <w:r>
                    <w:drawing>
                      <wp:inline xmlns:a="http://schemas.openxmlformats.org/drawingml/2006/main" xmlns:pic="http://schemas.openxmlformats.org/drawingml/2006/picture">
                        <wp:extent cx="6408000" cy="3417600"/>
                        <wp:docPr id="13" name="Picture 13"/>
                        <wp:cNvGraphicFramePr>
                          <a:graphicFrameLocks noChangeAspect="1"/>
                        </wp:cNvGraphicFramePr>
                        <a:graphic>
                          <a:graphicData uri="http://schemas.openxmlformats.org/drawingml/2006/picture">
                            <pic:pic>
                              <pic:nvPicPr>
                                <pic:cNvPr id="0" name="fig10_precleaning_boxplots.png"/>
                                <pic:cNvPicPr/>
                              </pic:nvPicPr>
                              <pic:blipFill>
                                <a:blip r:embed="rId21"/>
                                <a:stretch>
                                  <a:fillRect/>
                                </a:stretch>
                              </pic:blipFill>
                              <pic:spPr>
                                <a:xfrm>
                                  <a:off x="0" y="0"/>
                                  <a:ext cx="6408000" cy="3417600"/>
                                </a:xfrm>
                                <a:prstGeom prst="rect"/>
                              </pic:spPr>
                            </pic:pic>
                          </a:graphicData>
                        </a:graphic>
                      </wp:inline>
                    </w:drawing>
                  </w:r>
                </w:p>
                <w:p>
                  <w:pPr>
                    <w:spacing w:before="40" w:after="120" w:line="252" w:lineRule="auto"/>
                    <w:jc w:val="center"/>
                  </w:pPr>
                  <w:r>
                    <w:rPr>
                      <w:rFonts w:ascii="Calibri Light" w:hAnsi="Calibri Light"/>
                      <w:i/>
                      <w:color w:val="595959"/>
                      <w:sz w:val="36"/>
                    </w:rPr>
                    <w:t>Figure 12. Diagnostic boxplots of document lengths.</w:t>
                  </w:r>
                </w:p>
              </w:tc>
              <w:tc>
                <w:tcPr>
                  <w:tcW w:type="dxa" w:w="10318"/>
                  <w:tcMar>
                    <w:top w:w="0" w:type="dxa"/>
                    <w:bottom w:w="0" w:type="dxa"/>
                    <w:left w:w="30" w:type="dxa"/>
                    <w:right w:w="0" w:type="dxa"/>
                  </w:tcMar>
                </w:tcPr>
                <w:p/>
                <w:p>
                  <w:pPr>
                    <w:spacing w:before="40" w:after="40"/>
                    <w:jc w:val="center"/>
                  </w:pPr>
                  <w:r>
                    <w:drawing>
                      <wp:inline xmlns:a="http://schemas.openxmlformats.org/drawingml/2006/main" xmlns:pic="http://schemas.openxmlformats.org/drawingml/2006/picture">
                        <wp:extent cx="6408000" cy="3417600"/>
                        <wp:docPr id="14" name="Picture 14"/>
                        <wp:cNvGraphicFramePr>
                          <a:graphicFrameLocks noChangeAspect="1"/>
                        </wp:cNvGraphicFramePr>
                        <a:graphic>
                          <a:graphicData uri="http://schemas.openxmlformats.org/drawingml/2006/picture">
                            <pic:pic>
                              <pic:nvPicPr>
                                <pic:cNvPr id="0" name="fig11_precleaning_histograms.png"/>
                                <pic:cNvPicPr/>
                              </pic:nvPicPr>
                              <pic:blipFill>
                                <a:blip r:embed="rId22"/>
                                <a:stretch>
                                  <a:fillRect/>
                                </a:stretch>
                              </pic:blipFill>
                              <pic:spPr>
                                <a:xfrm>
                                  <a:off x="0" y="0"/>
                                  <a:ext cx="6408000" cy="3417600"/>
                                </a:xfrm>
                                <a:prstGeom prst="rect"/>
                              </pic:spPr>
                            </pic:pic>
                          </a:graphicData>
                        </a:graphic>
                      </wp:inline>
                    </w:drawing>
                  </w:r>
                </w:p>
                <w:p>
                  <w:pPr>
                    <w:spacing w:before="40" w:after="120" w:line="252" w:lineRule="auto"/>
                    <w:jc w:val="center"/>
                  </w:pPr>
                  <w:r>
                    <w:rPr>
                      <w:rFonts w:ascii="Calibri Light" w:hAnsi="Calibri Light"/>
                      <w:i/>
                      <w:color w:val="595959"/>
                      <w:sz w:val="36"/>
                    </w:rPr>
                    <w:t>Figure 13. Pre-cleaning distribution histograms.</w:t>
                  </w:r>
                </w:p>
              </w:tc>
            </w:tr>
            <w:tr>
              <w:tc>
                <w:tcPr>
                  <w:tcW w:type="dxa" w:w="10318"/>
                  <w:tcMar>
                    <w:top w:w="0" w:type="dxa"/>
                    <w:bottom w:w="0" w:type="dxa"/>
                    <w:left w:w="0" w:type="dxa"/>
                    <w:right w:w="30" w:type="dxa"/>
                  </w:tcMar>
                </w:tcPr>
                <w:p/>
                <w:p>
                  <w:pPr>
                    <w:spacing w:before="40" w:after="40"/>
                    <w:jc w:val="center"/>
                  </w:pPr>
                  <w:r>
                    <w:drawing>
                      <wp:inline xmlns:a="http://schemas.openxmlformats.org/drawingml/2006/main" xmlns:pic="http://schemas.openxmlformats.org/drawingml/2006/picture">
                        <wp:extent cx="6408000" cy="3417600"/>
                        <wp:docPr id="15" name="Picture 15"/>
                        <wp:cNvGraphicFramePr>
                          <a:graphicFrameLocks noChangeAspect="1"/>
                        </wp:cNvGraphicFramePr>
                        <a:graphic>
                          <a:graphicData uri="http://schemas.openxmlformats.org/drawingml/2006/picture">
                            <pic:pic>
                              <pic:nvPicPr>
                                <pic:cNvPr id="0" name="fig12_cleaned_boxplots.png"/>
                                <pic:cNvPicPr/>
                              </pic:nvPicPr>
                              <pic:blipFill>
                                <a:blip r:embed="rId23"/>
                                <a:stretch>
                                  <a:fillRect/>
                                </a:stretch>
                              </pic:blipFill>
                              <pic:spPr>
                                <a:xfrm>
                                  <a:off x="0" y="0"/>
                                  <a:ext cx="6408000" cy="3417600"/>
                                </a:xfrm>
                                <a:prstGeom prst="rect"/>
                              </pic:spPr>
                            </pic:pic>
                          </a:graphicData>
                        </a:graphic>
                      </wp:inline>
                    </w:drawing>
                  </w:r>
                </w:p>
                <w:p>
                  <w:pPr>
                    <w:spacing w:before="40" w:after="120" w:line="252" w:lineRule="auto"/>
                    <w:jc w:val="center"/>
                  </w:pPr>
                  <w:r>
                    <w:rPr>
                      <w:rFonts w:ascii="Calibri Light" w:hAnsi="Calibri Light"/>
                      <w:i/>
                      <w:color w:val="595959"/>
                      <w:sz w:val="36"/>
                    </w:rPr>
                    <w:t>Figure 14. Winsorised boxplots at P99.</w:t>
                  </w:r>
                </w:p>
              </w:tc>
              <w:tc>
                <w:tcPr>
                  <w:tcW w:type="dxa" w:w="10318"/>
                  <w:tcMar>
                    <w:top w:w="0" w:type="dxa"/>
                    <w:bottom w:w="0" w:type="dxa"/>
                    <w:left w:w="30" w:type="dxa"/>
                    <w:right w:w="0" w:type="dxa"/>
                  </w:tcMar>
                </w:tcPr>
                <w:p/>
                <w:p>
                  <w:pPr>
                    <w:spacing w:before="40" w:after="40"/>
                    <w:jc w:val="center"/>
                  </w:pPr>
                  <w:r>
                    <w:drawing>
                      <wp:inline xmlns:a="http://schemas.openxmlformats.org/drawingml/2006/main" xmlns:pic="http://schemas.openxmlformats.org/drawingml/2006/picture">
                        <wp:extent cx="6408000" cy="3417600"/>
                        <wp:docPr id="16" name="Picture 16"/>
                        <wp:cNvGraphicFramePr>
                          <a:graphicFrameLocks noChangeAspect="1"/>
                        </wp:cNvGraphicFramePr>
                        <a:graphic>
                          <a:graphicData uri="http://schemas.openxmlformats.org/drawingml/2006/picture">
                            <pic:pic>
                              <pic:nvPicPr>
                                <pic:cNvPr id="0" name="fig13_cleaned_histograms.png"/>
                                <pic:cNvPicPr/>
                              </pic:nvPicPr>
                              <pic:blipFill>
                                <a:blip r:embed="rId24"/>
                                <a:stretch>
                                  <a:fillRect/>
                                </a:stretch>
                              </pic:blipFill>
                              <pic:spPr>
                                <a:xfrm>
                                  <a:off x="0" y="0"/>
                                  <a:ext cx="6408000" cy="3417600"/>
                                </a:xfrm>
                                <a:prstGeom prst="rect"/>
                              </pic:spPr>
                            </pic:pic>
                          </a:graphicData>
                        </a:graphic>
                      </wp:inline>
                    </w:drawing>
                  </w:r>
                </w:p>
                <w:p>
                  <w:pPr>
                    <w:spacing w:before="40" w:after="120" w:line="252" w:lineRule="auto"/>
                    <w:jc w:val="center"/>
                  </w:pPr>
                  <w:r>
                    <w:rPr>
                      <w:rFonts w:ascii="Calibri Light" w:hAnsi="Calibri Light"/>
                      <w:i/>
                      <w:color w:val="595959"/>
                      <w:sz w:val="36"/>
                    </w:rPr>
                    <w:t>Figure 15. Cleaned distribution histograms.</w:t>
                  </w:r>
                </w:p>
              </w:tc>
            </w:tr>
          </w:tbl>
          <w:p/>
          <w:p>
            <w:pPr>
              <w:spacing w:before="120" w:after="40" w:line="252" w:lineRule="auto"/>
            </w:pPr>
            <w:r>
              <w:rPr>
                <w:rFonts w:ascii="Calibri Light" w:hAnsi="Calibri Light"/>
                <w:b/>
                <w:color w:val="1F3864"/>
                <w:sz w:val="72"/>
              </w:rPr>
              <w:t>Normalisation &amp; Correlation</w:t>
            </w:r>
          </w:p>
          <w:tbl>
            <w:tblPr>
              <w:tblW w:type="auto" w:w="0"/>
              <w:tblLayout w:type="fixed"/>
              <w:tblLook w:firstColumn="1" w:firstRow="1" w:lastColumn="0" w:lastRow="0" w:noHBand="0" w:noVBand="1" w:val="04A0"/>
              <w:tblBorders>
                <w:top w:val="none"/>
                <w:bottom w:val="none"/>
                <w:left w:val="none"/>
                <w:right w:val="none"/>
                <w:insideH w:val="none"/>
                <w:insideV w:val="none"/>
              </w:tblBorders>
            </w:tblPr>
            <w:tblGrid>
              <w:gridCol w:w="10318"/>
              <w:gridCol w:w="10318"/>
            </w:tblGrid>
            <w:tr>
              <w:tc>
                <w:tcPr>
                  <w:tcW w:type="dxa" w:w="10318"/>
                  <w:tcMar>
                    <w:top w:w="0" w:type="dxa"/>
                    <w:bottom w:w="0" w:type="dxa"/>
                    <w:left w:w="0" w:type="dxa"/>
                    <w:right w:w="30" w:type="dxa"/>
                  </w:tcMar>
                </w:tcPr>
                <w:p/>
                <w:p>
                  <w:pPr>
                    <w:spacing w:before="40" w:after="40"/>
                    <w:jc w:val="center"/>
                  </w:pPr>
                  <w:r>
                    <w:drawing>
                      <wp:inline xmlns:a="http://schemas.openxmlformats.org/drawingml/2006/main" xmlns:pic="http://schemas.openxmlformats.org/drawingml/2006/picture">
                        <wp:extent cx="6408000" cy="4436308"/>
                        <wp:docPr id="17" name="Picture 17"/>
                        <wp:cNvGraphicFramePr>
                          <a:graphicFrameLocks noChangeAspect="1"/>
                        </wp:cNvGraphicFramePr>
                        <a:graphic>
                          <a:graphicData uri="http://schemas.openxmlformats.org/drawingml/2006/picture">
                            <pic:pic>
                              <pic:nvPicPr>
                                <pic:cNvPr id="0" name="fig14_normalisation_comparison.png"/>
                                <pic:cNvPicPr/>
                              </pic:nvPicPr>
                              <pic:blipFill>
                                <a:blip r:embed="rId25"/>
                                <a:stretch>
                                  <a:fillRect/>
                                </a:stretch>
                              </pic:blipFill>
                              <pic:spPr>
                                <a:xfrm>
                                  <a:off x="0" y="0"/>
                                  <a:ext cx="6408000" cy="4436308"/>
                                </a:xfrm>
                                <a:prstGeom prst="rect"/>
                              </pic:spPr>
                            </pic:pic>
                          </a:graphicData>
                        </a:graphic>
                      </wp:inline>
                    </w:drawing>
                  </w:r>
                </w:p>
                <w:p>
                  <w:pPr>
                    <w:spacing w:before="40" w:after="120" w:line="252" w:lineRule="auto"/>
                    <w:jc w:val="center"/>
                  </w:pPr>
                  <w:r>
                    <w:rPr>
                      <w:rFonts w:ascii="Calibri Light" w:hAnsi="Calibri Light"/>
                      <w:i/>
                      <w:color w:val="595959"/>
                      <w:sz w:val="36"/>
                    </w:rPr>
                    <w:t>Figure 16. Raw vs MinMax vs Z-score vs Log1p transform.</w:t>
                  </w:r>
                </w:p>
              </w:tc>
              <w:tc>
                <w:tcPr>
                  <w:tcW w:type="dxa" w:w="10318"/>
                  <w:tcMar>
                    <w:top w:w="0" w:type="dxa"/>
                    <w:bottom w:w="0" w:type="dxa"/>
                    <w:left w:w="30" w:type="dxa"/>
                    <w:right w:w="0" w:type="dxa"/>
                  </w:tcMar>
                </w:tcPr>
                <w:p/>
                <w:p>
                  <w:pPr>
                    <w:spacing w:before="40" w:after="40"/>
                    <w:jc w:val="center"/>
                  </w:pPr>
                  <w:r>
                    <w:drawing>
                      <wp:inline xmlns:a="http://schemas.openxmlformats.org/drawingml/2006/main" xmlns:pic="http://schemas.openxmlformats.org/drawingml/2006/picture">
                        <wp:extent cx="6408000" cy="5242909"/>
                        <wp:docPr id="18" name="Picture 18"/>
                        <wp:cNvGraphicFramePr>
                          <a:graphicFrameLocks noChangeAspect="1"/>
                        </wp:cNvGraphicFramePr>
                        <a:graphic>
                          <a:graphicData uri="http://schemas.openxmlformats.org/drawingml/2006/picture">
                            <pic:pic>
                              <pic:nvPicPr>
                                <pic:cNvPr id="0" name="fig15_correlation_heatmap.png"/>
                                <pic:cNvPicPr/>
                              </pic:nvPicPr>
                              <pic:blipFill>
                                <a:blip r:embed="rId26"/>
                                <a:stretch>
                                  <a:fillRect/>
                                </a:stretch>
                              </pic:blipFill>
                              <pic:spPr>
                                <a:xfrm>
                                  <a:off x="0" y="0"/>
                                  <a:ext cx="6408000" cy="5242909"/>
                                </a:xfrm>
                                <a:prstGeom prst="rect"/>
                              </pic:spPr>
                            </pic:pic>
                          </a:graphicData>
                        </a:graphic>
                      </wp:inline>
                    </w:drawing>
                  </w:r>
                </w:p>
                <w:p>
                  <w:pPr>
                    <w:spacing w:before="40" w:after="120" w:line="252" w:lineRule="auto"/>
                    <w:jc w:val="center"/>
                  </w:pPr>
                  <w:r>
                    <w:rPr>
                      <w:rFonts w:ascii="Calibri Light" w:hAnsi="Calibri Light"/>
                      <w:i/>
                      <w:color w:val="595959"/>
                      <w:sz w:val="36"/>
                    </w:rPr>
                    <w:t>Figure 17. Multivariate Pearson correlation matrix.</w:t>
                  </w:r>
                </w:p>
              </w:tc>
            </w:tr>
          </w:tbl>
          <w:p/>
          <w:tbl>
            <w:tblPr>
              <w:tblW w:type="auto" w:w="0"/>
              <w:tblLayout w:type="fixed"/>
              <w:tblLook w:firstColumn="1" w:firstRow="1" w:lastColumn="0" w:lastRow="0" w:noHBand="0" w:noVBand="1" w:val="04A0"/>
              <w:tblBorders>
                <w:top w:val="none"/>
                <w:bottom w:val="none"/>
                <w:left w:val="none"/>
                <w:right w:val="none"/>
                <w:insideH w:val="none"/>
                <w:insideV w:val="none"/>
              </w:tblBorders>
            </w:tblPr>
            <w:tblGrid>
              <w:gridCol w:w="10318"/>
              <w:gridCol w:w="10318"/>
            </w:tblGrid>
            <w:tr>
              <w:tc>
                <w:tcPr>
                  <w:tcW w:type="dxa" w:w="10318"/>
                  <w:tcMar>
                    <w:top w:w="0" w:type="dxa"/>
                    <w:bottom w:w="0" w:type="dxa"/>
                    <w:left w:w="0" w:type="dxa"/>
                    <w:right w:w="30" w:type="dxa"/>
                  </w:tcMar>
                </w:tcPr>
                <w:p/>
                <w:p>
                  <w:pPr>
                    <w:spacing w:before="40" w:after="40"/>
                    <w:jc w:val="center"/>
                  </w:pPr>
                  <w:r>
                    <w:drawing>
                      <wp:inline xmlns:a="http://schemas.openxmlformats.org/drawingml/2006/main" xmlns:pic="http://schemas.openxmlformats.org/drawingml/2006/picture">
                        <wp:extent cx="6408000" cy="6408000"/>
                        <wp:docPr id="19" name="Picture 19"/>
                        <wp:cNvGraphicFramePr>
                          <a:graphicFrameLocks noChangeAspect="1"/>
                        </wp:cNvGraphicFramePr>
                        <a:graphic>
                          <a:graphicData uri="http://schemas.openxmlformats.org/drawingml/2006/picture">
                            <pic:pic>
                              <pic:nvPicPr>
                                <pic:cNvPr id="0" name="fig16_pairplots.png"/>
                                <pic:cNvPicPr/>
                              </pic:nvPicPr>
                              <pic:blipFill>
                                <a:blip r:embed="rId27"/>
                                <a:stretch>
                                  <a:fillRect/>
                                </a:stretch>
                              </pic:blipFill>
                              <pic:spPr>
                                <a:xfrm>
                                  <a:off x="0" y="0"/>
                                  <a:ext cx="6408000" cy="6408000"/>
                                </a:xfrm>
                                <a:prstGeom prst="rect"/>
                              </pic:spPr>
                            </pic:pic>
                          </a:graphicData>
                        </a:graphic>
                      </wp:inline>
                    </w:drawing>
                  </w:r>
                </w:p>
                <w:p>
                  <w:pPr>
                    <w:spacing w:before="40" w:after="120" w:line="252" w:lineRule="auto"/>
                    <w:jc w:val="center"/>
                  </w:pPr>
                  <w:r>
                    <w:rPr>
                      <w:rFonts w:ascii="Calibri Light" w:hAnsi="Calibri Light"/>
                      <w:i/>
                      <w:color w:val="595959"/>
                      <w:sz w:val="36"/>
                    </w:rPr>
                    <w:t>Figure 18. Bivariate pair plot (100k subsample).</w:t>
                  </w:r>
                </w:p>
              </w:tc>
              <w:tc>
                <w:tcPr>
                  <w:tcW w:type="dxa" w:w="10318"/>
                  <w:tcMar>
                    <w:top w:w="0" w:type="dxa"/>
                    <w:bottom w:w="0" w:type="dxa"/>
                    <w:left w:w="30" w:type="dxa"/>
                    <w:right w:w="0" w:type="dxa"/>
                  </w:tcMar>
                </w:tcPr>
                <w:p/>
                <w:p>
                  <w:pPr>
                    <w:spacing w:before="40" w:after="40"/>
                    <w:jc w:val="center"/>
                  </w:pPr>
                  <w:r>
                    <w:drawing>
                      <wp:inline xmlns:a="http://schemas.openxmlformats.org/drawingml/2006/main" xmlns:pic="http://schemas.openxmlformats.org/drawingml/2006/picture">
                        <wp:extent cx="6408000" cy="3204000"/>
                        <wp:docPr id="20" name="Picture 20"/>
                        <wp:cNvGraphicFramePr>
                          <a:graphicFrameLocks noChangeAspect="1"/>
                        </wp:cNvGraphicFramePr>
                        <a:graphic>
                          <a:graphicData uri="http://schemas.openxmlformats.org/drawingml/2006/picture">
                            <pic:pic>
                              <pic:nvPicPr>
                                <pic:cNvPr id="0" name="fig17_target_vs_predictors_boxplots.png"/>
                                <pic:cNvPicPr/>
                              </pic:nvPicPr>
                              <pic:blipFill>
                                <a:blip r:embed="rId28"/>
                                <a:stretch>
                                  <a:fillRect/>
                                </a:stretch>
                              </pic:blipFill>
                              <pic:spPr>
                                <a:xfrm>
                                  <a:off x="0" y="0"/>
                                  <a:ext cx="6408000" cy="3204000"/>
                                </a:xfrm>
                                <a:prstGeom prst="rect"/>
                              </pic:spPr>
                            </pic:pic>
                          </a:graphicData>
                        </a:graphic>
                      </wp:inline>
                    </w:drawing>
                  </w:r>
                </w:p>
                <w:p>
                  <w:pPr>
                    <w:spacing w:before="40" w:after="120" w:line="252" w:lineRule="auto"/>
                    <w:jc w:val="center"/>
                  </w:pPr>
                  <w:r>
                    <w:rPr>
                      <w:rFonts w:ascii="Calibri Light" w:hAnsi="Calibri Light"/>
                      <w:i/>
                      <w:color w:val="595959"/>
                      <w:sz w:val="36"/>
                    </w:rPr>
                    <w:t>Figure 19. Entity count by token capacity quintile.</w:t>
                  </w:r>
                </w:p>
              </w:tc>
            </w:tr>
          </w:tbl>
          <w:p/>
          <w:p>
            <w:pPr>
              <w:spacing w:before="120" w:after="40" w:line="252" w:lineRule="auto"/>
            </w:pPr>
            <w:r>
              <w:rPr>
                <w:rFonts w:ascii="Calibri Light" w:hAnsi="Calibri Light"/>
                <w:b/>
                <w:color w:val="1F3864"/>
                <w:sz w:val="72"/>
              </w:rPr>
              <w:t>Tokenizer Expansion &amp; Split Parity</w:t>
            </w:r>
          </w:p>
          <w:p>
            <w:pPr>
              <w:spacing w:before="0" w:after="80" w:line="276" w:lineRule="auto"/>
            </w:pPr>
            <w:r>
              <w:rPr>
                <w:rFonts w:ascii="Calibri Light" w:hAnsi="Calibri Light"/>
                <w:color w:val="262626"/>
                <w:sz w:val="44"/>
              </w:rPr>
              <w:t>Full-corpus census confirmed that all 20 viable classes follow the 80.05% / 19.95% train/val split with |Δ| &lt; 0.08%.</w:t>
            </w:r>
          </w:p>
          <w:tbl>
            <w:tblPr>
              <w:tblW w:type="auto" w:w="0"/>
              <w:tblLayout w:type="fixed"/>
              <w:tblLook w:firstColumn="1" w:firstRow="1" w:lastColumn="0" w:lastRow="0" w:noHBand="0" w:noVBand="1" w:val="04A0"/>
              <w:tblBorders>
                <w:top w:val="none"/>
                <w:bottom w:val="none"/>
                <w:left w:val="none"/>
                <w:right w:val="none"/>
                <w:insideH w:val="none"/>
                <w:insideV w:val="none"/>
              </w:tblBorders>
            </w:tblPr>
            <w:tblGrid>
              <w:gridCol w:w="6917"/>
              <w:gridCol w:w="6917"/>
              <w:gridCol w:w="6917"/>
            </w:tblGrid>
            <w:tr>
              <w:tc>
                <w:tcPr>
                  <w:tcW w:type="dxa" w:w="6917"/>
                  <w:tcMar>
                    <w:top w:w="0" w:type="dxa"/>
                    <w:bottom w:w="0" w:type="dxa"/>
                    <w:left w:w="15" w:type="dxa"/>
                    <w:right w:w="15" w:type="dxa"/>
                  </w:tcMar>
                </w:tcPr>
                <w:p/>
                <w:p>
                  <w:pPr>
                    <w:spacing w:before="40" w:after="40"/>
                    <w:jc w:val="center"/>
                  </w:pPr>
                  <w:r>
                    <w:drawing>
                      <wp:inline xmlns:a="http://schemas.openxmlformats.org/drawingml/2006/main" xmlns:pic="http://schemas.openxmlformats.org/drawingml/2006/picture">
                        <wp:extent cx="4248000" cy="2360000"/>
                        <wp:docPr id="21" name="Picture 21"/>
                        <wp:cNvGraphicFramePr>
                          <a:graphicFrameLocks noChangeAspect="1"/>
                        </wp:cNvGraphicFramePr>
                        <a:graphic>
                          <a:graphicData uri="http://schemas.openxmlformats.org/drawingml/2006/picture">
                            <pic:pic>
                              <pic:nvPicPr>
                                <pic:cNvPr id="0" name="fig18_cjk_token_efficiency.png"/>
                                <pic:cNvPicPr/>
                              </pic:nvPicPr>
                              <pic:blipFill>
                                <a:blip r:embed="rId29"/>
                                <a:stretch>
                                  <a:fillRect/>
                                </a:stretch>
                              </pic:blipFill>
                              <pic:spPr>
                                <a:xfrm>
                                  <a:off x="0" y="0"/>
                                  <a:ext cx="4248000" cy="2360000"/>
                                </a:xfrm>
                                <a:prstGeom prst="rect"/>
                              </pic:spPr>
                            </pic:pic>
                          </a:graphicData>
                        </a:graphic>
                      </wp:inline>
                    </w:drawing>
                  </w:r>
                </w:p>
                <w:p>
                  <w:pPr>
                    <w:spacing w:before="40" w:after="120" w:line="252" w:lineRule="auto"/>
                    <w:jc w:val="center"/>
                  </w:pPr>
                  <w:r>
                    <w:rPr>
                      <w:rFonts w:ascii="Calibri Light" w:hAnsi="Calibri Light"/>
                      <w:i/>
                      <w:color w:val="595959"/>
                      <w:sz w:val="36"/>
                    </w:rPr>
                    <w:t>Figure 20. CJK vs Latin subword expansion (2.4× for Chinese).</w:t>
                  </w:r>
                </w:p>
              </w:tc>
              <w:tc>
                <w:tcPr>
                  <w:tcW w:type="dxa" w:w="6917"/>
                  <w:tcMar>
                    <w:top w:w="0" w:type="dxa"/>
                    <w:bottom w:w="0" w:type="dxa"/>
                    <w:left w:w="15" w:type="dxa"/>
                    <w:right w:w="15" w:type="dxa"/>
                  </w:tcMar>
                </w:tcPr>
                <w:p/>
                <w:p>
                  <w:pPr>
                    <w:spacing w:before="40" w:after="40"/>
                    <w:jc w:val="center"/>
                  </w:pPr>
                  <w:r>
                    <w:drawing>
                      <wp:inline xmlns:a="http://schemas.openxmlformats.org/drawingml/2006/main" xmlns:pic="http://schemas.openxmlformats.org/drawingml/2006/picture">
                        <wp:extent cx="4248000" cy="2427429"/>
                        <wp:docPr id="22" name="Picture 22"/>
                        <wp:cNvGraphicFramePr>
                          <a:graphicFrameLocks noChangeAspect="1"/>
                        </wp:cNvGraphicFramePr>
                        <a:graphic>
                          <a:graphicData uri="http://schemas.openxmlformats.org/drawingml/2006/picture">
                            <pic:pic>
                              <pic:nvPicPr>
                                <pic:cNvPr id="0" name="fig19_train_val_split_parity.png"/>
                                <pic:cNvPicPr/>
                              </pic:nvPicPr>
                              <pic:blipFill>
                                <a:blip r:embed="rId30"/>
                                <a:stretch>
                                  <a:fillRect/>
                                </a:stretch>
                              </pic:blipFill>
                              <pic:spPr>
                                <a:xfrm>
                                  <a:off x="0" y="0"/>
                                  <a:ext cx="4248000" cy="2427429"/>
                                </a:xfrm>
                                <a:prstGeom prst="rect"/>
                              </pic:spPr>
                            </pic:pic>
                          </a:graphicData>
                        </a:graphic>
                      </wp:inline>
                    </w:drawing>
                  </w:r>
                </w:p>
                <w:p>
                  <w:pPr>
                    <w:spacing w:before="40" w:after="120" w:line="252" w:lineRule="auto"/>
                    <w:jc w:val="center"/>
                  </w:pPr>
                  <w:r>
                    <w:rPr>
                      <w:rFonts w:ascii="Calibri Light" w:hAnsi="Calibri Light"/>
                      <w:i/>
                      <w:color w:val="595959"/>
                      <w:sz w:val="36"/>
                    </w:rPr>
                    <w:t>Figure 21. Train/val split parity across viable labels.</w:t>
                  </w:r>
                </w:p>
              </w:tc>
              <w:tc>
                <w:tcPr>
                  <w:tcW w:type="dxa" w:w="6917"/>
                  <w:tcMar>
                    <w:top w:w="0" w:type="dxa"/>
                    <w:bottom w:w="0" w:type="dxa"/>
                    <w:left w:w="15" w:type="dxa"/>
                    <w:right w:w="15" w:type="dxa"/>
                  </w:tcMar>
                </w:tcPr>
                <w:p/>
                <w:p>
                  <w:pPr>
                    <w:spacing w:before="40" w:after="40"/>
                    <w:jc w:val="center"/>
                  </w:pPr>
                  <w:r>
                    <w:drawing>
                      <wp:inline xmlns:a="http://schemas.openxmlformats.org/drawingml/2006/main" xmlns:pic="http://schemas.openxmlformats.org/drawingml/2006/picture">
                        <wp:extent cx="4248000" cy="2730857"/>
                        <wp:docPr id="23" name="Picture 23"/>
                        <wp:cNvGraphicFramePr>
                          <a:graphicFrameLocks noChangeAspect="1"/>
                        </wp:cNvGraphicFramePr>
                        <a:graphic>
                          <a:graphicData uri="http://schemas.openxmlformats.org/drawingml/2006/picture">
                            <pic:pic>
                              <pic:nvPicPr>
                                <pic:cNvPr id="0" name="fig20_rare_label_imbalance.png"/>
                                <pic:cNvPicPr/>
                              </pic:nvPicPr>
                              <pic:blipFill>
                                <a:blip r:embed="rId31"/>
                                <a:stretch>
                                  <a:fillRect/>
                                </a:stretch>
                              </pic:blipFill>
                              <pic:spPr>
                                <a:xfrm>
                                  <a:off x="0" y="0"/>
                                  <a:ext cx="4248000" cy="2730857"/>
                                </a:xfrm>
                                <a:prstGeom prst="rect"/>
                              </pic:spPr>
                            </pic:pic>
                          </a:graphicData>
                        </a:graphic>
                      </wp:inline>
                    </w:drawing>
                  </w:r>
                </w:p>
                <w:p>
                  <w:pPr>
                    <w:spacing w:before="40" w:after="120" w:line="252" w:lineRule="auto"/>
                    <w:jc w:val="center"/>
                  </w:pPr>
                  <w:r>
                    <w:rPr>
                      <w:rFonts w:ascii="Calibri Light" w:hAnsi="Calibri Light"/>
                      <w:i/>
                      <w:color w:val="595959"/>
                      <w:sz w:val="36"/>
                    </w:rPr>
                    <w:t>Figure 22. Validation blindness on 23 long-tail labels.</w:t>
                  </w:r>
                </w:p>
              </w:tc>
            </w:tr>
          </w:tbl>
          <w:p/>
        </w:tc>
      </w:tr>
      <w:tr>
        <w:tc>
          <w:tcPr>
            <w:tcW w:type="dxa" w:w="65707"/>
            <w:gridSpan w:val="3"/>
            <w:shd w:fill="F2F2F2"/>
            <w:tcMar>
              <w:top w:w="80" w:type="dxa"/>
              <w:bottom w:w="80" w:type="dxa"/>
              <w:left w:w="100" w:type="dxa"/>
              <w:right w:w="100" w:type="dxa"/>
            </w:tcMar>
          </w:tcPr>
          <w:p/>
          <w:tbl>
            <w:tblPr>
              <w:tblW w:type="auto" w:w="0"/>
              <w:tblLayout w:type="fixed"/>
              <w:tblLook w:firstColumn="1" w:firstRow="1" w:lastColumn="0" w:lastRow="0" w:noHBand="0" w:noVBand="1" w:val="04A0"/>
              <w:tblBorders>
                <w:top w:val="none"/>
                <w:bottom w:val="none"/>
                <w:left w:val="none"/>
                <w:right w:val="none"/>
                <w:insideH w:val="none"/>
                <w:insideV w:val="none"/>
              </w:tblBorders>
            </w:tblPr>
            <w:tblGrid>
              <w:gridCol w:w="21543"/>
              <w:gridCol w:w="21543"/>
              <w:gridCol w:w="21543"/>
            </w:tblGrid>
            <w:tr>
              <w:tc>
                <w:tcPr>
                  <w:tcW w:type="dxa" w:w="21543"/>
                  <w:tcMar>
                    <w:top w:w="40" w:type="dxa"/>
                    <w:bottom w:w="40" w:type="dxa"/>
                    <w:left w:w="40" w:type="dxa"/>
                    <w:right w:w="40" w:type="dxa"/>
                  </w:tcMar>
                </w:tcPr>
                <w:p/>
                <w:tbl>
                  <w:tblPr>
                    <w:tblW w:type="auto" w:w="0"/>
                    <w:tblLayout w:type="fixed"/>
                    <w:tblLook w:firstColumn="1" w:firstRow="1" w:lastColumn="0" w:lastRow="0" w:noHBand="0" w:noVBand="1" w:val="04A0"/>
                    <w:tblBorders>
                      <w:top w:val="none"/>
                      <w:bottom w:val="none"/>
                      <w:left w:val="none"/>
                      <w:right w:val="none"/>
                      <w:insideH w:val="none"/>
                      <w:insideV w:val="none"/>
                    </w:tblBorders>
                  </w:tblPr>
                  <w:tblGrid>
                    <w:gridCol w:w="2835"/>
                    <w:gridCol w:w="18142"/>
                  </w:tblGrid>
                  <w:tr>
                    <w:tc>
                      <w:tcPr>
                        <w:tcW w:type="dxa" w:w="10771"/>
                      </w:tcPr>
                      <w:p/>
                      <w:p>
                        <w:pPr>
                          <w:spacing w:before="40" w:after="40"/>
                          <w:jc w:val="center"/>
                        </w:pPr>
                        <w:r>
                          <w:drawing>
                            <wp:inline xmlns:a="http://schemas.openxmlformats.org/drawingml/2006/main" xmlns:pic="http://schemas.openxmlformats.org/drawingml/2006/picture">
                              <wp:extent cx="1620000" cy="1620000"/>
                              <wp:docPr id="24" name="Picture 24"/>
                              <wp:cNvGraphicFramePr>
                                <a:graphicFrameLocks noChangeAspect="1"/>
                              </wp:cNvGraphicFramePr>
                              <a:graphic>
                                <a:graphicData uri="http://schemas.openxmlformats.org/drawingml/2006/picture">
                                  <pic:pic>
                                    <pic:nvPicPr>
                                      <pic:cNvPr id="0" name="qrcode_repo.png"/>
                                      <pic:cNvPicPr/>
                                    </pic:nvPicPr>
                                    <pic:blipFill>
                                      <a:blip r:embed="rId32"/>
                                      <a:stretch>
                                        <a:fillRect/>
                                      </a:stretch>
                                    </pic:blipFill>
                                    <pic:spPr>
                                      <a:xfrm>
                                        <a:off x="0" y="0"/>
                                        <a:ext cx="1620000" cy="1620000"/>
                                      </a:xfrm>
                                      <a:prstGeom prst="rect"/>
                                    </pic:spPr>
                                  </pic:pic>
                                </a:graphicData>
                              </a:graphic>
                            </wp:inline>
                          </w:drawing>
                        </w:r>
                      </w:p>
                    </w:tc>
                    <w:tc>
                      <w:tcPr>
                        <w:tcW w:type="dxa" w:w="10771"/>
                      </w:tcPr>
                      <w:p>
                        <w:pPr>
                          <w:spacing w:before="80"/>
                        </w:pPr>
                        <w:r>
                          <w:rPr>
                            <w:b/>
                            <w:color w:val="1F3864"/>
                            <w:sz w:val="44"/>
                          </w:rPr>
                          <w:t>Repository</w:t>
                          <w:br/>
                        </w:r>
                        <w:r>
                          <w:rPr>
                            <w:color w:val="595959"/>
                            <w:sz w:val="36"/>
                          </w:rPr>
                          <w:t>github.com/Schnitze1/Poco</w:t>
                        </w:r>
                      </w:p>
                    </w:tc>
                  </w:tr>
                </w:tbl>
                <w:p/>
              </w:tc>
              <w:tc>
                <w:tcPr>
                  <w:tcW w:type="dxa" w:w="21543"/>
                  <w:tcMar>
                    <w:top w:w="40" w:type="dxa"/>
                    <w:bottom w:w="40" w:type="dxa"/>
                    <w:left w:w="40" w:type="dxa"/>
                    <w:right w:w="40" w:type="dxa"/>
                  </w:tcMar>
                </w:tcPr>
                <w:p/>
                <w:tbl>
                  <w:tblPr>
                    <w:tblW w:type="auto" w:w="0"/>
                    <w:tblLayout w:type="fixed"/>
                    <w:tblLook w:firstColumn="1" w:firstRow="1" w:lastColumn="0" w:lastRow="0" w:noHBand="0" w:noVBand="1" w:val="04A0"/>
                    <w:tblBorders>
                      <w:top w:val="none"/>
                      <w:bottom w:val="none"/>
                      <w:left w:val="none"/>
                      <w:right w:val="none"/>
                      <w:insideH w:val="none"/>
                      <w:insideV w:val="none"/>
                    </w:tblBorders>
                  </w:tblPr>
                  <w:tblGrid>
                    <w:gridCol w:w="2835"/>
                    <w:gridCol w:w="18142"/>
                  </w:tblGrid>
                  <w:tr>
                    <w:tc>
                      <w:tcPr>
                        <w:tcW w:type="dxa" w:w="10771"/>
                      </w:tcPr>
                      <w:p/>
                      <w:p>
                        <w:pPr>
                          <w:spacing w:before="40" w:after="40"/>
                          <w:jc w:val="center"/>
                        </w:pPr>
                        <w:r>
                          <w:drawing>
                            <wp:inline xmlns:a="http://schemas.openxmlformats.org/drawingml/2006/main" xmlns:pic="http://schemas.openxmlformats.org/drawingml/2006/picture">
                              <wp:extent cx="1620000" cy="1620000"/>
                              <wp:docPr id="25" name="Picture 25"/>
                              <wp:cNvGraphicFramePr>
                                <a:graphicFrameLocks noChangeAspect="1"/>
                              </wp:cNvGraphicFramePr>
                              <a:graphic>
                                <a:graphicData uri="http://schemas.openxmlformats.org/drawingml/2006/picture">
                                  <pic:pic>
                                    <pic:nvPicPr>
                                      <pic:cNvPr id="0" name="qrcode_demo.png"/>
                                      <pic:cNvPicPr/>
                                    </pic:nvPicPr>
                                    <pic:blipFill>
                                      <a:blip r:embed="rId10"/>
                                      <a:stretch>
                                        <a:fillRect/>
                                      </a:stretch>
                                    </pic:blipFill>
                                    <pic:spPr>
                                      <a:xfrm>
                                        <a:off x="0" y="0"/>
                                        <a:ext cx="1620000" cy="1620000"/>
                                      </a:xfrm>
                                      <a:prstGeom prst="rect"/>
                                    </pic:spPr>
                                  </pic:pic>
                                </a:graphicData>
                              </a:graphic>
                            </wp:inline>
                          </w:drawing>
                        </w:r>
                      </w:p>
                    </w:tc>
                    <w:tc>
                      <w:tcPr>
                        <w:tcW w:type="dxa" w:w="10771"/>
                      </w:tcPr>
                      <w:p>
                        <w:pPr>
                          <w:spacing w:before="80"/>
                        </w:pPr>
                        <w:r>
                          <w:rPr>
                            <w:b/>
                            <w:color w:val="1F3864"/>
                            <w:sz w:val="44"/>
                          </w:rPr>
                          <w:t>Live Demo</w:t>
                          <w:br/>
                        </w:r>
                        <w:r>
                          <w:rPr>
                            <w:color w:val="595959"/>
                            <w:sz w:val="36"/>
                          </w:rPr>
                          <w:t>littlepoco.me</w:t>
                        </w:r>
                      </w:p>
                    </w:tc>
                  </w:tr>
                </w:tbl>
                <w:p/>
              </w:tc>
              <w:tc>
                <w:tcPr>
                  <w:tcW w:type="dxa" w:w="21543"/>
                  <w:tcMar>
                    <w:top w:w="40" w:type="dxa"/>
                    <w:bottom w:w="40" w:type="dxa"/>
                    <w:left w:w="40" w:type="dxa"/>
                    <w:right w:w="40" w:type="dxa"/>
                  </w:tcMar>
                </w:tcPr>
                <w:p/>
                <w:tbl>
                  <w:tblPr>
                    <w:tblW w:type="auto" w:w="0"/>
                    <w:tblLayout w:type="fixed"/>
                    <w:tblLook w:firstColumn="1" w:firstRow="1" w:lastColumn="0" w:lastRow="0" w:noHBand="0" w:noVBand="1" w:val="04A0"/>
                    <w:tblBorders>
                      <w:top w:val="none"/>
                      <w:bottom w:val="none"/>
                      <w:left w:val="none"/>
                      <w:right w:val="none"/>
                      <w:insideH w:val="none"/>
                      <w:insideV w:val="none"/>
                    </w:tblBorders>
                  </w:tblPr>
                  <w:tblGrid>
                    <w:gridCol w:w="2835"/>
                    <w:gridCol w:w="18142"/>
                  </w:tblGrid>
                  <w:tr>
                    <w:tc>
                      <w:tcPr>
                        <w:tcW w:type="dxa" w:w="10771"/>
                      </w:tcPr>
                      <w:p/>
                      <w:p>
                        <w:pPr>
                          <w:spacing w:before="40" w:after="40"/>
                          <w:jc w:val="center"/>
                        </w:pPr>
                        <w:r>
                          <w:drawing>
                            <wp:inline xmlns:a="http://schemas.openxmlformats.org/drawingml/2006/main" xmlns:pic="http://schemas.openxmlformats.org/drawingml/2006/picture">
                              <wp:extent cx="1620000" cy="1620000"/>
                              <wp:docPr id="26" name="Picture 26"/>
                              <wp:cNvGraphicFramePr>
                                <a:graphicFrameLocks noChangeAspect="1"/>
                              </wp:cNvGraphicFramePr>
                              <a:graphic>
                                <a:graphicData uri="http://schemas.openxmlformats.org/drawingml/2006/picture">
                                  <pic:pic>
                                    <pic:nvPicPr>
                                      <pic:cNvPr id="0" name="qrcode_eda.png"/>
                                      <pic:cNvPicPr/>
                                    </pic:nvPicPr>
                                    <pic:blipFill>
                                      <a:blip r:embed="rId33"/>
                                      <a:stretch>
                                        <a:fillRect/>
                                      </a:stretch>
                                    </pic:blipFill>
                                    <pic:spPr>
                                      <a:xfrm>
                                        <a:off x="0" y="0"/>
                                        <a:ext cx="1620000" cy="1620000"/>
                                      </a:xfrm>
                                      <a:prstGeom prst="rect"/>
                                    </pic:spPr>
                                  </pic:pic>
                                </a:graphicData>
                              </a:graphic>
                            </wp:inline>
                          </w:drawing>
                        </w:r>
                      </w:p>
                    </w:tc>
                    <w:tc>
                      <w:tcPr>
                        <w:tcW w:type="dxa" w:w="10771"/>
                      </w:tcPr>
                      <w:p>
                        <w:pPr>
                          <w:spacing w:before="80"/>
                        </w:pPr>
                        <w:r>
                          <w:rPr>
                            <w:b/>
                            <w:color w:val="1F3864"/>
                            <w:sz w:val="44"/>
                          </w:rPr>
                          <w:t>Full EDA Report</w:t>
                          <w:br/>
                        </w:r>
                        <w:r>
                          <w:rPr>
                            <w:color w:val="595959"/>
                            <w:sz w:val="36"/>
                          </w:rPr>
                          <w:t>Scan for full-corpus analysis</w:t>
                        </w:r>
                      </w:p>
                    </w:tc>
                  </w:tr>
                </w:tbl>
                <w:p/>
              </w:tc>
            </w:tr>
          </w:tbl>
          <w:p/>
        </w:tc>
      </w:tr>
      <w:tr>
        <w:tc>
          <w:tcPr>
            <w:tcW w:type="dxa" w:w="65707"/>
            <w:gridSpan w:val="3"/>
            <w:tcMar>
              <w:top w:w="60" w:type="dxa"/>
              <w:bottom w:w="60" w:type="dxa"/>
              <w:left w:w="100" w:type="dxa"/>
              <w:right w:w="100" w:type="dxa"/>
            </w:tcMar>
          </w:tcPr>
          <w:p>
            <w:pPr>
              <w:spacing w:before="40" w:after="40"/>
              <w:jc w:val="center"/>
            </w:pPr>
            <w:r>
              <w:rPr>
                <w:rFonts w:ascii="Calibri Light" w:hAnsi="Calibri Light"/>
                <w:color w:val="595959"/>
                <w:sz w:val="40"/>
              </w:rPr>
              <w:t>Poco — Preserve Originals, Conceal Only  |  October 2026</w:t>
            </w:r>
          </w:p>
        </w:tc>
      </w:tr>
    </w:tbl>
    <w:sectPr w:rsidR="00FC693F" w:rsidRPr="0006063C" w:rsidSect="00034616">
      <w:pgSz w:w="67408" w:h="47679"/>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Hyphenat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