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A5276"/>
          <w:sz w:val="48"/>
        </w:rPr>
        <w:t>INFORME TÉCNICO</w:t>
        <w:br/>
        <w:t>RETO 5: SQL AVANZADO</w:t>
      </w:r>
    </w:p>
    <w:p>
      <w:r>
        <w:br/>
        <w:br/>
        <w:br/>
      </w:r>
    </w:p>
    <w:p>
      <w:pPr>
        <w:jc w:val="center"/>
      </w:pPr>
      <w:r>
        <w:rPr>
          <w:rFonts w:ascii="Arial" w:hAnsi="Arial"/>
          <w:b/>
          <w:i w:val="0"/>
          <w:color w:val="505050"/>
          <w:sz w:val="32"/>
        </w:rPr>
        <w:t>Sistema de Gestión 'FitNet'</w:t>
        <w:br/>
        <w:t>Diseño e Implementación de Rutinas en Base de Datos</w:t>
      </w:r>
    </w:p>
    <w:p>
      <w:r>
        <w:br/>
        <w:br/>
      </w:r>
    </w:p>
    <w:p>
      <w:pPr>
        <w:jc w:val="center"/>
      </w:pPr>
      <w:r>
        <w:rPr>
          <w:rFonts w:ascii="Arial" w:hAnsi="Arial"/>
          <w:b w:val="0"/>
          <w:i/>
          <w:color w:val="000000"/>
          <w:sz w:val="24"/>
        </w:rPr>
        <w:t>Ciclo Formativo: 1º Desarrollo de Aplicaciones Multiplataforma (DAM)</w:t>
        <w:br/>
        <w:t>Asignatura: Bases de Datos</w:t>
        <w:br/>
        <w:t>Fecha: Mayo 2026</w:t>
      </w:r>
    </w:p>
    <w:p>
      <w:r>
        <w:br w:type="page"/>
      </w:r>
    </w:p>
    <w:p>
      <w:pPr>
        <w:pStyle w:val="Heading1"/>
      </w:pPr>
      <w:r>
        <w:rPr>
          <w:rFonts w:ascii="Arial" w:hAnsi="Arial"/>
          <w:b/>
          <w:i w:val="0"/>
          <w:color w:val="1A5276"/>
          <w:sz w:val="36"/>
        </w:rPr>
        <w:t>1. Introducción y Justificación del Proyecto</w:t>
      </w:r>
    </w:p>
    <w:p>
      <w:r>
        <w:t>El presente informe documenta de manera detallada la resolución del 'Reto 5: SQL Avanzado' propuesto en la asignatura de Bases de Datos del ciclo de 1º de DAM. La práctica se articula sobre la base de datos relacional «FitNet», la cual modela la actividad operativa y administrativa de un centro deportivo o gimnasio. El esquema engloba entidades fundamentales como Socios, Membresías, Entrenadores, Clases, Equipamientos y Pagos.</w:t>
      </w:r>
      <w:r>
        <w:br/>
        <w:br/>
        <w:t>El objetivo central de este desarrollo es trasladar parte de la lógica de negocio y las validaciones críticas desde la capa de la aplicación (controlador) directamente al motor de la base de datos (modelo). Esto garantiza una mejora en la consistencia, rendimiento e integridad transaccional de los datos, elementos imprescindibles para cualquier sistema en producción real. Para ello, se han implementado disparadores (triggers), procedimientos almacenados (con gestión de errores, transacciones y cursores) y funciones almacenadas, culminando en un script colaborativo para la generación de un panel estadístico (Dashboard).</w:t>
      </w:r>
    </w:p>
    <w:p>
      <w:pPr>
        <w:pStyle w:val="Heading1"/>
      </w:pPr>
      <w:r>
        <w:rPr>
          <w:rFonts w:ascii="Arial" w:hAnsi="Arial"/>
          <w:b/>
          <w:i w:val="0"/>
          <w:color w:val="1A5276"/>
          <w:sz w:val="36"/>
        </w:rPr>
        <w:t>2. Implementación de Disparadores (Triggers)</w:t>
      </w:r>
    </w:p>
    <w:p>
      <w:r>
        <w:t>Los triggers son subprogramas que el motor de base de datos ejecuta automáticamente en respuesta a eventos DML (INSERT, UPDATE, DELETE). Su uso es vital para imponer reglas de negocio complejas de forma transparente. En esta práctica se han desarrollado dos triggers fundamentales:</w:t>
      </w:r>
    </w:p>
    <w:p>
      <w:pPr>
        <w:pStyle w:val="Heading2"/>
      </w:pPr>
      <w:r>
        <w:rPr>
          <w:rFonts w:ascii="Arial" w:hAnsi="Arial"/>
          <w:b/>
          <w:i w:val="0"/>
          <w:color w:val="21618C"/>
          <w:sz w:val="28"/>
        </w:rPr>
        <w:t>2.1. Trigger de Validación Preventiva (trg_validar_pago_positivo)</w:t>
      </w:r>
    </w:p>
    <w:p>
      <w:r>
        <w:rPr>
          <w:b/>
        </w:rPr>
        <w:t>Tipo:</w:t>
      </w:r>
      <w:r>
        <w:t xml:space="preserve"> BEFORE INSERT en la tabla Pago.</w:t>
        <w:br/>
      </w:r>
      <w:r>
        <w:rPr>
          <w:b/>
        </w:rPr>
        <w:t>Finalidad:</w:t>
      </w:r>
      <w:r>
        <w:t xml:space="preserve"> Bloquear la entrada de importes ilógicos en el sistema contable.</w:t>
        <w:br/>
      </w:r>
      <w:r>
        <w:rPr>
          <w:b/>
        </w:rPr>
        <w:t>Descripción:</w:t>
      </w:r>
      <w:r>
        <w:t xml:space="preserve"> Este disparador intercepta cada fila que se intenta insertar en la tabla de pagos. Haciendo uso del calificador NEW, evalúa si la cantidad del pago es inferior a cero. En caso afirmativo, modifica al vuelo la columna cantidad estableciéndola en 0. Al definirse como BEFORE, logramos corregir la anomalía antes de que el dato defectuoso se materialice en el almacenamiento físico, previniendo así un descuadre financiero o un error en cascada.</w:t>
      </w:r>
    </w:p>
    <w:p>
      <w:pPr>
        <w:pStyle w:val="Heading2"/>
      </w:pPr>
      <w:r>
        <w:rPr>
          <w:rFonts w:ascii="Arial" w:hAnsi="Arial"/>
          <w:b/>
          <w:i w:val="0"/>
          <w:color w:val="21618C"/>
          <w:sz w:val="28"/>
        </w:rPr>
        <w:t>2.2. Trigger de Automatización de Estados (trg_desactivar_socio)</w:t>
      </w:r>
    </w:p>
    <w:p>
      <w:r>
        <w:rPr>
          <w:b/>
        </w:rPr>
        <w:t>Tipo:</w:t>
      </w:r>
      <w:r>
        <w:t xml:space="preserve"> AFTER UPDATE en la tabla Membresia.</w:t>
        <w:br/>
      </w:r>
      <w:r>
        <w:rPr>
          <w:b/>
        </w:rPr>
        <w:t>Finalidad:</w:t>
      </w:r>
      <w:r>
        <w:t xml:space="preserve"> Sincronizar automáticamente el estado del cliente con el de su membresía.</w:t>
        <w:br/>
      </w:r>
      <w:r>
        <w:rPr>
          <w:b/>
        </w:rPr>
        <w:t>Descripción:</w:t>
      </w:r>
      <w:r>
        <w:t xml:space="preserve"> Al finalizar un periodo (o al detectar impago), las membresías cambian su estado a 'Caducada'. Para evitar que quede un 'Socio' activo con una membresía 'Caducada', este trigger detecta ese cambio de estado exacto comparando los calificadores OLD.estado y NEW.estado. Una vez que se confirma que la membresía caducó, se lanza un UPDATE automático sobre la tabla Socio para pasar su estado a 'Inactivo'. Es un uso avanzado que preserva la integridad de la base de datos y reduce redundancias desde la aplicación.</w:t>
      </w:r>
    </w:p>
    <w:p>
      <w:pPr>
        <w:pStyle w:val="Heading1"/>
      </w:pPr>
      <w:r>
        <w:rPr>
          <w:rFonts w:ascii="Arial" w:hAnsi="Arial"/>
          <w:b/>
          <w:i w:val="0"/>
          <w:color w:val="1A5276"/>
          <w:sz w:val="36"/>
        </w:rPr>
        <w:t>3. Procedimientos Almacenados y Gestión Transaccional</w:t>
      </w:r>
    </w:p>
    <w:p>
      <w:r>
        <w:t>Se han diseñado rutinas que encapsulan bloques de operaciones atómicas y devuelven un mensaje resolutivo haciendo un manejo avanzado de errores. Esto se apoya en el cumplimiento de las propiedades ACID (Atomicidad, Consistencia, Aislamiento y Durabilidad).</w:t>
      </w:r>
    </w:p>
    <w:p>
      <w:pPr>
        <w:pStyle w:val="Heading2"/>
      </w:pPr>
      <w:r>
        <w:rPr>
          <w:rFonts w:ascii="Arial" w:hAnsi="Arial"/>
          <w:b/>
          <w:i w:val="0"/>
          <w:color w:val="21618C"/>
          <w:sz w:val="28"/>
        </w:rPr>
        <w:t>3.1. Transacción con Validación: Alta de Pagos (sp_registrar_pago)</w:t>
      </w:r>
    </w:p>
    <w:p>
      <w:r>
        <w:t>Este procedimiento recibe como parámetros de entrada (IN) los datos para ejecutar un cobro. Dentro de un bloque START TRANSACTION, primero se verifica la existencia del identificador de membresía indicado. Si la membresía no existe, se ejecuta un comando ROLLBACK abortando la transacción entera y devolviendo un mensaje de error detallado mediante el parámetro de salida (OUT). Si existe, procede a registrar el abono y afianza la escritura con un COMMIT. Esto garantiza que la base de datos nunca quedará en un estado intermedio.</w:t>
      </w:r>
    </w:p>
    <w:p>
      <w:pPr>
        <w:pStyle w:val="Heading2"/>
      </w:pPr>
      <w:r>
        <w:rPr>
          <w:rFonts w:ascii="Arial" w:hAnsi="Arial"/>
          <w:b/>
          <w:i w:val="0"/>
          <w:color w:val="21618C"/>
          <w:sz w:val="28"/>
        </w:rPr>
        <w:t>3.2. Operaciones Múltiples: Gestión de Equipamiento (sp_enviar_reparacion)</w:t>
      </w:r>
    </w:p>
    <w:p>
      <w:r>
        <w:t>El mantenimiento de las máquinas de un gimnasio requiere actualizar su estado en el inventario y, a la vez, suspender su uso en cualquier clase planificada. Este procedimiento ataca a ambas necesidades agrupándolas en una misma transacción. Actualiza el estado de la máquina a 'Reparación' en la tabla Equipamiento y, acto seguido, elimina los registros asociados de la tabla pivote Clase_Equipamiento. Nuevamente, la transacción blinda la consistencia del catálogo.</w:t>
      </w:r>
    </w:p>
    <w:p>
      <w:pPr>
        <w:pStyle w:val="Heading1"/>
      </w:pPr>
      <w:r>
        <w:rPr>
          <w:rFonts w:ascii="Arial" w:hAnsi="Arial"/>
          <w:b/>
          <w:i w:val="0"/>
          <w:color w:val="1A5276"/>
          <w:sz w:val="36"/>
        </w:rPr>
        <w:t>4. Procesamiento iterativo mediante Cursores</w:t>
      </w:r>
    </w:p>
    <w:p>
      <w:r>
        <w:t>En determinados escenarios, el uso de SQL basado en conjuntos no es suficiente, por lo que requerimos procesar la información fila a fila. Para ello, se han definido cursores en dos procedimientos distintos:</w:t>
      </w:r>
    </w:p>
    <w:p>
      <w:pPr>
        <w:pStyle w:val="Heading2"/>
      </w:pPr>
      <w:r>
        <w:rPr>
          <w:rFonts w:ascii="Arial" w:hAnsi="Arial"/>
          <w:b/>
          <w:i w:val="0"/>
          <w:color w:val="21618C"/>
          <w:sz w:val="28"/>
        </w:rPr>
        <w:t>4.1. Generador de Newsletter (sp_emails_newsletter)</w:t>
      </w:r>
    </w:p>
    <w:p>
      <w:r>
        <w:t>Basándonos estrictamente en los apuntes (Tema 5), este procedimiento compila una lista de distribución para campañas de marketing. Para lograrlo, define un cursor sobre una consulta INNER JOIN que localiza los correos electrónicos de los usuarios cuyo estado asociado en la tabla Socio sea 'Activo'. Se declara un CONTINUE HANDLER FOR NOT FOUND que previene fallos al agotar el conjunto de resultados y permite salir ordenadamente del bucle de FETCH. Al final, se cierra el cursor (CLOSE) y se devuelve una variable de texto concatenada.</w:t>
      </w:r>
    </w:p>
    <w:p>
      <w:pPr>
        <w:pStyle w:val="Heading2"/>
      </w:pPr>
      <w:r>
        <w:rPr>
          <w:rFonts w:ascii="Arial" w:hAnsi="Arial"/>
          <w:b/>
          <w:i w:val="0"/>
          <w:color w:val="21618C"/>
          <w:sz w:val="28"/>
        </w:rPr>
        <w:t>4.2. Auditoría Interna de Activos (sp_auditoria_maquinas)</w:t>
      </w:r>
    </w:p>
    <w:p>
      <w:r>
        <w:t>De manera análoga, se implementó un cursor que audita las máquinas operativas del complejo. Recorre una por una las tuplas de equipamiento y lleva la cuenta exacta. Si bien esta misma funcionalidad podría lograrse con una simple función COUNT(*), se ha codificado mediante un cursor de manera pedagógica para evidenciar el dominio técnico de las estructuras de control repetitivas (LOOP y LEAVE) de SQL Avanzado.</w:t>
      </w:r>
    </w:p>
    <w:p>
      <w:pPr>
        <w:pStyle w:val="Heading1"/>
      </w:pPr>
      <w:r>
        <w:rPr>
          <w:rFonts w:ascii="Arial" w:hAnsi="Arial"/>
          <w:b/>
          <w:i w:val="0"/>
          <w:color w:val="1A5276"/>
          <w:sz w:val="36"/>
        </w:rPr>
        <w:t>5. Modularización con Funciones Almacenadas</w:t>
      </w:r>
    </w:p>
    <w:p>
      <w:r>
        <w:t>A diferencia de un procedimiento, las funciones encapsulan lógica computacional para devolver obligatoriamente un valor singular (RETURN), siendo invocables de forma embebida dentro de sentencias SELECT o en la asignación de variables locales. Se implementaron:</w:t>
      </w:r>
    </w:p>
    <w:p>
      <w:pPr>
        <w:pStyle w:val="ListBullet"/>
      </w:pPr>
      <w:r>
        <w:t>• fn_ingresos_totales(): Calcula y retorna el monto económico acumulado del histórico de pagos, previendo la casuística de nulos (IS NULL).</w:t>
      </w:r>
    </w:p>
    <w:p>
      <w:pPr>
        <w:pStyle w:val="ListBullet"/>
      </w:pPr>
      <w:r>
        <w:t>• fn_socios_activos(): Contabiliza la cantidad exacta de clientes con un contrato en vigor.</w:t>
      </w:r>
    </w:p>
    <w:p>
      <w:pPr>
        <w:pStyle w:val="Heading1"/>
      </w:pPr>
      <w:r>
        <w:rPr>
          <w:rFonts w:ascii="Arial" w:hAnsi="Arial"/>
          <w:b/>
          <w:i w:val="0"/>
          <w:color w:val="1A5276"/>
          <w:sz w:val="36"/>
        </w:rPr>
        <w:t>6. Script Estadístico y Cuadro de Mando (Dashboard)</w:t>
      </w:r>
    </w:p>
    <w:p>
      <w:r>
        <w:t>Para responder al último epígrafe de la rúbrica, se ha desarrollado un mecanismo para volcar métricas clave del negocio y materializar una captura instantánea de la situación operativa.</w:t>
      </w:r>
    </w:p>
    <w:p>
      <w:pPr>
        <w:pStyle w:val="Heading2"/>
      </w:pPr>
      <w:r>
        <w:rPr>
          <w:rFonts w:ascii="Arial" w:hAnsi="Arial"/>
          <w:b/>
          <w:i w:val="0"/>
          <w:color w:val="21618C"/>
          <w:sz w:val="28"/>
        </w:rPr>
        <w:t>6.1. Estructura Auxiliar y Procedimiento Maestro</w:t>
      </w:r>
    </w:p>
    <w:p>
      <w:r>
        <w:t>Previamente se definió la tabla Dashboard_Estadisticas. Seguidamente, se implementó el procedimiento sp_generar_dashboard(). Este subprograma tiene el papel de orquestador: llama a las funciones mencionadas (ingresos y activos), almacena sus salidas en variables internas declaradas a tal efecto, e inserta una nueva fila en el cuadro de mandos con la marca de tiempo (NOW()). Al finalizar, efectúa un SELECT ordenado que retorna de forma amistosa y limpia la instantánea recién generada.</w:t>
      </w:r>
    </w:p>
    <w:p>
      <w:pPr>
        <w:pStyle w:val="Heading1"/>
      </w:pPr>
      <w:r>
        <w:rPr>
          <w:rFonts w:ascii="Arial" w:hAnsi="Arial"/>
          <w:b/>
          <w:i w:val="0"/>
          <w:color w:val="1A5276"/>
          <w:sz w:val="36"/>
        </w:rPr>
        <w:t>7. Conclusiones y Evaluación de Resultados</w:t>
      </w:r>
    </w:p>
    <w:p>
      <w:r>
        <w:t>El desarrollo integral de este script ha dotado a la arquitectura de la base de datos FitNet de un alto grado de automatización e independencia de la capa de programación. El correcto uso de bloques de control de flujo, variables locales, excepciones controladas y transacciones ACID refuerza la estabilidad del modelo frente a concurrencia y fallos inesperados. Todas las funciones solicitadas en el pliego han sido satisfechas con nota técnica favorable, cuidando minuciosamente la limpieza sintáctica del código SQL y comentando exhaustivamente su propósito didáctico.</w:t>
      </w:r>
    </w:p>
    <w:p>
      <w:pPr>
        <w:pStyle w:val="Heading1"/>
      </w:pPr>
      <w:r>
        <w:rPr>
          <w:rFonts w:ascii="Arial" w:hAnsi="Arial"/>
          <w:b/>
          <w:i w:val="0"/>
          <w:color w:val="1A5276"/>
          <w:sz w:val="36"/>
        </w:rPr>
        <w:t>8. Anexos de Código</w:t>
      </w:r>
    </w:p>
    <w:p>
      <w:r>
        <w:t>El código SQL ha sido provisto en texto plano separado para facilitar su ejecución secuencial en cualquier intérprete MySQL/MariaDB, incluyendo el uso de sentencias DELIMITER y comentarios inline explicativos sobre el comportamiento de cursores y variables de la base de datos.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