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1F6A" w14:textId="1F983401" w:rsidR="009D1542" w:rsidRPr="001C5D1B" w:rsidRDefault="00BC7713" w:rsidP="001C5D1B">
      <w:pPr>
        <w:jc w:val="center"/>
        <w:rPr>
          <w:b/>
          <w:u w:val="single"/>
        </w:rPr>
      </w:pPr>
      <w:r w:rsidRPr="001C5D1B">
        <w:rPr>
          <w:b/>
          <w:u w:val="single"/>
        </w:rPr>
        <w:t>Kostendifferenzierung und -systematisierung</w:t>
      </w:r>
    </w:p>
    <w:p w14:paraId="6DBACD33" w14:textId="77777777" w:rsidR="00F04D27" w:rsidRPr="00FE1E68" w:rsidRDefault="00BC7713" w:rsidP="00F04D27">
      <w:pPr>
        <w:rPr>
          <w:u w:val="single"/>
        </w:rPr>
      </w:pPr>
      <w:r w:rsidRPr="00FE1E68">
        <w:rPr>
          <w:b/>
          <w:u w:val="single"/>
        </w:rPr>
        <w:t>Auf Basis von:</w:t>
      </w:r>
      <w:r w:rsidRPr="00FE1E68">
        <w:rPr>
          <w:b/>
        </w:rPr>
        <w:br/>
      </w:r>
      <w:r w:rsidR="0042692B" w:rsidRPr="00FE1E68">
        <w:rPr>
          <w:u w:val="single"/>
        </w:rPr>
        <w:t xml:space="preserve">- </w:t>
      </w:r>
      <w:r w:rsidR="0042692B" w:rsidRPr="00FE1E68">
        <w:rPr>
          <w:u w:val="single"/>
        </w:rPr>
        <w:t>Aufwand</w:t>
      </w:r>
      <w:r w:rsidR="0042692B">
        <w:t xml:space="preserve"> </w:t>
      </w:r>
      <w:r w:rsidR="007B01B8">
        <w:tab/>
      </w:r>
      <w:r w:rsidR="007B01B8">
        <w:tab/>
      </w:r>
      <w:r w:rsidR="007B01B8">
        <w:tab/>
      </w:r>
      <w:r w:rsidR="007B01B8">
        <w:tab/>
      </w:r>
      <w:r w:rsidR="0042692B">
        <w:t xml:space="preserve"> Grund-, Anders- und Zusatzkosten (→ LE I)</w:t>
      </w:r>
      <w:r w:rsidR="0042692B">
        <w:br/>
      </w:r>
      <w:r w:rsidR="0042692B" w:rsidRPr="00FE1E68">
        <w:rPr>
          <w:u w:val="single"/>
        </w:rPr>
        <w:t xml:space="preserve">- </w:t>
      </w:r>
      <w:r w:rsidR="0042692B" w:rsidRPr="00FE1E68">
        <w:rPr>
          <w:u w:val="single"/>
        </w:rPr>
        <w:t>Art der verbrauchten Güter</w:t>
      </w:r>
      <w:r w:rsidR="007B01B8">
        <w:tab/>
      </w:r>
      <w:r w:rsidR="007B01B8">
        <w:tab/>
      </w:r>
      <w:r w:rsidR="0042692B">
        <w:t>Kostenartenhauptgruppen (→ LE II)</w:t>
      </w:r>
      <w:r w:rsidR="007278BE">
        <w:br/>
      </w:r>
      <w:r w:rsidR="007278BE" w:rsidRPr="00FE1E68">
        <w:rPr>
          <w:u w:val="single"/>
        </w:rPr>
        <w:t xml:space="preserve">- </w:t>
      </w:r>
      <w:r w:rsidR="007278BE" w:rsidRPr="00FE1E68">
        <w:rPr>
          <w:u w:val="single"/>
        </w:rPr>
        <w:t>Ort der Kostenentstehung</w:t>
      </w:r>
      <w:r w:rsidR="007B01B8">
        <w:tab/>
      </w:r>
      <w:r w:rsidR="007B01B8">
        <w:tab/>
      </w:r>
      <w:r w:rsidR="007278BE">
        <w:t>Kostenstellen (→ LE III)</w:t>
      </w:r>
      <w:r w:rsidR="007278BE">
        <w:br/>
      </w:r>
      <w:r w:rsidR="007278BE" w:rsidRPr="00FE1E68">
        <w:rPr>
          <w:u w:val="single"/>
        </w:rPr>
        <w:t xml:space="preserve">- </w:t>
      </w:r>
      <w:r w:rsidR="007B01B8" w:rsidRPr="00FE1E68">
        <w:rPr>
          <w:u w:val="single"/>
        </w:rPr>
        <w:t>Herkunft der Kosten</w:t>
      </w:r>
      <w:r w:rsidR="007B01B8">
        <w:tab/>
      </w:r>
      <w:r w:rsidR="007B01B8">
        <w:tab/>
      </w:r>
      <w:r w:rsidR="007B01B8">
        <w:tab/>
      </w:r>
      <w:r w:rsidR="007B01B8">
        <w:t>primäre und sekundäre Kosten (→ LE III)</w:t>
      </w:r>
      <w:r w:rsidR="007B01B8">
        <w:br/>
      </w:r>
      <w:r w:rsidR="007B01B8" w:rsidRPr="00FE1E68">
        <w:rPr>
          <w:u w:val="single"/>
        </w:rPr>
        <w:t xml:space="preserve">- </w:t>
      </w:r>
      <w:r w:rsidR="007B01B8" w:rsidRPr="00FE1E68">
        <w:rPr>
          <w:u w:val="single"/>
        </w:rPr>
        <w:t>Zeitbezug der Kostenzurechnung</w:t>
      </w:r>
      <w:r w:rsidR="007B01B8">
        <w:t xml:space="preserve"> </w:t>
      </w:r>
      <w:r w:rsidR="007B01B8">
        <w:tab/>
      </w:r>
      <w:r w:rsidR="007B01B8">
        <w:t>Plan-, Ist- und ggf. Normal-Kostenrechnung (→ KLR II)</w:t>
      </w:r>
      <w:r w:rsidR="00687E66">
        <w:br/>
      </w:r>
      <w:r w:rsidR="00687E66" w:rsidRPr="00FE1E68">
        <w:rPr>
          <w:u w:val="single"/>
        </w:rPr>
        <w:t xml:space="preserve">- </w:t>
      </w:r>
      <w:r w:rsidR="00687E66" w:rsidRPr="00FE1E68">
        <w:rPr>
          <w:u w:val="single"/>
        </w:rPr>
        <w:t>Zurechnung auf Kostenträger</w:t>
      </w:r>
    </w:p>
    <w:p w14:paraId="54E0F3E1" w14:textId="325EFFFC" w:rsidR="00983A29" w:rsidRDefault="0048122F" w:rsidP="00F04D27">
      <w:pPr>
        <w:ind w:firstLine="708"/>
      </w:pPr>
      <w:r w:rsidRPr="001C5D1B">
        <w:rPr>
          <w:u w:val="single"/>
        </w:rPr>
        <w:t>Definitionen</w:t>
      </w:r>
      <w:r w:rsidR="00F04D27">
        <w:rPr>
          <w:u w:val="single"/>
        </w:rPr>
        <w:br/>
      </w:r>
      <w:r w:rsidR="00F04D27">
        <w:t xml:space="preserve"> </w:t>
      </w:r>
      <w:r w:rsidR="00F04D27">
        <w:tab/>
      </w:r>
      <w:r w:rsidR="00D211A8">
        <w:t>Kostenträger</w:t>
      </w:r>
      <w:r w:rsidR="00983A29">
        <w:tab/>
      </w:r>
      <w:r w:rsidR="00983A29">
        <w:tab/>
      </w:r>
      <w:r w:rsidR="00983A29">
        <w:tab/>
      </w:r>
      <w:r w:rsidR="00D211A8">
        <w:t>Objekt, dem Kosten zugerechnet werden</w:t>
      </w:r>
      <w:r w:rsidR="00983A29">
        <w:br/>
      </w:r>
      <w:r w:rsidR="00983A29">
        <w:tab/>
      </w:r>
      <w:r w:rsidR="00983A29">
        <w:t>Einzelkosten (EK)</w:t>
      </w:r>
      <w:r w:rsidR="00983A29">
        <w:tab/>
      </w:r>
      <w:r w:rsidR="00983A29">
        <w:tab/>
      </w:r>
      <w:r w:rsidR="00983A29">
        <w:t>Kosten, die einem Kostenträger direkt zugerechnet werden</w:t>
      </w:r>
      <w:r w:rsidR="00B44CC8">
        <w:br/>
      </w:r>
      <w:r w:rsidR="00B44CC8">
        <w:tab/>
      </w:r>
      <w:r w:rsidR="00B44CC8">
        <w:t>Gemeinkosten (GK)</w:t>
      </w:r>
      <w:r w:rsidR="00B44CC8">
        <w:tab/>
      </w:r>
      <w:r w:rsidR="00B44CC8">
        <w:tab/>
      </w:r>
      <w:r w:rsidR="00B44CC8">
        <w:t>Kosten, die einem Kostenträger indirekt zugerechnet werden</w:t>
      </w:r>
      <w:r w:rsidR="006475BE">
        <w:br/>
      </w:r>
      <w:r w:rsidR="006475BE">
        <w:tab/>
      </w:r>
      <w:r w:rsidR="00B42318">
        <w:t>Sondereinzelkosten (SEK)</w:t>
      </w:r>
      <w:r w:rsidR="00B42318">
        <w:tab/>
      </w:r>
      <w:r w:rsidR="00B42318">
        <w:t>Kosten, die nicht einem einzelnen Erzeugnis, sondern</w:t>
      </w:r>
      <w:r w:rsidR="00800BFA">
        <w:br/>
        <w:t xml:space="preserve"> </w:t>
      </w:r>
      <w:r w:rsidR="00800BFA">
        <w:tab/>
      </w:r>
      <w:r w:rsidR="00800BFA">
        <w:tab/>
      </w:r>
      <w:r w:rsidR="00800BFA">
        <w:tab/>
      </w:r>
      <w:r w:rsidR="00800BFA">
        <w:tab/>
      </w:r>
      <w:r w:rsidR="00800BFA">
        <w:tab/>
      </w:r>
      <w:r w:rsidR="00B42318">
        <w:t>lediglich einem Fertigungsauftrag oder -los zugerechnet</w:t>
      </w:r>
      <w:r w:rsidR="00800BFA">
        <w:br/>
        <w:t xml:space="preserve"> </w:t>
      </w:r>
      <w:r w:rsidR="00800BFA">
        <w:tab/>
      </w:r>
      <w:r w:rsidR="00800BFA">
        <w:tab/>
      </w:r>
      <w:r w:rsidR="00800BFA">
        <w:tab/>
      </w:r>
      <w:r w:rsidR="00800BFA">
        <w:tab/>
      </w:r>
      <w:r w:rsidR="00800BFA">
        <w:tab/>
      </w:r>
      <w:r w:rsidR="00B42318">
        <w:t>werden können</w:t>
      </w:r>
      <w:r w:rsidR="00800BFA">
        <w:br/>
      </w:r>
      <w:r w:rsidR="00453ACC">
        <w:tab/>
      </w:r>
      <w:r w:rsidR="00453ACC">
        <w:t>unechte Gemeinkosten</w:t>
      </w:r>
      <w:r w:rsidR="00453ACC">
        <w:tab/>
      </w:r>
      <w:r w:rsidR="00453ACC">
        <w:tab/>
      </w:r>
      <w:r w:rsidR="00453ACC">
        <w:t>Einzelkosten die, dem Grundsatz der Wirtschaftlichkeit</w:t>
      </w:r>
      <w:r w:rsidR="00453ACC">
        <w:br/>
        <w:t xml:space="preserve"> </w:t>
      </w:r>
      <w:r w:rsidR="00453ACC">
        <w:tab/>
      </w:r>
      <w:r w:rsidR="00453ACC">
        <w:tab/>
      </w:r>
      <w:r w:rsidR="00453ACC">
        <w:tab/>
      </w:r>
      <w:r w:rsidR="00453ACC">
        <w:tab/>
      </w:r>
      <w:r w:rsidR="00453ACC">
        <w:tab/>
      </w:r>
      <w:r w:rsidR="00453ACC">
        <w:t>folgend, als Gemeinkosten behandelt werden (z. B. Holzleim)</w:t>
      </w:r>
    </w:p>
    <w:p w14:paraId="018F341A" w14:textId="6E052C41" w:rsidR="00F04D27" w:rsidRDefault="00ED485A" w:rsidP="00F04D27">
      <w:r w:rsidRPr="00ED485A">
        <w:drawing>
          <wp:anchor distT="0" distB="0" distL="114300" distR="114300" simplePos="0" relativeHeight="251658240" behindDoc="1" locked="0" layoutInCell="1" allowOverlap="1" wp14:anchorId="1E7ACF8B" wp14:editId="149394B1">
            <wp:simplePos x="0" y="0"/>
            <wp:positionH relativeFrom="column">
              <wp:posOffset>2236326</wp:posOffset>
            </wp:positionH>
            <wp:positionV relativeFrom="paragraph">
              <wp:posOffset>29837</wp:posOffset>
            </wp:positionV>
            <wp:extent cx="3017520" cy="118300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85B8A" w14:textId="1E884D2B" w:rsidR="00F04D27" w:rsidRPr="00FE1E68" w:rsidRDefault="00F04D27" w:rsidP="00F04D27">
      <w:r w:rsidRPr="00FE1E68">
        <w:rPr>
          <w:u w:val="single"/>
        </w:rPr>
        <w:t xml:space="preserve">- </w:t>
      </w:r>
      <w:r w:rsidRPr="00FE1E68">
        <w:rPr>
          <w:u w:val="single"/>
        </w:rPr>
        <w:t>Kostenfunktionen/Kostenverläufe</w:t>
      </w:r>
      <w:r w:rsidRPr="00FE1E68">
        <w:tab/>
      </w:r>
    </w:p>
    <w:p w14:paraId="5E496BDE" w14:textId="06B6FD41" w:rsidR="00407E7B" w:rsidRDefault="00407E7B" w:rsidP="001C5D1B"/>
    <w:p w14:paraId="351E49D5" w14:textId="1F6BFA0D" w:rsidR="00423EFC" w:rsidRDefault="00423EFC" w:rsidP="001C5D1B"/>
    <w:p w14:paraId="0C648D68" w14:textId="0891899B" w:rsidR="00423EFC" w:rsidRDefault="00423EFC" w:rsidP="001C5D1B"/>
    <w:p w14:paraId="5258A2F9" w14:textId="13E7AAD0" w:rsidR="00423EFC" w:rsidRDefault="00C42707" w:rsidP="001C5D1B">
      <w:r w:rsidRPr="00FE1E68">
        <w:drawing>
          <wp:anchor distT="0" distB="0" distL="114300" distR="114300" simplePos="0" relativeHeight="251659264" behindDoc="0" locked="0" layoutInCell="1" allowOverlap="1" wp14:anchorId="47D27DB3" wp14:editId="3CB24D9B">
            <wp:simplePos x="0" y="0"/>
            <wp:positionH relativeFrom="column">
              <wp:posOffset>4383437</wp:posOffset>
            </wp:positionH>
            <wp:positionV relativeFrom="paragraph">
              <wp:posOffset>60132</wp:posOffset>
            </wp:positionV>
            <wp:extent cx="1986915" cy="1346200"/>
            <wp:effectExtent l="0" t="0" r="0" b="6350"/>
            <wp:wrapThrough wrapText="bothSides">
              <wp:wrapPolygon edited="0">
                <wp:start x="0" y="0"/>
                <wp:lineTo x="0" y="21396"/>
                <wp:lineTo x="21331" y="21396"/>
                <wp:lineTo x="21331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50AC2" w14:textId="3A0CA197" w:rsidR="00423EFC" w:rsidRDefault="00423EFC" w:rsidP="00C42707">
      <w:pPr>
        <w:ind w:left="708"/>
      </w:pPr>
      <w:r w:rsidRPr="00FE1E68">
        <w:t>Kostenauflösung (synonym: Kostenspaltung oder Kosten</w:t>
      </w:r>
      <w:r w:rsidRPr="00FE1E68">
        <w:t>z</w:t>
      </w:r>
      <w:r w:rsidRPr="00FE1E68">
        <w:t xml:space="preserve">erlegung) </w:t>
      </w:r>
      <w:r w:rsidR="00683526" w:rsidRPr="00FE1E68">
        <w:br/>
      </w:r>
      <w:r>
        <w:t xml:space="preserve">bezeichnet die Aufteilung einer bestehenden Kostensumme in deren fixe und variable </w:t>
      </w:r>
      <w:r w:rsidR="00403E7E">
        <w:br/>
      </w:r>
      <w:r>
        <w:t>Bestandteile</w:t>
      </w:r>
    </w:p>
    <w:p w14:paraId="145B1433" w14:textId="1289C6BD" w:rsidR="003E0315" w:rsidRDefault="003E0315" w:rsidP="00403E7E"/>
    <w:p w14:paraId="4A99FABB" w14:textId="77777777" w:rsidR="003E0315" w:rsidRDefault="003E0315" w:rsidP="00403E7E"/>
    <w:p w14:paraId="7432694E" w14:textId="61C0F6CC" w:rsidR="003E0315" w:rsidRDefault="00FE1E68" w:rsidP="00403E7E">
      <w:pPr>
        <w:rPr>
          <w:u w:val="single"/>
        </w:rPr>
      </w:pPr>
      <w:r w:rsidRPr="00FE1E68">
        <w:rPr>
          <w:u w:val="single"/>
        </w:rPr>
        <w:t xml:space="preserve">- </w:t>
      </w:r>
      <w:r w:rsidRPr="00FE1E68">
        <w:rPr>
          <w:u w:val="single"/>
        </w:rPr>
        <w:t>potenzielle Wirtschaftlichkeit</w:t>
      </w:r>
      <w:r w:rsidR="003E0315" w:rsidRPr="00FE1E68">
        <w:rPr>
          <w:u w:val="single"/>
        </w:rPr>
        <w:tab/>
      </w:r>
    </w:p>
    <w:p w14:paraId="7A3162CE" w14:textId="4DFF79F2" w:rsidR="00FE1E68" w:rsidRDefault="00C42707" w:rsidP="00403E7E">
      <w:r>
        <w:t>Nutzkosten</w:t>
      </w:r>
      <w:r>
        <w:tab/>
      </w:r>
      <w:r>
        <w:tab/>
      </w:r>
      <w:r>
        <w:t xml:space="preserve">Kosten, die auf den genutzten Kapazitätsanteil entfallen </w:t>
      </w:r>
      <w:r>
        <w:br/>
      </w:r>
      <w:r>
        <w:t>Leerkosten</w:t>
      </w:r>
      <w:r>
        <w:tab/>
      </w:r>
      <w:r>
        <w:tab/>
      </w:r>
      <w:r>
        <w:t>Kosten, die auf den ungenutzten Kapazitätsanteil entfallen</w:t>
      </w:r>
    </w:p>
    <w:p w14:paraId="649A5656" w14:textId="2BF5DAF7" w:rsidR="00246791" w:rsidRPr="00FE1E68" w:rsidRDefault="00EF212C" w:rsidP="00403E7E">
      <w:r w:rsidRPr="00EF212C">
        <w:drawing>
          <wp:anchor distT="0" distB="0" distL="114300" distR="114300" simplePos="0" relativeHeight="251660288" behindDoc="1" locked="0" layoutInCell="1" allowOverlap="1" wp14:anchorId="002FE406" wp14:editId="71504CA2">
            <wp:simplePos x="0" y="0"/>
            <wp:positionH relativeFrom="column">
              <wp:posOffset>4580528</wp:posOffset>
            </wp:positionH>
            <wp:positionV relativeFrom="paragraph">
              <wp:posOffset>1250572</wp:posOffset>
            </wp:positionV>
            <wp:extent cx="2062480" cy="1212215"/>
            <wp:effectExtent l="0" t="0" r="0" b="698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791" w:rsidRPr="00246791">
        <w:drawing>
          <wp:inline distT="0" distB="0" distL="0" distR="0" wp14:anchorId="48C637AB" wp14:editId="47FC8342">
            <wp:extent cx="3237439" cy="1635492"/>
            <wp:effectExtent l="0" t="0" r="127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925" cy="16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791" w:rsidRPr="00FE1E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BF"/>
    <w:rsid w:val="001C5D1B"/>
    <w:rsid w:val="00246791"/>
    <w:rsid w:val="003E0315"/>
    <w:rsid w:val="00403E7E"/>
    <w:rsid w:val="00407E7B"/>
    <w:rsid w:val="00423EFC"/>
    <w:rsid w:val="0042692B"/>
    <w:rsid w:val="00453ACC"/>
    <w:rsid w:val="0048122F"/>
    <w:rsid w:val="006475BE"/>
    <w:rsid w:val="00683526"/>
    <w:rsid w:val="00687E66"/>
    <w:rsid w:val="007278BE"/>
    <w:rsid w:val="007B01B8"/>
    <w:rsid w:val="00800BFA"/>
    <w:rsid w:val="00983A29"/>
    <w:rsid w:val="009D1542"/>
    <w:rsid w:val="00B42318"/>
    <w:rsid w:val="00B44CC8"/>
    <w:rsid w:val="00BC7713"/>
    <w:rsid w:val="00C42707"/>
    <w:rsid w:val="00CA0247"/>
    <w:rsid w:val="00CF04BF"/>
    <w:rsid w:val="00D211A8"/>
    <w:rsid w:val="00ED485A"/>
    <w:rsid w:val="00EF212C"/>
    <w:rsid w:val="00F04D27"/>
    <w:rsid w:val="00FE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1F8E"/>
  <w15:chartTrackingRefBased/>
  <w15:docId w15:val="{D846D0D6-C50F-47C9-B8E9-5D89A92D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28</cp:revision>
  <dcterms:created xsi:type="dcterms:W3CDTF">2022-05-23T06:45:00Z</dcterms:created>
  <dcterms:modified xsi:type="dcterms:W3CDTF">2022-05-23T08:48:00Z</dcterms:modified>
</cp:coreProperties>
</file>