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2B04F" w14:textId="48446907" w:rsidR="001D6066" w:rsidRPr="00564E51" w:rsidRDefault="00564E51" w:rsidP="00564E51">
      <w:pPr>
        <w:jc w:val="center"/>
        <w:rPr>
          <w:b/>
          <w:u w:val="single"/>
        </w:rPr>
      </w:pPr>
      <w:r w:rsidRPr="00564E51">
        <w:rPr>
          <w:b/>
          <w:u w:val="single"/>
        </w:rPr>
        <w:t>Ermittlung kalkulatorischer Kosten</w:t>
      </w:r>
    </w:p>
    <w:p w14:paraId="037E064A" w14:textId="3D0F7C44" w:rsidR="00564E51" w:rsidRPr="00117CAA" w:rsidRDefault="00564E51">
      <w:pPr>
        <w:rPr>
          <w:b/>
          <w:u w:val="single"/>
        </w:rPr>
      </w:pPr>
      <w:r w:rsidRPr="00117CAA">
        <w:rPr>
          <w:b/>
          <w:u w:val="single"/>
        </w:rPr>
        <w:t>Kalkulatorische Abschreibungskosten</w:t>
      </w:r>
    </w:p>
    <w:p w14:paraId="161F1918" w14:textId="38719012" w:rsidR="00564E51" w:rsidRDefault="00564E51">
      <w:r>
        <w:tab/>
      </w:r>
      <w:r w:rsidR="0022734F">
        <w:t>Unterscheidung: bilanzieller Abschreibungsaufwand vs. kalkulatorische Abschreibungskosten</w:t>
      </w:r>
    </w:p>
    <w:p w14:paraId="77B0DF5F" w14:textId="77777777" w:rsidR="003E5138" w:rsidRDefault="003E5138"/>
    <w:p w14:paraId="4BD676B7" w14:textId="577641BC" w:rsidR="0022734F" w:rsidRDefault="003E5138">
      <w:pPr>
        <w:rPr>
          <w:u w:val="single"/>
        </w:rPr>
      </w:pPr>
      <w:r>
        <w:tab/>
      </w:r>
      <w:r w:rsidRPr="003E5138">
        <w:rPr>
          <w:u w:val="single"/>
        </w:rPr>
        <w:t>Abschreibungsursachen</w:t>
      </w:r>
    </w:p>
    <w:p w14:paraId="08833249" w14:textId="77777777" w:rsidR="00FB1A29" w:rsidRDefault="003E5138">
      <w:r>
        <w:tab/>
      </w:r>
      <w:r>
        <w:tab/>
      </w:r>
      <w:r w:rsidR="00FB1A29">
        <w:t>verbrauchsbedingte Ursachen</w:t>
      </w:r>
      <w:r w:rsidR="00FB1A29">
        <w:tab/>
      </w:r>
      <w:r w:rsidR="00FB1A29">
        <w:tab/>
        <w:t>Verschleiß und Substanzverringerung</w:t>
      </w:r>
    </w:p>
    <w:p w14:paraId="7D802621" w14:textId="77777777" w:rsidR="00D056E9" w:rsidRDefault="00FB1A29" w:rsidP="00FB1A29">
      <w:pPr>
        <w:ind w:left="1416"/>
      </w:pPr>
      <w:r>
        <w:t xml:space="preserve">umweltbedingte Ursachen </w:t>
      </w:r>
      <w:r w:rsidR="00D056E9">
        <w:tab/>
      </w:r>
      <w:r w:rsidR="00D056E9">
        <w:tab/>
      </w:r>
      <w:r>
        <w:t>„ruhender Verschleiß“ und Wertverluste</w:t>
      </w:r>
      <w:r w:rsidR="00D056E9">
        <w:br/>
        <w:t xml:space="preserve"> </w:t>
      </w:r>
      <w:r w:rsidR="00D056E9">
        <w:tab/>
      </w:r>
      <w:r w:rsidR="00D056E9">
        <w:tab/>
      </w:r>
      <w:r w:rsidR="00D056E9">
        <w:tab/>
      </w:r>
      <w:r w:rsidR="00D056E9">
        <w:tab/>
      </w:r>
      <w:r w:rsidR="00D056E9">
        <w:tab/>
      </w:r>
      <w:r>
        <w:t>durch Naturkatastrophen</w:t>
      </w:r>
    </w:p>
    <w:p w14:paraId="46E2EF16" w14:textId="77777777" w:rsidR="00D056E9" w:rsidRDefault="00FB1A29" w:rsidP="00FB1A29">
      <w:pPr>
        <w:ind w:left="1416"/>
      </w:pPr>
      <w:r>
        <w:t xml:space="preserve">wirtschaftliche Ursachen </w:t>
      </w:r>
      <w:r w:rsidR="00D056E9">
        <w:tab/>
      </w:r>
      <w:r w:rsidR="00D056E9">
        <w:tab/>
      </w:r>
      <w:r>
        <w:t>verursacht durch technischen Fortschritt</w:t>
      </w:r>
    </w:p>
    <w:p w14:paraId="6EC4BDCF" w14:textId="4A397104" w:rsidR="003E5138" w:rsidRDefault="00FB1A29" w:rsidP="00FB1A29">
      <w:pPr>
        <w:ind w:left="1416"/>
      </w:pPr>
      <w:r>
        <w:t xml:space="preserve">rechtliche Ursachen </w:t>
      </w:r>
      <w:r w:rsidR="00D056E9">
        <w:tab/>
      </w:r>
      <w:r w:rsidR="00D056E9">
        <w:tab/>
      </w:r>
      <w:r w:rsidR="00D056E9">
        <w:tab/>
      </w:r>
      <w:r>
        <w:t>Ablauf von Patenten/ Konzessionen und</w:t>
      </w:r>
      <w:r w:rsidR="00D056E9">
        <w:br/>
        <w:t xml:space="preserve"> </w:t>
      </w:r>
      <w:r w:rsidR="00D056E9">
        <w:tab/>
      </w:r>
      <w:r w:rsidR="00D056E9">
        <w:tab/>
      </w:r>
      <w:r w:rsidR="00D056E9">
        <w:tab/>
      </w:r>
      <w:r w:rsidR="00D056E9">
        <w:tab/>
      </w:r>
      <w:r w:rsidR="00D056E9">
        <w:tab/>
      </w:r>
      <w:r>
        <w:t>gesetzliche Nutzungsbegrenzunge</w:t>
      </w:r>
      <w:r w:rsidR="00D056E9">
        <w:t>n</w:t>
      </w:r>
    </w:p>
    <w:p w14:paraId="18B185EA" w14:textId="6D6B2537" w:rsidR="00EF5FDF" w:rsidRDefault="00EF5FDF" w:rsidP="00EF5FDF"/>
    <w:p w14:paraId="427FAC8F" w14:textId="70B2D1FC" w:rsidR="00EF5FDF" w:rsidRPr="00CA37C3" w:rsidRDefault="00EF5FDF" w:rsidP="00EF5FDF">
      <w:pPr>
        <w:rPr>
          <w:u w:val="single"/>
        </w:rPr>
      </w:pPr>
      <w:r>
        <w:tab/>
      </w:r>
      <w:r w:rsidRPr="00CA37C3">
        <w:rPr>
          <w:u w:val="single"/>
        </w:rPr>
        <w:t>Abschreibungsmethoden</w:t>
      </w:r>
    </w:p>
    <w:p w14:paraId="172E96E7" w14:textId="1A72278E" w:rsidR="00EF5FDF" w:rsidRDefault="00A65647" w:rsidP="00A65647">
      <w:pPr>
        <w:ind w:left="1416" w:firstLine="4"/>
      </w:pPr>
      <w:r>
        <w:t>- Linear</w:t>
      </w:r>
      <w:r>
        <w:br/>
        <w:t xml:space="preserve">- geometrisch-degressiv </w:t>
      </w:r>
      <w:r w:rsidR="00CA37C3">
        <w:tab/>
      </w:r>
      <w:r w:rsidR="00CA37C3">
        <w:tab/>
      </w:r>
      <w:r w:rsidR="00CA37C3">
        <w:tab/>
        <w:t xml:space="preserve">Wertansatz der Abschreibung, z. B. </w:t>
      </w:r>
      <w:r>
        <w:br/>
        <w:t xml:space="preserve">- arithmetisch-degressiv </w:t>
      </w:r>
      <w:r w:rsidR="00CA37C3">
        <w:tab/>
      </w:r>
      <w:r w:rsidR="00CA37C3">
        <w:tab/>
      </w:r>
      <w:r w:rsidR="00CA37C3">
        <w:tab/>
        <w:t>Anschaffungs- oder Herstellkosten</w:t>
      </w:r>
      <w:r>
        <w:t xml:space="preserve"> </w:t>
      </w:r>
      <w:r w:rsidR="004B36FF">
        <w:t xml:space="preserve">- - - </w:t>
      </w:r>
      <w:r>
        <w:t>geometrisch-progressiv</w:t>
      </w:r>
      <w:r w:rsidR="00CA37C3">
        <w:tab/>
      </w:r>
      <w:r w:rsidR="00CA37C3">
        <w:tab/>
      </w:r>
      <w:r w:rsidR="00CA37C3">
        <w:tab/>
      </w:r>
      <w:r w:rsidR="004B36FF">
        <w:t>(</w:t>
      </w:r>
      <w:r w:rsidR="00CA37C3">
        <w:t xml:space="preserve">AHK), Wiederbeschaffungswerte </w:t>
      </w:r>
      <w:r>
        <w:br/>
        <w:t>- arithmetisch-progressiv</w:t>
      </w:r>
      <w:r w:rsidR="00CA37C3">
        <w:tab/>
      </w:r>
      <w:r w:rsidR="00CA37C3">
        <w:tab/>
      </w:r>
      <w:r w:rsidR="00CA37C3">
        <w:tab/>
        <w:t>(WBW)</w:t>
      </w:r>
      <w:r>
        <w:br/>
        <w:t>- nutzungsabhängig</w:t>
      </w:r>
    </w:p>
    <w:p w14:paraId="286444A2" w14:textId="29A9D0B9" w:rsidR="00972DFC" w:rsidRDefault="00972DFC" w:rsidP="00972DFC"/>
    <w:p w14:paraId="72B902D3" w14:textId="694EF346" w:rsidR="00972DFC" w:rsidRDefault="00972DFC" w:rsidP="00972DFC">
      <w:pPr>
        <w:rPr>
          <w:u w:val="single"/>
        </w:rPr>
      </w:pPr>
      <w:r>
        <w:tab/>
      </w:r>
      <w:r w:rsidRPr="00972DFC">
        <w:rPr>
          <w:u w:val="single"/>
        </w:rPr>
        <w:t>Abschreibungssumme</w:t>
      </w:r>
    </w:p>
    <w:p w14:paraId="14D7B43A" w14:textId="07BA9057" w:rsidR="00D304A2" w:rsidRDefault="00D304A2" w:rsidP="00972DFC">
      <w:r>
        <w:tab/>
      </w:r>
      <w:r w:rsidRPr="00D304A2">
        <w:rPr>
          <w:noProof/>
        </w:rPr>
        <w:drawing>
          <wp:inline distT="0" distB="0" distL="0" distR="0" wp14:anchorId="60CC3980" wp14:editId="42606975">
            <wp:extent cx="3150629" cy="1016175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968" cy="102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FD20" w14:textId="00DE6BDA" w:rsidR="00D304A2" w:rsidRDefault="00D304A2" w:rsidP="00972DFC"/>
    <w:p w14:paraId="6FDC38A6" w14:textId="741590CE" w:rsidR="00D304A2" w:rsidRPr="00117CAA" w:rsidRDefault="00632A3F" w:rsidP="00972DFC">
      <w:pPr>
        <w:rPr>
          <w:b/>
          <w:u w:val="single"/>
        </w:rPr>
      </w:pPr>
      <w:r w:rsidRPr="00117CAA">
        <w:rPr>
          <w:b/>
          <w:u w:val="single"/>
        </w:rPr>
        <w:t>Kalkulatorische Zinskosten</w:t>
      </w:r>
    </w:p>
    <w:p w14:paraId="7A61345B" w14:textId="13FC5E33" w:rsidR="00A87383" w:rsidRDefault="00775019" w:rsidP="00775019">
      <w:pPr>
        <w:ind w:left="708" w:firstLine="2"/>
      </w:pPr>
      <w:r>
        <w:t>erfassen die für das gebundene betriebsnotwendige Kapital zu berücksichtigenden Zinskosten</w:t>
      </w:r>
    </w:p>
    <w:p w14:paraId="791542AE" w14:textId="4C82A339" w:rsidR="00772E2A" w:rsidRDefault="00772E2A" w:rsidP="002A0A70">
      <w:r w:rsidRPr="00117CAA">
        <w:rPr>
          <w:u w:val="single"/>
        </w:rPr>
        <w:t>Möglichkeiten zur Festlegung des kalkulatorischen Zinssatzes</w:t>
      </w:r>
      <w:r w:rsidRPr="00117CAA">
        <w:rPr>
          <w:u w:val="single"/>
        </w:rPr>
        <w:t>:</w:t>
      </w:r>
      <w:r>
        <w:br/>
      </w:r>
      <w:r>
        <w:tab/>
      </w:r>
      <w:r w:rsidR="005E579F">
        <w:t xml:space="preserve">- </w:t>
      </w:r>
      <w:r w:rsidR="005E579F">
        <w:t>Orientierung an marktgegebenen Zinssätzen, z. B. Haben</w:t>
      </w:r>
      <w:r w:rsidR="005E579F">
        <w:t xml:space="preserve">- </w:t>
      </w:r>
      <w:r w:rsidR="005E579F">
        <w:t>oder Sollzinssätzen</w:t>
      </w:r>
      <w:r w:rsidR="005E579F">
        <w:br/>
      </w:r>
      <w:r w:rsidR="005E579F">
        <w:tab/>
        <w:t xml:space="preserve">- </w:t>
      </w:r>
      <w:r w:rsidR="006A7660">
        <w:t>Festlegung eines spezifischen Zinssatzes</w:t>
      </w:r>
      <w:r w:rsidR="006A7660">
        <w:br/>
      </w:r>
      <w:r w:rsidR="006A7660">
        <w:tab/>
        <w:t xml:space="preserve">- </w:t>
      </w:r>
      <w:r w:rsidR="002A0A70">
        <w:t xml:space="preserve">Zugrundelegung der Verzinsung der von der Zinshöhe her lukrativsten nicht </w:t>
      </w:r>
      <w:r w:rsidR="002A0A70">
        <w:br/>
        <w:t xml:space="preserve"> </w:t>
      </w:r>
      <w:r w:rsidR="002A0A70">
        <w:tab/>
        <w:t xml:space="preserve">  </w:t>
      </w:r>
      <w:r w:rsidR="002A0A70">
        <w:t>gewählten Investitionsalternative</w:t>
      </w:r>
    </w:p>
    <w:p w14:paraId="4ABCA48A" w14:textId="42010C03" w:rsidR="004B4DE4" w:rsidRDefault="004B4DE4" w:rsidP="002A0A70"/>
    <w:p w14:paraId="3D36ACAD" w14:textId="77777777" w:rsidR="004B4DE4" w:rsidRDefault="004B4DE4" w:rsidP="002A0A70"/>
    <w:p w14:paraId="7C90C080" w14:textId="3BDD9214" w:rsidR="002A0A70" w:rsidRPr="00117CAA" w:rsidRDefault="004B4DE4" w:rsidP="002A0A70">
      <w:pPr>
        <w:rPr>
          <w:u w:val="single"/>
        </w:rPr>
      </w:pPr>
      <w:r w:rsidRPr="00117CAA">
        <w:rPr>
          <w:u w:val="single"/>
        </w:rPr>
        <w:lastRenderedPageBreak/>
        <w:t>Bewertungsgrundlage des betriebsnotwendigen, abnutzbaren Anlagevermögens</w:t>
      </w:r>
    </w:p>
    <w:p w14:paraId="15EAD7DE" w14:textId="3AA910F7" w:rsidR="00765677" w:rsidRDefault="00765677" w:rsidP="00117CAA">
      <w:pPr>
        <w:ind w:left="708" w:firstLine="2"/>
      </w:pPr>
      <w:r>
        <w:t>Durchschnittswertmethode</w:t>
      </w:r>
      <w:r w:rsidR="00117CAA">
        <w:br/>
      </w:r>
      <w:r>
        <w:t>Die kalkulatorischen Zinskosten werden auf der Basis des durchschnittlichen</w:t>
      </w:r>
      <w:r>
        <w:br/>
      </w:r>
      <w:r>
        <w:t>ursprünglichen Wertansatzes abnutzbarer Anlagegüter berechnet.</w:t>
      </w:r>
    </w:p>
    <w:p w14:paraId="3B5D95AC" w14:textId="7337DC9F" w:rsidR="003F25C3" w:rsidRDefault="00117CAA" w:rsidP="00117CAA">
      <w:pPr>
        <w:pStyle w:val="Listenabsatz"/>
        <w:numPr>
          <w:ilvl w:val="0"/>
          <w:numId w:val="1"/>
        </w:numPr>
      </w:pPr>
      <w:r>
        <w:t>konstante Kostenbelastung im Zeitverlauf</w:t>
      </w:r>
    </w:p>
    <w:p w14:paraId="60E7DC7F" w14:textId="1CDE13B0" w:rsidR="007F388A" w:rsidRDefault="007F388A" w:rsidP="007F388A">
      <w:pPr>
        <w:ind w:left="710"/>
      </w:pPr>
    </w:p>
    <w:p w14:paraId="2CA9F890" w14:textId="24ADCDF1" w:rsidR="00117CAA" w:rsidRDefault="00385DA9" w:rsidP="00117CAA">
      <w:pPr>
        <w:ind w:left="710"/>
      </w:pPr>
      <w:r>
        <w:t>Restwertmethode</w:t>
      </w:r>
      <w:r>
        <w:br/>
      </w:r>
      <w:r>
        <w:t>Die kalkulatorischen Zinskosten wer</w:t>
      </w:r>
      <w:r>
        <w:t>d</w:t>
      </w:r>
      <w:r>
        <w:t>en auf der Basis des durchschnittli</w:t>
      </w:r>
      <w:r>
        <w:t>c</w:t>
      </w:r>
      <w:r>
        <w:t>hen Restwertes abnutzbarer Anlagegüter berechnet</w:t>
      </w:r>
    </w:p>
    <w:p w14:paraId="20A745CD" w14:textId="48E7381F" w:rsidR="007F388A" w:rsidRDefault="007F388A" w:rsidP="007F388A">
      <w:pPr>
        <w:pStyle w:val="Listenabsatz"/>
        <w:numPr>
          <w:ilvl w:val="0"/>
          <w:numId w:val="1"/>
        </w:numPr>
      </w:pPr>
      <w:r>
        <w:t>kontinuierliche Abnahme der Kostenbelastung im Zeitverlauf</w:t>
      </w:r>
    </w:p>
    <w:p w14:paraId="5D2E1D30" w14:textId="6960E57C" w:rsidR="0042759A" w:rsidRDefault="00260504" w:rsidP="0042759A">
      <w:pPr>
        <w:ind w:left="710"/>
      </w:pPr>
      <w:r w:rsidRPr="0042759A">
        <w:drawing>
          <wp:inline distT="0" distB="0" distL="0" distR="0" wp14:anchorId="0D30C586" wp14:editId="08C7E60B">
            <wp:extent cx="2194560" cy="1562100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AB3F" w14:textId="6452F146" w:rsidR="0042759A" w:rsidRDefault="0042759A" w:rsidP="00C21B4C"/>
    <w:p w14:paraId="5CFEFCC5" w14:textId="54CD0A2E" w:rsidR="00C21B4C" w:rsidRDefault="00FC2B69" w:rsidP="00C21B4C">
      <w:pPr>
        <w:rPr>
          <w:b/>
          <w:u w:val="single"/>
        </w:rPr>
      </w:pPr>
      <w:r w:rsidRPr="00FC2B69">
        <w:rPr>
          <w:b/>
          <w:u w:val="single"/>
        </w:rPr>
        <w:t>Kalkulatorische Wagniskoste</w:t>
      </w:r>
    </w:p>
    <w:p w14:paraId="590C7574" w14:textId="10F4A2D0" w:rsidR="00FC2B69" w:rsidRDefault="00FC2B69" w:rsidP="00C21B4C">
      <w:r>
        <w:tab/>
      </w:r>
      <w:r w:rsidR="00EB1B49" w:rsidRPr="00EB1B49">
        <w:drawing>
          <wp:inline distT="0" distB="0" distL="0" distR="0" wp14:anchorId="7AAB4AF7" wp14:editId="1BFC233D">
            <wp:extent cx="3544570" cy="213760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39" cy="214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CAEC" w14:textId="77777777" w:rsidR="00805F5E" w:rsidRDefault="001C38F6" w:rsidP="00DD43C6">
      <w:r>
        <w:t>Bestimmung der (Einzel-)Wagniskosten</w:t>
      </w:r>
      <w:r>
        <w:t>:</w:t>
      </w:r>
    </w:p>
    <w:p w14:paraId="1416CDDF" w14:textId="7009AD07" w:rsidR="001C38F6" w:rsidRDefault="00DD43C6" w:rsidP="00805F5E">
      <w:pPr>
        <w:ind w:firstLine="708"/>
      </w:pPr>
      <w:r>
        <w:t>Bestimmung der Bezugsgröße (= Mengen- oder Wertgröße) des Einzelwagnisses z. B.</w:t>
      </w:r>
      <w:r>
        <w:br/>
        <w:t xml:space="preserve"> </w:t>
      </w:r>
      <w:r>
        <w:tab/>
      </w:r>
      <w:r>
        <w:t>auf der Basis vergangenen fünf Perioden (= t</w:t>
      </w:r>
      <w:r w:rsidRPr="00DD43C6">
        <w:rPr>
          <w:vertAlign w:val="subscript"/>
        </w:rPr>
        <w:t>-5</w:t>
      </w:r>
      <w:r>
        <w:t xml:space="preserve"> bis t</w:t>
      </w:r>
      <w:r w:rsidRPr="00DD43C6">
        <w:rPr>
          <w:vertAlign w:val="subscript"/>
        </w:rPr>
        <w:t>-1</w:t>
      </w:r>
      <w:r>
        <w:t>)</w:t>
      </w:r>
    </w:p>
    <w:p w14:paraId="1271CB3A" w14:textId="10F0396A" w:rsidR="003E3355" w:rsidRDefault="003E3355" w:rsidP="00DD43C6">
      <w:r>
        <w:tab/>
      </w:r>
      <w:r>
        <w:t>Festlegung des Wagniskostensatzes</w:t>
      </w:r>
      <w:r w:rsidR="00475AA1">
        <w:t xml:space="preserve"> =</w:t>
      </w:r>
      <w:r>
        <w:t xml:space="preserve"> Wagnishöhe</w:t>
      </w:r>
      <w:r w:rsidR="00805F5E">
        <w:t>n</w:t>
      </w:r>
      <w:r>
        <w:t>/Bezugsgröße</w:t>
      </w:r>
      <w:r w:rsidR="00805F5E">
        <w:t>n</w:t>
      </w:r>
      <w:r>
        <w:t xml:space="preserve"> </w:t>
      </w:r>
      <w:r w:rsidR="009F285B">
        <w:t>* 100</w:t>
      </w:r>
    </w:p>
    <w:p w14:paraId="05D9A1E6" w14:textId="530F5FE0" w:rsidR="00475AA1" w:rsidRDefault="00475AA1" w:rsidP="00DD43C6">
      <w:r>
        <w:tab/>
      </w:r>
      <w:r>
        <w:t>Berechnung der anzusetzenden Wagniskosten für t</w:t>
      </w:r>
      <w:r w:rsidRPr="00475AA1">
        <w:rPr>
          <w:vertAlign w:val="subscript"/>
        </w:rPr>
        <w:t>0</w:t>
      </w:r>
      <w:r>
        <w:t xml:space="preserve"> = Wagniskostensatz * Bezug</w:t>
      </w:r>
      <w:r w:rsidR="00E465AD">
        <w:t>sg</w:t>
      </w:r>
      <w:r>
        <w:t xml:space="preserve">röße </w:t>
      </w:r>
      <w:r w:rsidR="00805F5E">
        <w:t>(t</w:t>
      </w:r>
      <w:r w:rsidR="00805F5E">
        <w:rPr>
          <w:vertAlign w:val="subscript"/>
        </w:rPr>
        <w:t>0</w:t>
      </w:r>
      <w:r w:rsidR="00805F5E">
        <w:t>)</w:t>
      </w:r>
    </w:p>
    <w:p w14:paraId="37A0BAD9" w14:textId="0FDDE8E6" w:rsidR="00E465AD" w:rsidRDefault="00E465AD" w:rsidP="00DD43C6"/>
    <w:p w14:paraId="4F3C6ED5" w14:textId="5C74D2D2" w:rsidR="006B3CDB" w:rsidRDefault="006B3CDB" w:rsidP="00DD43C6"/>
    <w:p w14:paraId="08C89C48" w14:textId="77777777" w:rsidR="006B3CDB" w:rsidRDefault="006B3CDB" w:rsidP="00DD43C6"/>
    <w:p w14:paraId="50622774" w14:textId="635C719D" w:rsidR="00E465AD" w:rsidRDefault="00E465AD" w:rsidP="00DD43C6">
      <w:pPr>
        <w:rPr>
          <w:b/>
          <w:u w:val="single"/>
        </w:rPr>
      </w:pPr>
      <w:r w:rsidRPr="00E465AD">
        <w:rPr>
          <w:b/>
          <w:u w:val="single"/>
        </w:rPr>
        <w:lastRenderedPageBreak/>
        <w:t>Kalkulatorische Unternehmerlohnkosten</w:t>
      </w:r>
    </w:p>
    <w:p w14:paraId="6C7F7CA2" w14:textId="54C75390" w:rsidR="00E465AD" w:rsidRDefault="006B3CDB" w:rsidP="006B3CDB">
      <w:pPr>
        <w:ind w:left="708" w:firstLine="2"/>
      </w:pPr>
      <w:r>
        <w:t>erfolgt in Abhängigkeit der Rechtsform des Unternehmens, wenn der Eigentümer selbst in diesem tätig ist</w:t>
      </w:r>
    </w:p>
    <w:p w14:paraId="7DDDB0A6" w14:textId="7B077892" w:rsidR="006B3CDB" w:rsidRDefault="00DD5755" w:rsidP="006B3CDB">
      <w:pPr>
        <w:ind w:left="708" w:firstLine="2"/>
      </w:pPr>
      <w:r>
        <w:t>Da die Arbeitsleistung des Eigentümers über den Gewinn abgegolten wird, dürfen keine Lohn- oder Gehaltszahlungen vorgenommen oder verbucht werden</w:t>
      </w:r>
    </w:p>
    <w:p w14:paraId="68A97BF0" w14:textId="125B161D" w:rsidR="00DD5755" w:rsidRDefault="00DD5755" w:rsidP="006B3CDB">
      <w:pPr>
        <w:ind w:left="708" w:firstLine="2"/>
      </w:pPr>
      <w:r>
        <w:t>Basierend auf dem Opportunitätsgedanken handelt es sich somit bei den kalkulatorischen Unternehmerlohnkosten um sogenannte Zusatzkosten, denen kein Aufwand gegenübersteht</w:t>
      </w:r>
    </w:p>
    <w:p w14:paraId="116DE740" w14:textId="77777777" w:rsidR="00F844E0" w:rsidRDefault="00F844E0" w:rsidP="00F844E0"/>
    <w:p w14:paraId="38C3593F" w14:textId="6C9FF76A" w:rsidR="00F844E0" w:rsidRDefault="00F844E0" w:rsidP="00F844E0">
      <w:pPr>
        <w:rPr>
          <w:b/>
          <w:u w:val="single"/>
        </w:rPr>
      </w:pPr>
      <w:r w:rsidRPr="00F844E0">
        <w:rPr>
          <w:b/>
          <w:u w:val="single"/>
        </w:rPr>
        <w:t>Kalkulatorische Mietkosten</w:t>
      </w:r>
    </w:p>
    <w:p w14:paraId="4FE38249" w14:textId="77CF59B7" w:rsidR="00F844E0" w:rsidRDefault="000C635D" w:rsidP="000C635D">
      <w:pPr>
        <w:ind w:left="708" w:firstLine="2"/>
      </w:pPr>
      <w:r>
        <w:t>„Kalkulatorische Miete wird verrechnet für die betriebliche Nutzung von Räumen die ein Einzelunternehmer oder Gesellschafter einer Personengesellschaft in seinem Privatbesitz hält und der Unternehmung zur betrieblichen Nutzung unentgeltlich überlässt.“</w:t>
      </w:r>
    </w:p>
    <w:p w14:paraId="68B1AB34" w14:textId="31453D45" w:rsidR="000C635D" w:rsidRPr="00F844E0" w:rsidRDefault="00217588" w:rsidP="000C635D">
      <w:pPr>
        <w:ind w:left="708" w:firstLine="2"/>
      </w:pPr>
      <w:r>
        <w:t>Der Ansatz kalkulatorischer Mietkosten erfolgt regelmäßig – dem Opportunitätsgedanken folgend – in Höhe von Vergleichs</w:t>
      </w:r>
      <w:r>
        <w:t>mieten oder entgangener Mieterträge</w:t>
      </w:r>
    </w:p>
    <w:sectPr w:rsidR="000C635D" w:rsidRPr="00F844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4327D"/>
    <w:multiLevelType w:val="hybridMultilevel"/>
    <w:tmpl w:val="D4A09C84"/>
    <w:lvl w:ilvl="0" w:tplc="22D0109E">
      <w:start w:val="4"/>
      <w:numFmt w:val="bullet"/>
      <w:lvlText w:val=""/>
      <w:lvlJc w:val="left"/>
      <w:pPr>
        <w:ind w:left="107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80151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D5D"/>
    <w:rsid w:val="000C635D"/>
    <w:rsid w:val="00117CAA"/>
    <w:rsid w:val="001C38F6"/>
    <w:rsid w:val="001D6066"/>
    <w:rsid w:val="00217588"/>
    <w:rsid w:val="0022734F"/>
    <w:rsid w:val="00260504"/>
    <w:rsid w:val="002A0A70"/>
    <w:rsid w:val="00385DA9"/>
    <w:rsid w:val="003E3355"/>
    <w:rsid w:val="003E5138"/>
    <w:rsid w:val="003F25C3"/>
    <w:rsid w:val="0042759A"/>
    <w:rsid w:val="00475AA1"/>
    <w:rsid w:val="004B36FF"/>
    <w:rsid w:val="004B4DE4"/>
    <w:rsid w:val="00564E51"/>
    <w:rsid w:val="005E579F"/>
    <w:rsid w:val="00632A3F"/>
    <w:rsid w:val="006A7660"/>
    <w:rsid w:val="006B3CDB"/>
    <w:rsid w:val="00765677"/>
    <w:rsid w:val="00772E2A"/>
    <w:rsid w:val="00775019"/>
    <w:rsid w:val="007F388A"/>
    <w:rsid w:val="00805F5E"/>
    <w:rsid w:val="00972DFC"/>
    <w:rsid w:val="009F285B"/>
    <w:rsid w:val="00A65647"/>
    <w:rsid w:val="00A87383"/>
    <w:rsid w:val="00C21B4C"/>
    <w:rsid w:val="00CA37C3"/>
    <w:rsid w:val="00D056E9"/>
    <w:rsid w:val="00D304A2"/>
    <w:rsid w:val="00DD43C6"/>
    <w:rsid w:val="00DD5755"/>
    <w:rsid w:val="00E465AD"/>
    <w:rsid w:val="00EB1B49"/>
    <w:rsid w:val="00EF5FDF"/>
    <w:rsid w:val="00F27D5D"/>
    <w:rsid w:val="00F844E0"/>
    <w:rsid w:val="00FB1A29"/>
    <w:rsid w:val="00FC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AF9CD"/>
  <w15:chartTrackingRefBased/>
  <w15:docId w15:val="{5FD9B143-F9B4-4ECA-9B00-1E28CDB3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17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407</Words>
  <Characters>2568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43</cp:revision>
  <dcterms:created xsi:type="dcterms:W3CDTF">2022-05-23T09:03:00Z</dcterms:created>
  <dcterms:modified xsi:type="dcterms:W3CDTF">2022-05-30T09:39:00Z</dcterms:modified>
</cp:coreProperties>
</file>