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B829" w14:textId="7A77F0C6" w:rsidR="008F78CF" w:rsidRPr="00962EEE" w:rsidRDefault="00457874" w:rsidP="00962EEE">
      <w:pPr>
        <w:jc w:val="center"/>
        <w:rPr>
          <w:b/>
          <w:u w:val="single"/>
        </w:rPr>
      </w:pPr>
      <w:r w:rsidRPr="00407009">
        <w:drawing>
          <wp:anchor distT="0" distB="0" distL="114300" distR="114300" simplePos="0" relativeHeight="251658240" behindDoc="1" locked="0" layoutInCell="1" allowOverlap="1" wp14:anchorId="6337D096" wp14:editId="686FC0CD">
            <wp:simplePos x="0" y="0"/>
            <wp:positionH relativeFrom="column">
              <wp:posOffset>4402455</wp:posOffset>
            </wp:positionH>
            <wp:positionV relativeFrom="paragraph">
              <wp:posOffset>-537845</wp:posOffset>
            </wp:positionV>
            <wp:extent cx="1431925" cy="1047380"/>
            <wp:effectExtent l="0" t="0" r="0" b="635"/>
            <wp:wrapNone/>
            <wp:docPr id="1" name="Grafik 1" descr="Ein Bild, das Text, drinnen, Perso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drinnen, Person, Screensho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04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261" w:rsidRPr="00962EEE">
        <w:rPr>
          <w:b/>
          <w:u w:val="single"/>
        </w:rPr>
        <w:t>Besonderheiten beim Einkauf</w:t>
      </w:r>
    </w:p>
    <w:p w14:paraId="2533AB9E" w14:textId="55FE98F1" w:rsidR="00167261" w:rsidRPr="00962EEE" w:rsidRDefault="00167261">
      <w:pPr>
        <w:rPr>
          <w:u w:val="single"/>
        </w:rPr>
      </w:pPr>
      <w:r w:rsidRPr="00962EEE">
        <w:rPr>
          <w:u w:val="single"/>
        </w:rPr>
        <w:t>Ermittlung der Anschaffungskosten</w:t>
      </w:r>
    </w:p>
    <w:p w14:paraId="33AF1A7F" w14:textId="61D66F47" w:rsidR="00167261" w:rsidRDefault="00962EEE">
      <w:r>
        <w:t>Gegenstände des AV/UV sind zum Zeitpunkt des Erwerbs mit ihren Anschaffungskosten (AK) auf dem entsprechenden Anlagekonto zu aktivieren</w:t>
      </w:r>
      <w:r>
        <w:t>.</w:t>
      </w:r>
    </w:p>
    <w:p w14:paraId="70C242FC" w14:textId="06CD30F4" w:rsidR="00962EEE" w:rsidRDefault="00457874">
      <w:r w:rsidRPr="00457874">
        <w:drawing>
          <wp:inline distT="0" distB="0" distL="0" distR="0" wp14:anchorId="08DBAD27" wp14:editId="7AE4A216">
            <wp:extent cx="4865370" cy="2380663"/>
            <wp:effectExtent l="0" t="0" r="0" b="635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504" cy="23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3FC7" w14:textId="0B5B7FC6" w:rsidR="00407009" w:rsidRDefault="00407009"/>
    <w:p w14:paraId="50419789" w14:textId="4D3CE454" w:rsidR="00407009" w:rsidRDefault="003723F0">
      <w:pPr>
        <w:rPr>
          <w:u w:val="single"/>
        </w:rPr>
      </w:pPr>
      <w:r w:rsidRPr="003723F0">
        <w:rPr>
          <w:u w:val="single"/>
        </w:rPr>
        <w:t>Buchhalterische Erfassung der Eingangsrechnung</w:t>
      </w:r>
    </w:p>
    <w:p w14:paraId="6B187458" w14:textId="243454D9" w:rsidR="00F87121" w:rsidRDefault="00F87121">
      <w:r w:rsidRPr="00F64FA0">
        <w:rPr>
          <w:b/>
        </w:rPr>
        <w:t>Sofortrabatte</w:t>
      </w:r>
      <w:r>
        <w:t xml:space="preserve"> werden buchhalterisch nicht auf einem eigenen Konto erfasst</w:t>
      </w:r>
      <w:r>
        <w:t>.</w:t>
      </w:r>
    </w:p>
    <w:p w14:paraId="42852226" w14:textId="77777777" w:rsidR="0058190A" w:rsidRDefault="00F87121">
      <w:r w:rsidRPr="00F64FA0">
        <w:rPr>
          <w:b/>
        </w:rPr>
        <w:t>Bezugskosten</w:t>
      </w:r>
      <w:r>
        <w:t xml:space="preserve"> sind ANK und damit aktivierungspflichtige Anschaffungskosten</w:t>
      </w:r>
      <w:r>
        <w:t>.</w:t>
      </w:r>
      <w:r w:rsidR="0058190A">
        <w:t xml:space="preserve"> </w:t>
      </w:r>
      <w:r>
        <w:t>Ihre gesonderte Erfassung auf einem Unterkonto „Bezugskosten“ ermöglicht die Überwachung der Wirtschaftlichkeit dieser Kosten und zugleich eine aussagefähige Bezugskalkulation.</w:t>
      </w:r>
    </w:p>
    <w:p w14:paraId="5928E8B7" w14:textId="77777777" w:rsidR="00B20A86" w:rsidRDefault="00F87121">
      <w:r>
        <w:t xml:space="preserve">Die </w:t>
      </w:r>
      <w:r w:rsidRPr="005E31C4">
        <w:rPr>
          <w:b/>
        </w:rPr>
        <w:t>Umbuchung</w:t>
      </w:r>
      <w:r>
        <w:t xml:space="preserve"> der Bezugskosten auf das entsprechende Bestandskonto erfolgt i.d.R. monatlich. Die Bestandskonten weisen danach die nach § 255 Abs. 1 HGB vorgeschriebenen Anschaffungskosten (= Bezugspreise) aus. </w:t>
      </w:r>
    </w:p>
    <w:p w14:paraId="34104614" w14:textId="00E4487C" w:rsidR="003723F0" w:rsidRDefault="00F87121">
      <w:r w:rsidRPr="005E31C4">
        <w:rPr>
          <w:b/>
        </w:rPr>
        <w:t>Preisnachlässe</w:t>
      </w:r>
      <w:r>
        <w:t xml:space="preserve"> wie z.B. Skonti mindern nachträglich den Anschaffungspreis. Auch sie werden zunächst gesondert in einem Unterkonto „Preisnachlässe“ erfasst und über das entsprechende Bestandskonto abgeschlossen.</w:t>
      </w:r>
    </w:p>
    <w:p w14:paraId="50BD60B6" w14:textId="288A9F14" w:rsidR="0059591D" w:rsidRDefault="0059591D">
      <w:r w:rsidRPr="0059591D">
        <w:drawing>
          <wp:inline distT="0" distB="0" distL="0" distR="0" wp14:anchorId="73E4A707" wp14:editId="10C3DB49">
            <wp:extent cx="4795520" cy="2077953"/>
            <wp:effectExtent l="0" t="0" r="508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639" cy="20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93A3" w14:textId="418C4F6E" w:rsidR="00AF0453" w:rsidRDefault="00AF0453" w:rsidP="00AF0453">
      <w:pPr>
        <w:tabs>
          <w:tab w:val="left" w:pos="8260"/>
        </w:tabs>
      </w:pPr>
      <w:r>
        <w:tab/>
      </w:r>
    </w:p>
    <w:p w14:paraId="3ECFF937" w14:textId="4B988D0B" w:rsidR="00AF0453" w:rsidRDefault="00AF0453" w:rsidP="00AF0453">
      <w:pPr>
        <w:tabs>
          <w:tab w:val="left" w:pos="8260"/>
        </w:tabs>
      </w:pPr>
    </w:p>
    <w:p w14:paraId="3667C593" w14:textId="13E4EB54" w:rsidR="00AF0453" w:rsidRPr="00C9657F" w:rsidRDefault="00AF0453" w:rsidP="00AF0453">
      <w:pPr>
        <w:tabs>
          <w:tab w:val="left" w:pos="8260"/>
        </w:tabs>
        <w:rPr>
          <w:u w:val="single"/>
        </w:rPr>
      </w:pPr>
      <w:r w:rsidRPr="00C9657F">
        <w:rPr>
          <w:u w:val="single"/>
        </w:rPr>
        <w:lastRenderedPageBreak/>
        <w:t>Rücksendungen von Werkstoffen an Lieferanten</w:t>
      </w:r>
    </w:p>
    <w:p w14:paraId="50249EF3" w14:textId="220DE96A" w:rsidR="00AF0453" w:rsidRDefault="00C9657F" w:rsidP="00AF0453">
      <w:pPr>
        <w:tabs>
          <w:tab w:val="left" w:pos="8260"/>
        </w:tabs>
      </w:pPr>
      <w:r>
        <w:t>Bei einer Rücksendung mangelhafter Werkstoffe und Handelswaren an den Lieferanten, weil sie falsch oder mit Mängeln behaftet waren, ändert sich nachträglich die Bemessungsgrundlage der Umsatzsteue</w:t>
      </w:r>
      <w:r>
        <w:t>r</w:t>
      </w:r>
      <w:r>
        <w:t xml:space="preserve"> und damit auch anteilig die bereits gebuchte Vorsteuer.</w:t>
      </w:r>
    </w:p>
    <w:p w14:paraId="0AC05CA1" w14:textId="2F518A58" w:rsidR="00C9657F" w:rsidRDefault="00C72F7B" w:rsidP="00AF0453">
      <w:pPr>
        <w:tabs>
          <w:tab w:val="left" w:pos="8260"/>
        </w:tabs>
      </w:pPr>
      <w:r w:rsidRPr="00C72F7B">
        <w:drawing>
          <wp:inline distT="0" distB="0" distL="0" distR="0" wp14:anchorId="50C6CD24" wp14:editId="4012E114">
            <wp:extent cx="4598670" cy="2094037"/>
            <wp:effectExtent l="0" t="0" r="0" b="1905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882" cy="20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124A" w14:textId="29EC6CC3" w:rsidR="00C72F7B" w:rsidRDefault="00C72F7B" w:rsidP="00AF0453">
      <w:pPr>
        <w:tabs>
          <w:tab w:val="left" w:pos="8260"/>
        </w:tabs>
      </w:pPr>
    </w:p>
    <w:p w14:paraId="6E1537C0" w14:textId="714761B7" w:rsidR="000353F2" w:rsidRPr="00C05C8A" w:rsidRDefault="000353F2" w:rsidP="00AF0453">
      <w:pPr>
        <w:tabs>
          <w:tab w:val="left" w:pos="8260"/>
        </w:tabs>
        <w:rPr>
          <w:u w:val="single"/>
        </w:rPr>
      </w:pPr>
      <w:r w:rsidRPr="00C05C8A">
        <w:rPr>
          <w:u w:val="single"/>
        </w:rPr>
        <w:t>Nachträgliche Preisnachlässe im Beschaffungsbereich</w:t>
      </w:r>
    </w:p>
    <w:p w14:paraId="5A7CA63C" w14:textId="2751B9AD" w:rsidR="000353F2" w:rsidRDefault="00F14A4C" w:rsidP="00C05C8A">
      <w:r w:rsidRPr="00C05C8A">
        <w:t xml:space="preserve">Nachlässe, die uns nachträglich von Lieferanten in Form von </w:t>
      </w:r>
      <w:r w:rsidRPr="00C05C8A">
        <w:br/>
        <w:t xml:space="preserve"> </w:t>
      </w:r>
      <w:r w:rsidR="00C05C8A">
        <w:tab/>
      </w:r>
      <w:r w:rsidRPr="00C05C8A">
        <w:t xml:space="preserve">- Preisnachlässen aufgrund von Mängelrügen </w:t>
      </w:r>
      <w:r w:rsidR="00C05C8A">
        <w:br/>
        <w:t xml:space="preserve"> </w:t>
      </w:r>
      <w:r w:rsidR="00C05C8A">
        <w:tab/>
      </w:r>
      <w:r w:rsidRPr="00C05C8A">
        <w:t xml:space="preserve">- Boni bzw. Treue- oder Umsatzrabatten und </w:t>
      </w:r>
      <w:r w:rsidR="00C05C8A">
        <w:br/>
        <w:t xml:space="preserve"> </w:t>
      </w:r>
      <w:r w:rsidR="00C05C8A">
        <w:tab/>
      </w:r>
      <w:r w:rsidRPr="00C05C8A">
        <w:t xml:space="preserve">- Skonti </w:t>
      </w:r>
      <w:r w:rsidR="00C05C8A">
        <w:br/>
      </w:r>
      <w:r w:rsidRPr="00C05C8A">
        <w:t>gewährt werden, mindern den Anschaffungs- bzw. Einkaufspreis der bezogenen Werkstoffe und Handelswaren</w:t>
      </w:r>
      <w:r w:rsidR="00C05C8A">
        <w:t xml:space="preserve"> </w:t>
      </w:r>
      <w:r w:rsidRPr="00C05C8A">
        <w:t>und damit auch die darauf entfallene Vorsteuer</w:t>
      </w:r>
      <w:r w:rsidR="00C05C8A">
        <w:t>.</w:t>
      </w:r>
    </w:p>
    <w:p w14:paraId="054CD7BA" w14:textId="0ED4701D" w:rsidR="00E55A73" w:rsidRDefault="00E55A73" w:rsidP="00C05C8A">
      <w:r w:rsidRPr="00E55A73">
        <w:drawing>
          <wp:inline distT="0" distB="0" distL="0" distR="0" wp14:anchorId="7DADF570" wp14:editId="1D1A2399">
            <wp:extent cx="3708399" cy="1304562"/>
            <wp:effectExtent l="0" t="0" r="6985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423" cy="13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BF9C" w14:textId="043807A7" w:rsidR="00E55A73" w:rsidRDefault="00E55A73" w:rsidP="00C05C8A">
      <w:r>
        <w:t>Zum Monatsende</w:t>
      </w:r>
      <w:r w:rsidR="00781F51">
        <w:t xml:space="preserve"> werden Unterkonten auf Bestandskonten gebucht</w:t>
      </w:r>
    </w:p>
    <w:p w14:paraId="748A4BA9" w14:textId="1D4DE7A1" w:rsidR="00781F51" w:rsidRDefault="00781F51" w:rsidP="00C05C8A">
      <w:r w:rsidRPr="00781F51">
        <w:drawing>
          <wp:inline distT="0" distB="0" distL="0" distR="0" wp14:anchorId="7341942A" wp14:editId="1C41A46F">
            <wp:extent cx="3803645" cy="31016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592" cy="31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D2E5" w14:textId="782C5866" w:rsidR="00781F51" w:rsidRPr="00C05C8A" w:rsidRDefault="00F2514B" w:rsidP="00C05C8A">
      <w:r w:rsidRPr="00F2514B">
        <w:lastRenderedPageBreak/>
        <w:drawing>
          <wp:inline distT="0" distB="0" distL="0" distR="0" wp14:anchorId="58482768" wp14:editId="56A985AE">
            <wp:extent cx="5760720" cy="5544820"/>
            <wp:effectExtent l="0" t="0" r="0" b="0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F51" w:rsidRPr="00C05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FF"/>
    <w:rsid w:val="000353F2"/>
    <w:rsid w:val="00167261"/>
    <w:rsid w:val="003723F0"/>
    <w:rsid w:val="00407009"/>
    <w:rsid w:val="00457874"/>
    <w:rsid w:val="0058190A"/>
    <w:rsid w:val="0059591D"/>
    <w:rsid w:val="005E31C4"/>
    <w:rsid w:val="00781F51"/>
    <w:rsid w:val="008F78CF"/>
    <w:rsid w:val="00962EEE"/>
    <w:rsid w:val="00AF0453"/>
    <w:rsid w:val="00B20A86"/>
    <w:rsid w:val="00C05C8A"/>
    <w:rsid w:val="00C72F7B"/>
    <w:rsid w:val="00C9657F"/>
    <w:rsid w:val="00E55A73"/>
    <w:rsid w:val="00F14A4C"/>
    <w:rsid w:val="00F2514B"/>
    <w:rsid w:val="00F64FA0"/>
    <w:rsid w:val="00F87121"/>
    <w:rsid w:val="00FC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B516"/>
  <w15:chartTrackingRefBased/>
  <w15:docId w15:val="{53837669-A64D-45ED-A24F-D1E8A884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21</cp:revision>
  <dcterms:created xsi:type="dcterms:W3CDTF">2022-06-08T07:56:00Z</dcterms:created>
  <dcterms:modified xsi:type="dcterms:W3CDTF">2022-06-08T08:12:00Z</dcterms:modified>
</cp:coreProperties>
</file>