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7FE4" w14:textId="5166ABE4" w:rsidR="00E01C76" w:rsidRPr="00D93728" w:rsidRDefault="00D93728" w:rsidP="00384AAA">
      <w:pPr>
        <w:rPr>
          <w:b/>
          <w:bCs/>
          <w:sz w:val="32"/>
          <w:szCs w:val="32"/>
          <w:lang w:val="de-DE"/>
        </w:rPr>
      </w:pPr>
      <w:r w:rsidRPr="00D93728">
        <w:rPr>
          <w:b/>
          <w:bCs/>
          <w:sz w:val="32"/>
          <w:szCs w:val="32"/>
          <w:lang w:val="de-DE"/>
        </w:rPr>
        <w:t xml:space="preserve">Übungsaufgabe Support Vector </w:t>
      </w:r>
      <w:proofErr w:type="spellStart"/>
      <w:r w:rsidRPr="00D93728">
        <w:rPr>
          <w:b/>
          <w:bCs/>
          <w:sz w:val="32"/>
          <w:szCs w:val="32"/>
          <w:lang w:val="de-DE"/>
        </w:rPr>
        <w:t>Machine</w:t>
      </w:r>
      <w:proofErr w:type="spellEnd"/>
      <w:r w:rsidRPr="00D93728">
        <w:rPr>
          <w:b/>
          <w:bCs/>
          <w:sz w:val="32"/>
          <w:szCs w:val="32"/>
          <w:lang w:val="de-DE"/>
        </w:rPr>
        <w:t xml:space="preserve"> (SVM)</w:t>
      </w:r>
    </w:p>
    <w:p w14:paraId="406EEBA3" w14:textId="77777777" w:rsidR="00D93728" w:rsidRDefault="00D93728" w:rsidP="00384AAA">
      <w:pPr>
        <w:rPr>
          <w:sz w:val="22"/>
          <w:lang w:val="de-DE"/>
        </w:rPr>
      </w:pPr>
    </w:p>
    <w:p w14:paraId="12D6D8F0" w14:textId="77777777" w:rsidR="00D93728" w:rsidRPr="00D93728" w:rsidRDefault="00D93728" w:rsidP="00D93728">
      <w:pPr>
        <w:rPr>
          <w:sz w:val="24"/>
          <w:szCs w:val="24"/>
          <w:lang w:val="de-DE"/>
        </w:rPr>
      </w:pPr>
      <w:r w:rsidRPr="00D93728">
        <w:rPr>
          <w:sz w:val="24"/>
          <w:szCs w:val="24"/>
          <w:lang w:val="de-DE"/>
        </w:rPr>
        <w:t xml:space="preserve">Verwenden Sie den </w:t>
      </w:r>
      <w:proofErr w:type="spellStart"/>
      <w:r w:rsidRPr="00D93728">
        <w:rPr>
          <w:b/>
          <w:bCs/>
          <w:sz w:val="24"/>
          <w:szCs w:val="24"/>
          <w:lang w:val="de-DE"/>
        </w:rPr>
        <w:t>digits</w:t>
      </w:r>
      <w:proofErr w:type="spellEnd"/>
      <w:r w:rsidRPr="00D93728">
        <w:rPr>
          <w:b/>
          <w:bCs/>
          <w:sz w:val="24"/>
          <w:szCs w:val="24"/>
          <w:lang w:val="de-DE"/>
        </w:rPr>
        <w:t>-Datensatz</w:t>
      </w:r>
      <w:r w:rsidRPr="00D93728">
        <w:rPr>
          <w:sz w:val="24"/>
          <w:szCs w:val="24"/>
          <w:lang w:val="de-DE"/>
        </w:rPr>
        <w:t xml:space="preserve"> aus </w:t>
      </w:r>
      <w:proofErr w:type="spellStart"/>
      <w:proofErr w:type="gramStart"/>
      <w:r w:rsidRPr="00D93728">
        <w:rPr>
          <w:b/>
          <w:bCs/>
          <w:sz w:val="24"/>
          <w:szCs w:val="24"/>
          <w:lang w:val="de-DE"/>
        </w:rPr>
        <w:t>sklearn.datasets</w:t>
      </w:r>
      <w:proofErr w:type="spellEnd"/>
      <w:proofErr w:type="gramEnd"/>
      <w:r w:rsidRPr="00D93728">
        <w:rPr>
          <w:sz w:val="24"/>
          <w:szCs w:val="24"/>
          <w:lang w:val="de-DE"/>
        </w:rPr>
        <w:t xml:space="preserve">, um ein </w:t>
      </w:r>
      <w:r w:rsidRPr="00D93728">
        <w:rPr>
          <w:b/>
          <w:bCs/>
          <w:sz w:val="24"/>
          <w:szCs w:val="24"/>
          <w:lang w:val="de-DE"/>
        </w:rPr>
        <w:t>SVM-Modell</w:t>
      </w:r>
      <w:r w:rsidRPr="00D93728">
        <w:rPr>
          <w:sz w:val="24"/>
          <w:szCs w:val="24"/>
          <w:lang w:val="de-DE"/>
        </w:rPr>
        <w:t xml:space="preserve"> zu trainieren und die </w:t>
      </w:r>
      <w:r w:rsidRPr="00D93728">
        <w:rPr>
          <w:b/>
          <w:bCs/>
          <w:sz w:val="24"/>
          <w:szCs w:val="24"/>
          <w:lang w:val="de-DE"/>
        </w:rPr>
        <w:t>Genauigkeit</w:t>
      </w:r>
      <w:r w:rsidRPr="00D93728">
        <w:rPr>
          <w:sz w:val="24"/>
          <w:szCs w:val="24"/>
          <w:lang w:val="de-DE"/>
        </w:rPr>
        <w:t xml:space="preserve"> auf den Testdaten zu evaluieren. Implementieren Sie das Modell in </w:t>
      </w:r>
      <w:r w:rsidRPr="00D93728">
        <w:rPr>
          <w:b/>
          <w:bCs/>
          <w:sz w:val="24"/>
          <w:szCs w:val="24"/>
          <w:lang w:val="de-DE"/>
        </w:rPr>
        <w:t>Python</w:t>
      </w:r>
      <w:r w:rsidRPr="00D93728">
        <w:rPr>
          <w:sz w:val="24"/>
          <w:szCs w:val="24"/>
          <w:lang w:val="de-DE"/>
        </w:rPr>
        <w:t xml:space="preserve"> und visualisieren Sie die Ergebnisse. </w:t>
      </w:r>
    </w:p>
    <w:p w14:paraId="51BEA17A" w14:textId="77777777" w:rsidR="00D93728" w:rsidRPr="00D93728" w:rsidRDefault="00D93728" w:rsidP="00384AAA">
      <w:pPr>
        <w:rPr>
          <w:sz w:val="22"/>
          <w:lang w:val="de-DE"/>
        </w:rPr>
      </w:pPr>
    </w:p>
    <w:sectPr w:rsidR="00D93728" w:rsidRPr="00D9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DDB" w14:textId="77777777" w:rsidR="00643EEA" w:rsidRDefault="00643EEA" w:rsidP="00DB7D7B">
      <w:r>
        <w:separator/>
      </w:r>
    </w:p>
  </w:endnote>
  <w:endnote w:type="continuationSeparator" w:id="0">
    <w:p w14:paraId="04CCDA8D" w14:textId="77777777" w:rsidR="00643EEA" w:rsidRDefault="00643EEA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27E7" w14:textId="77777777" w:rsidR="00643EEA" w:rsidRDefault="00643EEA" w:rsidP="00DB7D7B">
      <w:r>
        <w:separator/>
      </w:r>
    </w:p>
  </w:footnote>
  <w:footnote w:type="continuationSeparator" w:id="0">
    <w:p w14:paraId="36FDFB4E" w14:textId="77777777" w:rsidR="00643EEA" w:rsidRDefault="00643EEA" w:rsidP="00DB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8"/>
    <w:rsid w:val="00026951"/>
    <w:rsid w:val="00047739"/>
    <w:rsid w:val="000E4661"/>
    <w:rsid w:val="001C1FBE"/>
    <w:rsid w:val="0029436E"/>
    <w:rsid w:val="002C71C3"/>
    <w:rsid w:val="002D6A37"/>
    <w:rsid w:val="00384AAA"/>
    <w:rsid w:val="004B3E3F"/>
    <w:rsid w:val="0052196E"/>
    <w:rsid w:val="005D48CF"/>
    <w:rsid w:val="00643EEA"/>
    <w:rsid w:val="006A0D3A"/>
    <w:rsid w:val="006D5E90"/>
    <w:rsid w:val="00772990"/>
    <w:rsid w:val="00807B7B"/>
    <w:rsid w:val="008278D4"/>
    <w:rsid w:val="009B5792"/>
    <w:rsid w:val="00A17154"/>
    <w:rsid w:val="00A60DD5"/>
    <w:rsid w:val="00AC7C02"/>
    <w:rsid w:val="00CD057F"/>
    <w:rsid w:val="00D16DE0"/>
    <w:rsid w:val="00D93728"/>
    <w:rsid w:val="00DB7D7B"/>
    <w:rsid w:val="00E01C76"/>
    <w:rsid w:val="00E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278A9"/>
  <w15:chartTrackingRefBased/>
  <w15:docId w15:val="{983E7AA7-DE82-43B0-86A1-60D5F17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78D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 Philipp SCW EHWT3D</dc:creator>
  <cp:keywords/>
  <dc:description/>
  <cp:lastModifiedBy>Schoen Philipp SCW EHWT3D</cp:lastModifiedBy>
  <cp:revision>1</cp:revision>
  <dcterms:created xsi:type="dcterms:W3CDTF">2024-07-01T21:24:00Z</dcterms:created>
  <dcterms:modified xsi:type="dcterms:W3CDTF">2024-07-01T21:26:00Z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2024-07-01T21:26:29Z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fdc728d0-a55f-483d-a0f0-1d7d3a76a19a</vt:lpwstr>
  </property>
  <property fmtid="{D5CDD505-2E9C-101B-9397-08002B2CF9AE}" pid="8" name="MSIP_Label_7294a1c8-9899-41e7-8f6e-8b1b3c79592a_ContentBits">
    <vt:lpwstr>0</vt:lpwstr>
  </property>
</Properties>
</file>