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B22EA" w14:textId="77777777" w:rsidR="00453D7A" w:rsidRDefault="00000000">
      <w:pPr>
        <w:spacing w:after="139" w:line="259" w:lineRule="auto"/>
        <w:ind w:left="0" w:right="871" w:firstLine="0"/>
        <w:jc w:val="center"/>
      </w:pPr>
      <w:r>
        <w:rPr>
          <w:sz w:val="34"/>
        </w:rPr>
        <w:t>Can Reinforcement Learning effectively detect money laundering, and how does it compare to leading supervised learning methods on synthetic transaction data?</w:t>
      </w:r>
    </w:p>
    <w:p w14:paraId="5E1758ED" w14:textId="77777777" w:rsidR="00453D7A" w:rsidRPr="009132E9" w:rsidRDefault="00000000">
      <w:pPr>
        <w:spacing w:after="0" w:line="265" w:lineRule="auto"/>
        <w:ind w:right="915"/>
        <w:jc w:val="center"/>
        <w:rPr>
          <w:lang w:val="nl-NL"/>
        </w:rPr>
      </w:pPr>
      <w:r w:rsidRPr="009132E9">
        <w:rPr>
          <w:sz w:val="24"/>
          <w:lang w:val="nl-NL"/>
        </w:rPr>
        <w:t>Kaan Gogcay</w:t>
      </w:r>
    </w:p>
    <w:p w14:paraId="40BB67D8" w14:textId="77777777" w:rsidR="00453D7A" w:rsidRPr="009132E9" w:rsidRDefault="00000000">
      <w:pPr>
        <w:spacing w:after="238" w:line="259" w:lineRule="auto"/>
        <w:ind w:left="0" w:right="915" w:firstLine="0"/>
        <w:jc w:val="center"/>
        <w:rPr>
          <w:lang w:val="nl-NL"/>
        </w:rPr>
      </w:pPr>
      <w:r w:rsidRPr="009132E9">
        <w:rPr>
          <w:sz w:val="18"/>
          <w:lang w:val="nl-NL"/>
        </w:rPr>
        <w:t>Hogeschool van Amsterdam</w:t>
      </w:r>
    </w:p>
    <w:p w14:paraId="708BAAF3" w14:textId="77777777" w:rsidR="00453D7A" w:rsidRPr="009132E9" w:rsidRDefault="00000000">
      <w:pPr>
        <w:spacing w:after="406" w:line="265" w:lineRule="auto"/>
        <w:ind w:right="915"/>
        <w:jc w:val="center"/>
        <w:rPr>
          <w:lang w:val="nl-NL"/>
        </w:rPr>
      </w:pPr>
      <w:r w:rsidRPr="009132E9">
        <w:rPr>
          <w:sz w:val="24"/>
          <w:lang w:val="nl-NL"/>
        </w:rPr>
        <w:t>May 11, 2026</w:t>
      </w:r>
    </w:p>
    <w:p w14:paraId="392A122E" w14:textId="77777777" w:rsidR="00453D7A" w:rsidRDefault="00000000">
      <w:pPr>
        <w:pStyle w:val="Heading1"/>
        <w:numPr>
          <w:ilvl w:val="0"/>
          <w:numId w:val="0"/>
        </w:numPr>
        <w:spacing w:after="106"/>
        <w:ind w:right="915"/>
        <w:jc w:val="center"/>
      </w:pPr>
      <w:r>
        <w:rPr>
          <w:sz w:val="18"/>
        </w:rPr>
        <w:t>Abstract</w:t>
      </w:r>
    </w:p>
    <w:p w14:paraId="1E0849C0" w14:textId="77777777" w:rsidR="00453D7A" w:rsidRDefault="00000000">
      <w:pPr>
        <w:spacing w:after="0" w:line="249" w:lineRule="auto"/>
        <w:ind w:left="498" w:right="1413" w:firstLine="276"/>
      </w:pPr>
      <w:r>
        <w:rPr>
          <w:b/>
          <w:sz w:val="18"/>
        </w:rPr>
        <w:t xml:space="preserve">mijn abstract is nog outdated van de pva </w:t>
      </w:r>
      <w:r>
        <w:rPr>
          <w:sz w:val="18"/>
        </w:rPr>
        <w:t xml:space="preserve">Money laundering is a significant global problem, with </w:t>
      </w:r>
      <w:commentRangeStart w:id="0"/>
      <w:r>
        <w:rPr>
          <w:sz w:val="18"/>
        </w:rPr>
        <w:t>an</w:t>
      </w:r>
      <w:commentRangeEnd w:id="0"/>
      <w:r w:rsidR="009132E9">
        <w:rPr>
          <w:rStyle w:val="CommentReference"/>
          <w:sz w:val="18"/>
          <w:szCs w:val="24"/>
        </w:rPr>
        <w:commentReference w:id="0"/>
      </w:r>
      <w:r>
        <w:rPr>
          <w:sz w:val="18"/>
        </w:rPr>
        <w:t xml:space="preserve"> estimated 16 billion euros laundered annually in the Netherlands alone. While machine learning has been widely adopted for Anti-Money Laundering (AML) transaction monitoring, the application of Reinforcement Learning (RL) to this domain remains largely unexplored. Existing RL approaches either rely on graph-based methods not applicable to traditional banking data, or target credit card fraud specifically rather than money laundering. This research investigates whether a Deep Q-Network (DQN) can effectively detect money laundering on tabular banking transaction data, and how it compares to XGBoost, the current industry and academic standard. The SAML-D dataset, a synthetic AML dataset developed in consultation with AML specialists, is used for training and evaluation. Both models are evaluated using the Area Under the PrecisionRecall Curve (AUPRC), consistent with industry practice at ING and ABN AMRO, and SHAP values are applied to interpret model decisions in accordance with the explainability requirement imposed by the Dutch Anti-Money Laundering Act (Wwft). The research follows an experimental design with a chronological 70/15/15 train/validation/test split to prevent data leakage. This work contributes to the literature by being the first to apply pure Reinforcement Learning to AML detection on tabular banking transaction data, with legally required explainability incorporated into the proposed model.</w:t>
      </w:r>
    </w:p>
    <w:p w14:paraId="3F0218D3" w14:textId="77777777" w:rsidR="00453D7A" w:rsidRDefault="00000000">
      <w:pPr>
        <w:pStyle w:val="Heading1"/>
        <w:ind w:left="469" w:hanging="484"/>
      </w:pPr>
      <w:r>
        <w:t>Introduction</w:t>
      </w:r>
    </w:p>
    <w:p w14:paraId="4E7F3AD5" w14:textId="77777777" w:rsidR="00453D7A" w:rsidRDefault="00000000">
      <w:pPr>
        <w:spacing w:after="325"/>
        <w:ind w:left="-5" w:right="900"/>
      </w:pPr>
      <w:r>
        <w:t>This chapter introduces the problem of money laundering, reviews the current state of the art, and identifies the research gap that motivates this work.</w:t>
      </w:r>
    </w:p>
    <w:p w14:paraId="0200D19A" w14:textId="77777777" w:rsidR="00453D7A" w:rsidRDefault="00000000">
      <w:pPr>
        <w:pStyle w:val="Heading2"/>
        <w:ind w:left="598" w:hanging="613"/>
      </w:pPr>
      <w:r>
        <w:t>Context Analysis</w:t>
      </w:r>
    </w:p>
    <w:p w14:paraId="7475BAB6" w14:textId="77777777" w:rsidR="00453D7A" w:rsidRDefault="00000000">
      <w:pPr>
        <w:spacing w:after="281"/>
        <w:ind w:left="-5" w:right="900"/>
      </w:pPr>
      <w:r>
        <w:t>To understand the problem this research addresses, this section introduces money laundering, its detection, and the limitations of traditional approaches.</w:t>
      </w:r>
    </w:p>
    <w:p w14:paraId="6388DA0B" w14:textId="77777777" w:rsidR="00453D7A" w:rsidRDefault="00000000">
      <w:pPr>
        <w:pStyle w:val="Heading3"/>
        <w:ind w:left="685" w:right="900" w:hanging="700"/>
      </w:pPr>
      <w:r>
        <w:t>Money Laundering</w:t>
      </w:r>
    </w:p>
    <w:p w14:paraId="1421C76B" w14:textId="77777777" w:rsidR="00453D7A" w:rsidRDefault="00000000">
      <w:pPr>
        <w:ind w:left="-5" w:right="900"/>
      </w:pPr>
      <w:r>
        <w:t xml:space="preserve">Money laundering is the process of concealing the illegal origin of funds to make them appear legitimate, allowing criminals to use the proceeds in the legal economy </w:t>
      </w:r>
      <w:r>
        <w:rPr>
          <w:color w:val="0000FF"/>
        </w:rPr>
        <w:t xml:space="preserve">FIU-the Netherlands </w:t>
      </w:r>
      <w:r>
        <w:t>(</w:t>
      </w:r>
      <w:r>
        <w:rPr>
          <w:color w:val="0000FF"/>
        </w:rPr>
        <w:t>2023</w:t>
      </w:r>
      <w:r>
        <w:t xml:space="preserve">); </w:t>
      </w:r>
      <w:r>
        <w:rPr>
          <w:color w:val="0000FF"/>
        </w:rPr>
        <w:t xml:space="preserve">Financial Crimes Enforcement Network (FinCEN) </w:t>
      </w:r>
      <w:r>
        <w:t>(</w:t>
      </w:r>
      <w:r>
        <w:rPr>
          <w:color w:val="0000FF"/>
        </w:rPr>
        <w:t>nd</w:t>
      </w:r>
      <w:r>
        <w:t xml:space="preserve">). The scale of this problem is significant: The Netherlands alone sees an estimated 16 billion euros laundered annually, ranking eighth globally in terms of laundered funds </w:t>
      </w:r>
      <w:r>
        <w:rPr>
          <w:color w:val="0000FF"/>
        </w:rPr>
        <w:t xml:space="preserve">Menon and Nguyen </w:t>
      </w:r>
      <w:r>
        <w:t>(</w:t>
      </w:r>
      <w:r>
        <w:rPr>
          <w:color w:val="0000FF"/>
        </w:rPr>
        <w:t>2026</w:t>
      </w:r>
      <w:r>
        <w:t xml:space="preserve">). To combat this, financial institutions in the Netherlands are legally required to monitor and report suspicious transactions under the </w:t>
      </w:r>
      <w:r>
        <w:rPr>
          <w:i/>
        </w:rPr>
        <w:t xml:space="preserve">Wet ter voorkoming van witwassen en financieren van terrorisme (Wwft) </w:t>
      </w:r>
      <w:r>
        <w:rPr>
          <w:color w:val="0000FF"/>
        </w:rPr>
        <w:t xml:space="preserve">Ministerie van Financi¨en </w:t>
      </w:r>
      <w:r>
        <w:t>(</w:t>
      </w:r>
      <w:r>
        <w:rPr>
          <w:color w:val="0000FF"/>
        </w:rPr>
        <w:t>2008</w:t>
      </w:r>
      <w:r>
        <w:t xml:space="preserve">). These funds often come from crimes such as drug trafficking, fraud, illegal pornography, tax evasion, robbery, blackmail, bribery, piracy, people trafficking and many more malicious activities </w:t>
      </w:r>
      <w:r>
        <w:rPr>
          <w:color w:val="0000FF"/>
        </w:rPr>
        <w:t xml:space="preserve">FIU-the Netherlands </w:t>
      </w:r>
      <w:r>
        <w:t>(</w:t>
      </w:r>
      <w:r>
        <w:rPr>
          <w:color w:val="0000FF"/>
        </w:rPr>
        <w:t>2023</w:t>
      </w:r>
      <w:r>
        <w:t xml:space="preserve">); </w:t>
      </w:r>
      <w:r>
        <w:rPr>
          <w:color w:val="0000FF"/>
        </w:rPr>
        <w:t xml:space="preserve">Cox </w:t>
      </w:r>
      <w:r>
        <w:t>(</w:t>
      </w:r>
      <w:r>
        <w:rPr>
          <w:color w:val="0000FF"/>
        </w:rPr>
        <w:t>2012</w:t>
      </w:r>
      <w:r>
        <w:t xml:space="preserve">); </w:t>
      </w:r>
      <w:r>
        <w:rPr>
          <w:color w:val="0000FF"/>
        </w:rPr>
        <w:t xml:space="preserve">Menon and Nguyen </w:t>
      </w:r>
      <w:r>
        <w:t>(</w:t>
      </w:r>
      <w:r>
        <w:rPr>
          <w:color w:val="0000FF"/>
        </w:rPr>
        <w:t>2026</w:t>
      </w:r>
      <w:r>
        <w:t xml:space="preserve">). Once obtained, the money cannot be spent freely, so criminals must disguise its illegal origin. This is achieved through the money-laundering process, which typically occurs in three stages: placement, layering and integration </w:t>
      </w:r>
      <w:r>
        <w:rPr>
          <w:color w:val="0000FF"/>
        </w:rPr>
        <w:t xml:space="preserve">Cox </w:t>
      </w:r>
      <w:r>
        <w:t>(</w:t>
      </w:r>
      <w:r>
        <w:rPr>
          <w:color w:val="0000FF"/>
        </w:rPr>
        <w:t>2012</w:t>
      </w:r>
      <w:r>
        <w:t>).</w:t>
      </w:r>
    </w:p>
    <w:p w14:paraId="6EEC0B2A" w14:textId="77777777" w:rsidR="00453D7A" w:rsidRDefault="00000000">
      <w:pPr>
        <w:spacing w:after="300" w:line="259" w:lineRule="auto"/>
        <w:ind w:left="3060" w:right="0" w:firstLine="0"/>
        <w:jc w:val="left"/>
      </w:pPr>
      <w:r>
        <w:rPr>
          <w:noProof/>
        </w:rPr>
        <w:lastRenderedPageBreak/>
        <w:drawing>
          <wp:inline distT="0" distB="0" distL="0" distR="0" wp14:anchorId="1B39217C" wp14:editId="79C657CD">
            <wp:extent cx="1683794" cy="1350369"/>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11"/>
                    <a:stretch>
                      <a:fillRect/>
                    </a:stretch>
                  </pic:blipFill>
                  <pic:spPr>
                    <a:xfrm>
                      <a:off x="0" y="0"/>
                      <a:ext cx="1683794" cy="1350369"/>
                    </a:xfrm>
                    <a:prstGeom prst="rect">
                      <a:avLst/>
                    </a:prstGeom>
                  </pic:spPr>
                </pic:pic>
              </a:graphicData>
            </a:graphic>
          </wp:inline>
        </w:drawing>
      </w:r>
    </w:p>
    <w:p w14:paraId="70754C68" w14:textId="77777777" w:rsidR="00453D7A" w:rsidRDefault="00000000">
      <w:pPr>
        <w:spacing w:after="469" w:line="265" w:lineRule="auto"/>
        <w:ind w:right="915"/>
        <w:jc w:val="center"/>
      </w:pPr>
      <w:r>
        <w:t>Figure 1: The money-laundering process</w:t>
      </w:r>
    </w:p>
    <w:p w14:paraId="5F011F40" w14:textId="77777777" w:rsidR="00453D7A" w:rsidRDefault="00000000">
      <w:pPr>
        <w:spacing w:after="289"/>
        <w:ind w:left="-5" w:right="900"/>
      </w:pPr>
      <w:r>
        <w:rPr>
          <w:b/>
        </w:rPr>
        <w:t xml:space="preserve">Placement </w:t>
      </w:r>
      <w:r>
        <w:t xml:space="preserve">Placement is the first step in the laundering process. In this step, criminals attempt to introduce their funds into the financial system. This is often associated with depositing cash into bank accounts, but placement is not limited to plain deposits. Some examples of introducing criminal money to the financial system cover: purchasing paintings, antiques and boats </w:t>
      </w:r>
      <w:r>
        <w:rPr>
          <w:color w:val="0000FF"/>
        </w:rPr>
        <w:t xml:space="preserve">Cox </w:t>
      </w:r>
      <w:r>
        <w:t>(</w:t>
      </w:r>
      <w:r>
        <w:rPr>
          <w:color w:val="0000FF"/>
        </w:rPr>
        <w:t>2012</w:t>
      </w:r>
      <w:r>
        <w:t>).</w:t>
      </w:r>
    </w:p>
    <w:p w14:paraId="4918C2A0" w14:textId="77777777" w:rsidR="00453D7A" w:rsidRDefault="00000000">
      <w:pPr>
        <w:spacing w:after="279"/>
        <w:ind w:left="-5" w:right="900"/>
      </w:pPr>
      <w:r>
        <w:rPr>
          <w:b/>
        </w:rPr>
        <w:t xml:space="preserve">Layering </w:t>
      </w:r>
      <w:r>
        <w:t xml:space="preserve">Once criminally earned funds have been introduced to the financial system, criminals try to hide the origin of this money. This can be done in various ways, such as investing in legitimate assets, buying and selling collectibles, or making multiple smaller transactions across different accounts. The more these funds are moved back and forth, the harder it becomes to trace their original source </w:t>
      </w:r>
      <w:r>
        <w:rPr>
          <w:color w:val="0000FF"/>
        </w:rPr>
        <w:t xml:space="preserve">Cox </w:t>
      </w:r>
      <w:r>
        <w:t>(</w:t>
      </w:r>
      <w:r>
        <w:rPr>
          <w:color w:val="0000FF"/>
        </w:rPr>
        <w:t>2012</w:t>
      </w:r>
      <w:r>
        <w:t>).</w:t>
      </w:r>
    </w:p>
    <w:p w14:paraId="55EF4EF0" w14:textId="77777777" w:rsidR="00453D7A" w:rsidRDefault="00000000">
      <w:pPr>
        <w:spacing w:after="288"/>
        <w:ind w:left="-5" w:right="900"/>
      </w:pPr>
      <w:r>
        <w:rPr>
          <w:b/>
        </w:rPr>
        <w:t xml:space="preserve">Integration </w:t>
      </w:r>
      <w:r>
        <w:t xml:space="preserve">Once the origin of illegal funds is difficult to trace, criminals can freely integrate their laundered money into the economy. This can be done by investing in businesses, purchasing property, buying jewellery, or other assets that appear legitimate </w:t>
      </w:r>
      <w:r>
        <w:rPr>
          <w:color w:val="0000FF"/>
        </w:rPr>
        <w:t xml:space="preserve">Cox </w:t>
      </w:r>
      <w:r>
        <w:t>(</w:t>
      </w:r>
      <w:r>
        <w:rPr>
          <w:color w:val="0000FF"/>
        </w:rPr>
        <w:t>2012</w:t>
      </w:r>
      <w:r>
        <w:t>).</w:t>
      </w:r>
    </w:p>
    <w:p w14:paraId="58B42CB8" w14:textId="77777777" w:rsidR="00453D7A" w:rsidRDefault="00000000">
      <w:pPr>
        <w:pStyle w:val="Heading3"/>
        <w:ind w:left="685" w:right="900" w:hanging="700"/>
      </w:pPr>
      <w:r>
        <w:t>Money Laundering Detection</w:t>
      </w:r>
    </w:p>
    <w:p w14:paraId="13247F64" w14:textId="77777777" w:rsidR="00453D7A" w:rsidRDefault="00000000">
      <w:pPr>
        <w:ind w:left="-5" w:right="900"/>
      </w:pPr>
      <w:r>
        <w:t xml:space="preserve">Money laundering detection or AML (anti-money laundering) refers to the process of detecting money laundering. AML technology has changed significantly over the past years. Evolving from dedicated AML teams to rule-based systems to semi-automated machine learning workflows </w:t>
      </w:r>
      <w:r>
        <w:rPr>
          <w:color w:val="0000FF"/>
        </w:rPr>
        <w:t xml:space="preserve">Weber et al. </w:t>
      </w:r>
      <w:r>
        <w:t>(</w:t>
      </w:r>
      <w:r>
        <w:rPr>
          <w:color w:val="0000FF"/>
        </w:rPr>
        <w:t>2018</w:t>
      </w:r>
      <w:r>
        <w:t>).</w:t>
      </w:r>
    </w:p>
    <w:p w14:paraId="7A37CC0F" w14:textId="77777777" w:rsidR="00453D7A" w:rsidRDefault="00000000">
      <w:pPr>
        <w:pStyle w:val="Heading3"/>
        <w:ind w:left="685" w:right="900" w:hanging="700"/>
      </w:pPr>
      <w:r>
        <w:t>Traditional AML Methods and its Limitations</w:t>
      </w:r>
    </w:p>
    <w:p w14:paraId="499C4626" w14:textId="77777777" w:rsidR="00453D7A" w:rsidRDefault="00000000">
      <w:pPr>
        <w:spacing w:after="336"/>
        <w:ind w:left="-5" w:right="900"/>
      </w:pPr>
      <w:r>
        <w:t xml:space="preserve">Rule-based systems, the traditional approach to AML, became one of the first forms of automated detection and are still used in current day </w:t>
      </w:r>
      <w:r>
        <w:rPr>
          <w:color w:val="0000FF"/>
        </w:rPr>
        <w:t xml:space="preserve">Attard and de Bruijn </w:t>
      </w:r>
      <w:r>
        <w:t>(</w:t>
      </w:r>
      <w:r>
        <w:rPr>
          <w:color w:val="0000FF"/>
        </w:rPr>
        <w:t>2026</w:t>
      </w:r>
      <w:r>
        <w:t xml:space="preserve">); </w:t>
      </w:r>
      <w:r>
        <w:rPr>
          <w:color w:val="0000FF"/>
        </w:rPr>
        <w:t xml:space="preserve">Menon and Nguyen </w:t>
      </w:r>
      <w:r>
        <w:t>(</w:t>
      </w:r>
      <w:r>
        <w:rPr>
          <w:color w:val="0000FF"/>
        </w:rPr>
        <w:t>2026</w:t>
      </w:r>
      <w:r>
        <w:t xml:space="preserve">). These systems typically monitor transactions and generated alerts for activity exceeding thresholds, such as amounts over </w:t>
      </w:r>
      <w:r>
        <w:rPr>
          <w:rFonts w:ascii="Calibri" w:eastAsia="Calibri" w:hAnsi="Calibri" w:cs="Calibri"/>
        </w:rPr>
        <w:t>$</w:t>
      </w:r>
      <w:r>
        <w:t xml:space="preserve">10,000, amounts just below </w:t>
      </w:r>
      <w:r>
        <w:rPr>
          <w:rFonts w:ascii="Calibri" w:eastAsia="Calibri" w:hAnsi="Calibri" w:cs="Calibri"/>
        </w:rPr>
        <w:t>$</w:t>
      </w:r>
      <w:r>
        <w:t xml:space="preserve">10,000, or multiple smaller transactions within 24 hours that collectively surpassed </w:t>
      </w:r>
      <w:r>
        <w:rPr>
          <w:rFonts w:ascii="Calibri" w:eastAsia="Calibri" w:hAnsi="Calibri" w:cs="Calibri"/>
        </w:rPr>
        <w:t>$</w:t>
      </w:r>
      <w:r>
        <w:t xml:space="preserve">10,000 </w:t>
      </w:r>
      <w:r>
        <w:rPr>
          <w:color w:val="0000FF"/>
        </w:rPr>
        <w:t xml:space="preserve">Weber et al. </w:t>
      </w:r>
      <w:r>
        <w:t>(</w:t>
      </w:r>
      <w:r>
        <w:rPr>
          <w:color w:val="0000FF"/>
        </w:rPr>
        <w:t>2018</w:t>
      </w:r>
      <w:r>
        <w:t xml:space="preserve">). Over time, banks have expanded the amount of rules in their systems, in attempt to catch as many suspicious transactions as possible. ING, a major bank in the Netherlands, reported using close to 500 rules as of March 2026 </w:t>
      </w:r>
      <w:r>
        <w:rPr>
          <w:color w:val="0000FF"/>
        </w:rPr>
        <w:t xml:space="preserve">Attard and de Bruijn </w:t>
      </w:r>
      <w:r>
        <w:t>(</w:t>
      </w:r>
      <w:r>
        <w:rPr>
          <w:color w:val="0000FF"/>
        </w:rPr>
        <w:t>2026</w:t>
      </w:r>
      <w:r>
        <w:t xml:space="preserve">). While rule-based systems improved efficiency, they had limitations in handling complex laundering patterns and large-scale data, which led to the adoption of machine learning </w:t>
      </w:r>
      <w:r>
        <w:rPr>
          <w:color w:val="0000FF"/>
        </w:rPr>
        <w:t xml:space="preserve">Menon and Nguyen </w:t>
      </w:r>
      <w:r>
        <w:t>(</w:t>
      </w:r>
      <w:commentRangeStart w:id="1"/>
      <w:r>
        <w:rPr>
          <w:color w:val="0000FF"/>
        </w:rPr>
        <w:t>2026</w:t>
      </w:r>
      <w:commentRangeEnd w:id="1"/>
      <w:r w:rsidR="009132E9">
        <w:rPr>
          <w:rStyle w:val="CommentReference"/>
          <w:sz w:val="20"/>
          <w:szCs w:val="24"/>
        </w:rPr>
        <w:commentReference w:id="1"/>
      </w:r>
      <w:r>
        <w:t>).</w:t>
      </w:r>
    </w:p>
    <w:p w14:paraId="0B3BEC76" w14:textId="77777777" w:rsidR="00453D7A" w:rsidRDefault="00000000">
      <w:pPr>
        <w:pStyle w:val="Heading2"/>
        <w:ind w:left="598" w:hanging="613"/>
      </w:pPr>
      <w:r>
        <w:t>Literature Overview</w:t>
      </w:r>
    </w:p>
    <w:p w14:paraId="14EB1761" w14:textId="77777777" w:rsidR="00453D7A" w:rsidRDefault="00000000">
      <w:pPr>
        <w:pStyle w:val="Heading3"/>
        <w:ind w:left="685" w:right="900" w:hanging="700"/>
      </w:pPr>
      <w:r>
        <w:t>State of the Art</w:t>
      </w:r>
    </w:p>
    <w:p w14:paraId="19EC93AC" w14:textId="77777777" w:rsidR="00453D7A" w:rsidRDefault="00000000">
      <w:pPr>
        <w:spacing w:after="287"/>
        <w:ind w:left="-5" w:right="900"/>
      </w:pPr>
      <w:r>
        <w:t>This section provides an overview of the current state-of-the-art regarding Machine Learning applications within Anti-Money Laundering. The field is currently dominated by supervised learning methods, particularly tree-based ensemble approaches, as evidenced by both academic literature and industry benchmarks.</w:t>
      </w:r>
    </w:p>
    <w:p w14:paraId="23E9E023" w14:textId="77777777" w:rsidR="00453D7A" w:rsidRDefault="00000000">
      <w:pPr>
        <w:ind w:left="-5" w:right="900"/>
      </w:pPr>
      <w:r>
        <w:rPr>
          <w:b/>
        </w:rPr>
        <w:t xml:space="preserve">IEEE-CIS Fraud Detection Competition </w:t>
      </w:r>
      <w:r>
        <w:t xml:space="preserve">In 2019, Kaggle hosted the </w:t>
      </w:r>
      <w:r>
        <w:rPr>
          <w:i/>
        </w:rPr>
        <w:t xml:space="preserve">IEEE-CIS Fraud Detection Competition </w:t>
      </w:r>
      <w:r>
        <w:t xml:space="preserve">in collaboration with Vesta Corporation, an event that remains a foundational milestone for </w:t>
      </w:r>
      <w:r>
        <w:lastRenderedPageBreak/>
        <w:t xml:space="preserve">machine learning in the financial sector </w:t>
      </w:r>
      <w:r>
        <w:rPr>
          <w:color w:val="0000FF"/>
        </w:rPr>
        <w:t xml:space="preserve">IEEE Computational Intelligence Society </w:t>
      </w:r>
      <w:r>
        <w:t>(</w:t>
      </w:r>
      <w:r>
        <w:rPr>
          <w:color w:val="0000FF"/>
        </w:rPr>
        <w:t>2019</w:t>
      </w:r>
      <w:r>
        <w:t>). By providing a massive, real-world dataset directly from Vesta’s e-commerce transactions, the competition set a definitive benchmark for the state-of-the-art in transaction monitoring and fraud detection algorithms.</w:t>
      </w:r>
    </w:p>
    <w:p w14:paraId="5E487076" w14:textId="77777777" w:rsidR="00453D7A" w:rsidRDefault="00000000">
      <w:pPr>
        <w:ind w:left="-15" w:right="900" w:firstLine="299"/>
      </w:pPr>
      <w:r>
        <w:t>Vesta, a leader in e-commerce payment solutions, shared this data to challenge researchers to improve the effectiveness of fraudulent transaction alerts. The competition consisted of two main goals: to increase the detection of criminal activity while minimizing the ”false positives” that lead to legitimate customers having their cards declined at the checkout.</w:t>
      </w:r>
    </w:p>
    <w:p w14:paraId="1C0F3F3A" w14:textId="77777777" w:rsidR="00453D7A" w:rsidRDefault="00000000">
      <w:pPr>
        <w:ind w:left="-15" w:right="900" w:firstLine="299"/>
      </w:pPr>
      <w:r>
        <w:t xml:space="preserve">The competition allowed researchers to join individually or in teams, with the flexibility to submit an unlimited number of solutions to refine their results. The scale of the competition is reflected in the final statistics: 7,389 individual researchers, 6,351 unique teams, 125,219 submissions and a </w:t>
      </w:r>
      <w:r>
        <w:rPr>
          <w:rFonts w:ascii="Calibri" w:eastAsia="Calibri" w:hAnsi="Calibri" w:cs="Calibri"/>
        </w:rPr>
        <w:t>$</w:t>
      </w:r>
      <w:r>
        <w:t>20,000 prize pool.</w:t>
      </w:r>
    </w:p>
    <w:p w14:paraId="0FF95E2D" w14:textId="77777777" w:rsidR="00453D7A" w:rsidRDefault="00000000">
      <w:pPr>
        <w:spacing w:after="166"/>
        <w:ind w:left="-15" w:right="900" w:firstLine="299"/>
      </w:pPr>
      <w:r>
        <w:t>The competition results provide a clear map of what defines as the ”state-of-the-art” for tabular fraud data. An analysis of the top-performing teams (which shared their solution) reveals a heavy reliance on supervised learning, specifically Gradient Boosting Decision Trees (GBDT):</w:t>
      </w:r>
    </w:p>
    <w:p w14:paraId="6C9EB079" w14:textId="77777777" w:rsidR="00453D7A" w:rsidRDefault="00000000">
      <w:pPr>
        <w:numPr>
          <w:ilvl w:val="0"/>
          <w:numId w:val="1"/>
        </w:numPr>
        <w:spacing w:after="187"/>
        <w:ind w:right="900" w:hanging="199"/>
      </w:pPr>
      <w:r>
        <w:rPr>
          <w:b/>
        </w:rPr>
        <w:t>1st Place (Score: 0.9677)</w:t>
      </w:r>
      <w:r>
        <w:t xml:space="preserve">: The winning solution utilized a stacked ensemble of CatBoost, XGBoost, and LightGBM. The team also developed a Neural Network, but it was dropped from the final submission because it underperformed compared to the Gradient Boosting models </w:t>
      </w:r>
      <w:r>
        <w:rPr>
          <w:color w:val="0000FF"/>
        </w:rPr>
        <w:t xml:space="preserve">Deotte and Yakovlev </w:t>
      </w:r>
      <w:r>
        <w:t>(</w:t>
      </w:r>
      <w:r>
        <w:rPr>
          <w:color w:val="0000FF"/>
        </w:rPr>
        <w:t>2019</w:t>
      </w:r>
      <w:r>
        <w:t>).</w:t>
      </w:r>
    </w:p>
    <w:p w14:paraId="1EE500C7" w14:textId="77777777" w:rsidR="00453D7A" w:rsidRDefault="00000000">
      <w:pPr>
        <w:numPr>
          <w:ilvl w:val="0"/>
          <w:numId w:val="1"/>
        </w:numPr>
        <w:spacing w:after="188"/>
        <w:ind w:right="900" w:hanging="199"/>
      </w:pPr>
      <w:r>
        <w:rPr>
          <w:b/>
        </w:rPr>
        <w:t>2nd Place (Score: 0.9672)</w:t>
      </w:r>
      <w:r>
        <w:t xml:space="preserve">: This team achieved their ranking using a blend of LightGBM, CatBoost, and XGBoost. Their performance was further boosted by a temporal post-processing step that overrode predictions based on a user’s past fraud history </w:t>
      </w:r>
      <w:r>
        <w:rPr>
          <w:color w:val="0000FF"/>
        </w:rPr>
        <w:t xml:space="preserve">Bryansky et al. </w:t>
      </w:r>
      <w:r>
        <w:t>(</w:t>
      </w:r>
      <w:r>
        <w:rPr>
          <w:color w:val="0000FF"/>
        </w:rPr>
        <w:t>2019</w:t>
      </w:r>
      <w:r>
        <w:t>).</w:t>
      </w:r>
    </w:p>
    <w:p w14:paraId="525B9EA5" w14:textId="77777777" w:rsidR="00453D7A" w:rsidRDefault="00000000">
      <w:pPr>
        <w:numPr>
          <w:ilvl w:val="0"/>
          <w:numId w:val="1"/>
        </w:numPr>
        <w:ind w:right="900" w:hanging="199"/>
      </w:pPr>
      <w:r>
        <w:rPr>
          <w:b/>
        </w:rPr>
        <w:t>5th Place (Score: 0.9424)</w:t>
      </w:r>
      <w:r>
        <w:t xml:space="preserve">: The 5th place solution relied on a simple average of four independent LightGBM models. They also created a specialized model focused on ”single transaction” users, the output of which was used as a feature for their main LightGBM ensemble </w:t>
      </w:r>
      <w:r>
        <w:rPr>
          <w:color w:val="0000FF"/>
        </w:rPr>
        <w:t>Team Lions</w:t>
      </w:r>
    </w:p>
    <w:p w14:paraId="1FE1FD4E" w14:textId="77777777" w:rsidR="00453D7A" w:rsidRDefault="00000000">
      <w:pPr>
        <w:spacing w:after="276" w:line="265" w:lineRule="auto"/>
        <w:ind w:left="508" w:right="0"/>
        <w:jc w:val="left"/>
      </w:pPr>
      <w:r>
        <w:t>(</w:t>
      </w:r>
      <w:r>
        <w:rPr>
          <w:color w:val="0000FF"/>
        </w:rPr>
        <w:t>2019</w:t>
      </w:r>
      <w:r>
        <w:t>).</w:t>
      </w:r>
    </w:p>
    <w:p w14:paraId="3BBF5940" w14:textId="77777777" w:rsidR="00453D7A" w:rsidRDefault="00000000">
      <w:pPr>
        <w:ind w:left="-5" w:right="900"/>
      </w:pPr>
      <w:r>
        <w:rPr>
          <w:b/>
        </w:rPr>
        <w:t xml:space="preserve">Recent developements within Supervised Learning </w:t>
      </w:r>
      <w:r>
        <w:t xml:space="preserve">A recent survey (2017–2023) analysed papers that cover supervised AML models trained on real-world financial data, summarizing results across studies into a comparative overview </w:t>
      </w:r>
      <w:r>
        <w:rPr>
          <w:color w:val="0000FF"/>
        </w:rPr>
        <w:t xml:space="preserve">Youssef et al. </w:t>
      </w:r>
      <w:r>
        <w:t>(</w:t>
      </w:r>
      <w:r>
        <w:rPr>
          <w:color w:val="0000FF"/>
        </w:rPr>
        <w:t>2023</w:t>
      </w:r>
      <w:r>
        <w:t>).</w:t>
      </w:r>
    </w:p>
    <w:p w14:paraId="36CFC3C4" w14:textId="77777777" w:rsidR="00453D7A" w:rsidRDefault="00000000">
      <w:pPr>
        <w:spacing w:after="298"/>
        <w:ind w:left="-15" w:right="900" w:firstLine="299"/>
      </w:pPr>
      <w:r>
        <w:t xml:space="preserve">As shown in [Table 1, </w:t>
      </w:r>
      <w:r>
        <w:rPr>
          <w:color w:val="0000FF"/>
        </w:rPr>
        <w:t xml:space="preserve">Youssef et al. </w:t>
      </w:r>
      <w:r>
        <w:t>(</w:t>
      </w:r>
      <w:r>
        <w:rPr>
          <w:color w:val="0000FF"/>
        </w:rPr>
        <w:t>2023</w:t>
      </w:r>
      <w:r>
        <w:t>)], the most frequent used supervised methods in this time period are Logistic Regression (6 studies), Random Forest (5), XGBoost (4), Decision Tree (3) and Support Vector Machines (3). The table also indicates what models have been rarely explored recently (only once) on real banking data, also including non-supervised methods, namely: Artificial Neural Networks, Gru, LSTM, Transformers, Decision Regression Tree, Naive Bayes, K-Nearest Neighbors, Feedforward Network, AdaBoost, Graph Deep Learning and Graph Convolutional Network. It is worth noting that the last three of these rarer methods were only applied to cryptocurrency transaction datasets rather than traditional banking data, leaving their potential on traditional banking data unexplored.</w:t>
      </w:r>
    </w:p>
    <w:p w14:paraId="5B961609" w14:textId="77777777" w:rsidR="00453D7A" w:rsidRDefault="00000000">
      <w:pPr>
        <w:pStyle w:val="Heading3"/>
        <w:ind w:left="685" w:right="900" w:hanging="700"/>
      </w:pPr>
      <w:r>
        <w:t>Reinforcement Learning, an Emerging Method</w:t>
      </w:r>
    </w:p>
    <w:p w14:paraId="27D83D53" w14:textId="77777777" w:rsidR="00453D7A" w:rsidRDefault="00000000">
      <w:pPr>
        <w:ind w:left="-5" w:right="900"/>
      </w:pPr>
      <w:r>
        <w:t xml:space="preserve">To date, Reinforcement Learning has barely been explored within </w:t>
      </w:r>
      <w:commentRangeStart w:id="2"/>
      <w:r>
        <w:t>AML</w:t>
      </w:r>
      <w:commentRangeEnd w:id="2"/>
      <w:r w:rsidR="003149AA">
        <w:rPr>
          <w:rStyle w:val="CommentReference"/>
          <w:sz w:val="20"/>
          <w:szCs w:val="24"/>
        </w:rPr>
        <w:commentReference w:id="2"/>
      </w:r>
      <w:r>
        <w:t>.</w:t>
      </w:r>
    </w:p>
    <w:p w14:paraId="2DB55BC4" w14:textId="77777777" w:rsidR="00453D7A" w:rsidRDefault="00000000">
      <w:pPr>
        <w:ind w:left="-15" w:right="900" w:firstLine="299"/>
      </w:pPr>
      <w:r>
        <w:t xml:space="preserve">One paper proposes FraudGNN-RL </w:t>
      </w:r>
      <w:r>
        <w:rPr>
          <w:color w:val="0000FF"/>
        </w:rPr>
        <w:t xml:space="preserve">Cui et al. </w:t>
      </w:r>
      <w:r>
        <w:t>(</w:t>
      </w:r>
      <w:r>
        <w:rPr>
          <w:color w:val="0000FF"/>
        </w:rPr>
        <w:t>2025</w:t>
      </w:r>
      <w:r>
        <w:t>), which combines GNNs with RL for adaptive fraud detection. Transactions are modeled as a dynamic graph and a Deep Q-Network dynamically adjusts the detection threshold to adapt to evolving fraud patterns. Experiments on a real-world dataset achieved a 97.3% F1-score and 31% fewer false positives compared to baselines including XGBoost, GCN, and several other methods.</w:t>
      </w:r>
    </w:p>
    <w:p w14:paraId="218E340A" w14:textId="77777777" w:rsidR="00453D7A" w:rsidRDefault="00000000">
      <w:pPr>
        <w:spacing w:after="334"/>
        <w:ind w:left="-15" w:right="900" w:firstLine="299"/>
      </w:pPr>
      <w:r>
        <w:t xml:space="preserve">Another paper </w:t>
      </w:r>
      <w:r>
        <w:rPr>
          <w:color w:val="0000FF"/>
        </w:rPr>
        <w:t xml:space="preserve">Qayoom et al. </w:t>
      </w:r>
      <w:r>
        <w:t>(</w:t>
      </w:r>
      <w:r>
        <w:rPr>
          <w:color w:val="0000FF"/>
        </w:rPr>
        <w:t>2024</w:t>
      </w:r>
      <w:r>
        <w:t>) also explores RL utilizing a Deep Q-Network, but without the use of graph-based methods. The model was trained and tested on a publicly available Kaggle credit card fraud dataset, achieving 97.1% validation accuracy. It is worth noting that this paper focuses on credit card fraud rather than money laundering specifically, though both problems are fundamentally based on transaction monitoring.</w:t>
      </w:r>
    </w:p>
    <w:p w14:paraId="676F2232" w14:textId="77777777" w:rsidR="00453D7A" w:rsidRDefault="00000000">
      <w:pPr>
        <w:pStyle w:val="Heading2"/>
        <w:ind w:left="598" w:hanging="613"/>
      </w:pPr>
      <w:r>
        <w:lastRenderedPageBreak/>
        <w:t>Stakeholder Insights</w:t>
      </w:r>
    </w:p>
    <w:p w14:paraId="2D7FCBB4" w14:textId="77777777" w:rsidR="00453D7A" w:rsidRDefault="00000000">
      <w:pPr>
        <w:spacing w:after="296"/>
        <w:ind w:left="-5" w:right="900"/>
      </w:pPr>
      <w:r>
        <w:t xml:space="preserve">To ground this research in real-world practice, presentations were attended from data scientists at two major Dutch banks: ING </w:t>
      </w:r>
      <w:r>
        <w:rPr>
          <w:color w:val="0000FF"/>
        </w:rPr>
        <w:t xml:space="preserve">Attard and de Bruijn </w:t>
      </w:r>
      <w:r>
        <w:t>(</w:t>
      </w:r>
      <w:r>
        <w:rPr>
          <w:color w:val="0000FF"/>
        </w:rPr>
        <w:t>2026</w:t>
      </w:r>
      <w:r>
        <w:t xml:space="preserve">) and ABN AMRO </w:t>
      </w:r>
      <w:r>
        <w:rPr>
          <w:color w:val="0000FF"/>
        </w:rPr>
        <w:t xml:space="preserve">Menon and Nguyen </w:t>
      </w:r>
      <w:r>
        <w:t>(</w:t>
      </w:r>
      <w:r>
        <w:rPr>
          <w:color w:val="0000FF"/>
        </w:rPr>
        <w:t>2026</w:t>
      </w:r>
      <w:r>
        <w:t>).</w:t>
      </w:r>
    </w:p>
    <w:p w14:paraId="1AB695AE" w14:textId="77777777" w:rsidR="00453D7A" w:rsidRDefault="00000000">
      <w:pPr>
        <w:pStyle w:val="Heading3"/>
        <w:ind w:left="685" w:right="900" w:hanging="700"/>
      </w:pPr>
      <w:r>
        <w:t>ING</w:t>
      </w:r>
    </w:p>
    <w:p w14:paraId="6998ED27" w14:textId="77777777" w:rsidR="00453D7A" w:rsidRDefault="00000000">
      <w:pPr>
        <w:ind w:left="-5" w:right="900"/>
      </w:pPr>
      <w:r>
        <w:t xml:space="preserve">ING uses a workflow including a rule-based system and a human-in-the-loop to generate labels for the supervised models </w:t>
      </w:r>
      <w:r>
        <w:rPr>
          <w:color w:val="0000FF"/>
        </w:rPr>
        <w:t xml:space="preserve">Attard and de Bruijn </w:t>
      </w:r>
      <w:r>
        <w:t>(</w:t>
      </w:r>
      <w:r>
        <w:rPr>
          <w:color w:val="0000FF"/>
        </w:rPr>
        <w:t>2026</w:t>
      </w:r>
      <w:r>
        <w:t>). ING currently operates approximately 500 static rules to flag potentially suspicious transactions. When a rule fires, a human investigator reviews the transaction and determines whether it is genuinely suspicious. This judgment then becomes the label. This labeling process is therefore inherently dependent on both the quality of the existing rules and human judgment.</w:t>
      </w:r>
    </w:p>
    <w:p w14:paraId="2ACEF32C" w14:textId="77777777" w:rsidR="00453D7A" w:rsidRDefault="00000000">
      <w:pPr>
        <w:ind w:left="-15" w:right="900" w:firstLine="299"/>
      </w:pPr>
      <w:r>
        <w:t>ING exclusively uses supervised classification models for transaction monitoring. Tree-based models, particularly XGBoost, being the preferred approach due to their strong performance and explainability. The data scientists would like to explore more complex models such as neural networks and graph-based approaches but face practical barriers, including engineering constraints given the scale of the data (approximately 8 billion transactions) and the difficulty of obtaining regulatory sign-off for less interpretable models. Explainability is a must and is therefore not negotiatable. Also worthy to mention is that the compliance team does not permit training on synthetic data.</w:t>
      </w:r>
    </w:p>
    <w:p w14:paraId="60539814" w14:textId="77777777" w:rsidR="00453D7A" w:rsidRDefault="00000000">
      <w:pPr>
        <w:spacing w:after="290"/>
        <w:ind w:left="-15" w:right="900" w:firstLine="299"/>
      </w:pPr>
      <w:r>
        <w:t>Given that potential financial crime represents only 1–2% of all transactions, the data is highly imbalanced. Rather than addressing this through resampling, ING uses the Area Under the PrecisionRecall Curve (AUPRC) as their primary evaluation metric, a measure well suited to imbalanced data, targeting a minimum recall of 0.95. Accuracy is explicitly avoided as a standalone metric as it would be misleading under such class imbalance.</w:t>
      </w:r>
    </w:p>
    <w:p w14:paraId="01FE20D8" w14:textId="77777777" w:rsidR="00453D7A" w:rsidRDefault="00000000">
      <w:pPr>
        <w:pStyle w:val="Heading3"/>
        <w:ind w:left="685" w:right="900" w:hanging="700"/>
      </w:pPr>
      <w:r>
        <w:t>ABN AMRO</w:t>
      </w:r>
    </w:p>
    <w:p w14:paraId="0D3EAF53" w14:textId="77777777" w:rsidR="00453D7A" w:rsidRDefault="00000000">
      <w:pPr>
        <w:ind w:left="-5" w:right="900"/>
      </w:pPr>
      <w:r>
        <w:t xml:space="preserve">ABN AMRO takes a broader approach than ING, combining both supervised and unsupervised models within their transaction monitoring pipeline </w:t>
      </w:r>
      <w:r>
        <w:rPr>
          <w:color w:val="0000FF"/>
        </w:rPr>
        <w:t xml:space="preserve">Menon and Nguyen </w:t>
      </w:r>
      <w:r>
        <w:t>(</w:t>
      </w:r>
      <w:r>
        <w:rPr>
          <w:color w:val="0000FF"/>
        </w:rPr>
        <w:t>2026</w:t>
      </w:r>
      <w:r>
        <w:t>). Each transaction passes through two parallel flows: one using supervised models, including XGBoost, decision trees, and random forests, to detect known money laundering patterns, and another using unsupervised models, including auto-encoders, clustering, and isolation forest, to detect unknown or anomalous behaviour. Both flows feed into manual review by investigators before anything is reported to the FIU.</w:t>
      </w:r>
    </w:p>
    <w:p w14:paraId="38D8C71E" w14:textId="77777777" w:rsidR="00453D7A" w:rsidRDefault="00000000">
      <w:pPr>
        <w:ind w:left="-15" w:right="900" w:firstLine="299"/>
      </w:pPr>
      <w:r>
        <w:t>Similar to ING, labels at ABN AMRO originate from rule-based systems, a process they acknowledge is error-prone. They expressed a desire to move towards ML-based labelling in the future.</w:t>
      </w:r>
    </w:p>
    <w:p w14:paraId="6F5B8AB3" w14:textId="77777777" w:rsidR="00453D7A" w:rsidRDefault="00000000">
      <w:pPr>
        <w:ind w:left="-15" w:right="900" w:firstLine="299"/>
      </w:pPr>
      <w:r>
        <w:t>A notable practice at ABN AMRO is their operational use of SHAP values. Every alert generated by the model is accompanied by a ranked list of the top three features that contributed to the alert, along with a non-technical explanation for investigators. This confirms that SHAP is not only theoretically suitable for AML explainability but is already used in production at a major Dutch bank.</w:t>
      </w:r>
    </w:p>
    <w:p w14:paraId="25E4EA84" w14:textId="77777777" w:rsidR="00453D7A" w:rsidRDefault="00000000">
      <w:pPr>
        <w:spacing w:after="293"/>
        <w:ind w:left="-15" w:right="900" w:firstLine="299"/>
      </w:pPr>
      <w:r>
        <w:t>Similar to ING, ABN AMRO uses AUPRC as their primary evaluation metric. The detection threshold is not fixed by the data scientists alone. It is determined in consultation with business stakeholders, balancing the desire to catch as many cases as possible against the number of alerts investigators can realistically review.</w:t>
      </w:r>
    </w:p>
    <w:p w14:paraId="5A059C99" w14:textId="77777777" w:rsidR="00453D7A" w:rsidRDefault="00000000">
      <w:pPr>
        <w:pStyle w:val="Heading3"/>
        <w:ind w:left="685" w:right="900" w:hanging="700"/>
      </w:pPr>
      <w:r>
        <w:t>Comparison</w:t>
      </w:r>
    </w:p>
    <w:p w14:paraId="245580D6" w14:textId="77777777" w:rsidR="00453D7A" w:rsidRDefault="00000000">
      <w:pPr>
        <w:spacing w:after="338"/>
        <w:ind w:left="-5" w:right="900"/>
      </w:pPr>
      <w:r>
        <w:t>Both banks confirm that tree-based models, particularly XGBoost, represent the current state of the art in production AML systems, being consistent with the literature. Both face the same fundamental labelling challenge, where ground truth is derived from rule-based systems rather than verified financial crime cases. The key difference is that ABN AMRO combines supervised and unsupervised approaches, while ING relies exclusively on supervised models. Both banks use AUPRC as their primary metric, which sets the evaluation strategy of this research.</w:t>
      </w:r>
    </w:p>
    <w:p w14:paraId="7F3C50C1" w14:textId="77777777" w:rsidR="00453D7A" w:rsidRDefault="00000000">
      <w:pPr>
        <w:pStyle w:val="Heading2"/>
        <w:ind w:left="598" w:hanging="613"/>
      </w:pPr>
      <w:r>
        <w:lastRenderedPageBreak/>
        <w:t xml:space="preserve">Identified </w:t>
      </w:r>
      <w:commentRangeStart w:id="3"/>
      <w:r>
        <w:t>Gap</w:t>
      </w:r>
      <w:commentRangeEnd w:id="3"/>
      <w:r w:rsidR="003149AA">
        <w:rPr>
          <w:rStyle w:val="CommentReference"/>
          <w:sz w:val="24"/>
          <w:szCs w:val="24"/>
        </w:rPr>
        <w:commentReference w:id="3"/>
      </w:r>
    </w:p>
    <w:p w14:paraId="47F2F319" w14:textId="77777777" w:rsidR="00453D7A" w:rsidRDefault="00000000">
      <w:pPr>
        <w:ind w:left="-5" w:right="900"/>
      </w:pPr>
      <w:r>
        <w:t>Despite the promise of Reinforcement Learning in adaptive fraud detection, its application to AML on tabular transaction data remains largely unexplored. The literature reveals several concrete gaps.</w:t>
      </w:r>
    </w:p>
    <w:p w14:paraId="4E64F101" w14:textId="77777777" w:rsidR="00453D7A" w:rsidRDefault="00000000">
      <w:pPr>
        <w:ind w:left="-15" w:right="900" w:firstLine="299"/>
      </w:pPr>
      <w:r>
        <w:t xml:space="preserve">First, graph-based methods such as Graph Convolutional Networks and Graph Deep Learning, which are well suited to the relational nature of banking transactions, have only been applied to cryptocurrency datasets such as the Elliptic dataset </w:t>
      </w:r>
      <w:r>
        <w:rPr>
          <w:color w:val="0000FF"/>
        </w:rPr>
        <w:t xml:space="preserve">Alarab et al. </w:t>
      </w:r>
      <w:r>
        <w:t>(</w:t>
      </w:r>
      <w:r>
        <w:rPr>
          <w:color w:val="0000FF"/>
        </w:rPr>
        <w:t>2020</w:t>
      </w:r>
      <w:r>
        <w:t xml:space="preserve">); </w:t>
      </w:r>
      <w:r>
        <w:rPr>
          <w:color w:val="0000FF"/>
        </w:rPr>
        <w:t xml:space="preserve">Weber et al. </w:t>
      </w:r>
      <w:r>
        <w:t>(</w:t>
      </w:r>
      <w:r>
        <w:rPr>
          <w:color w:val="0000FF"/>
        </w:rPr>
        <w:t>2019</w:t>
      </w:r>
      <w:r>
        <w:t>). Their potential on traditional banking transaction data remains unexplored.</w:t>
      </w:r>
    </w:p>
    <w:p w14:paraId="117E94EC" w14:textId="77777777" w:rsidR="00453D7A" w:rsidRDefault="00000000">
      <w:pPr>
        <w:ind w:left="-15" w:right="900" w:firstLine="299"/>
      </w:pPr>
      <w:r>
        <w:t xml:space="preserve">Second, while Reinforcement Learning has shown promise in fraud-specific transaction monitoring, existing RL approaches have not been applied to AML transaction monitoring, where the goal is to detect a wide range of laundering patterns rather than detecting only fraud. FraudGNN-RL combines GNN with RL but was evaluated on a general fraud dataset rather than a dedicated AML dataset </w:t>
      </w:r>
      <w:r>
        <w:rPr>
          <w:color w:val="0000FF"/>
        </w:rPr>
        <w:t xml:space="preserve">Cui et al. </w:t>
      </w:r>
      <w:r>
        <w:t>(</w:t>
      </w:r>
      <w:r>
        <w:rPr>
          <w:color w:val="0000FF"/>
        </w:rPr>
        <w:t>2025</w:t>
      </w:r>
      <w:r>
        <w:t xml:space="preserve">). The only pure RL approach found in the literature targets credit card fraud, which, while related, is a fundamentally different problem from money laundering </w:t>
      </w:r>
      <w:r>
        <w:rPr>
          <w:color w:val="0000FF"/>
        </w:rPr>
        <w:t xml:space="preserve">Qayoom et al. </w:t>
      </w:r>
      <w:r>
        <w:t>(</w:t>
      </w:r>
      <w:r>
        <w:rPr>
          <w:color w:val="0000FF"/>
        </w:rPr>
        <w:t>2024</w:t>
      </w:r>
      <w:r>
        <w:t>).</w:t>
      </w:r>
    </w:p>
    <w:p w14:paraId="4023E83E" w14:textId="77777777" w:rsidR="00453D7A" w:rsidRDefault="00000000">
      <w:pPr>
        <w:spacing w:after="338"/>
        <w:ind w:left="-15" w:right="900" w:firstLine="299"/>
      </w:pPr>
      <w:r>
        <w:t>Taken together, these gaps point to a clear research opportunity: applying Reinforcement Learning to AML on tabular transaction data, without relying on graph structure that may not be available in practice.</w:t>
      </w:r>
    </w:p>
    <w:p w14:paraId="3C916971" w14:textId="77777777" w:rsidR="00453D7A" w:rsidRDefault="00000000">
      <w:pPr>
        <w:pStyle w:val="Heading2"/>
        <w:ind w:left="598" w:hanging="613"/>
      </w:pPr>
      <w:r>
        <w:t>Research Question</w:t>
      </w:r>
    </w:p>
    <w:p w14:paraId="3186E280" w14:textId="77777777" w:rsidR="00453D7A" w:rsidRDefault="00000000">
      <w:pPr>
        <w:spacing w:after="147"/>
        <w:ind w:left="-5" w:right="900"/>
      </w:pPr>
      <w:r>
        <w:t>Based on the identified gap, this research investigates the following main question:</w:t>
      </w:r>
    </w:p>
    <w:p w14:paraId="1EAC2929" w14:textId="77777777" w:rsidR="00453D7A" w:rsidRDefault="00000000">
      <w:pPr>
        <w:spacing w:after="151" w:line="254" w:lineRule="auto"/>
        <w:ind w:left="498" w:right="1245" w:firstLine="0"/>
      </w:pPr>
      <w:r>
        <w:rPr>
          <w:i/>
        </w:rPr>
        <w:t>Can Reinforcement Learning effectively detect money laundering, and how does it compare to leading supervised learning methods on transaction data?</w:t>
      </w:r>
    </w:p>
    <w:p w14:paraId="4DB3C982" w14:textId="77777777" w:rsidR="00453D7A" w:rsidRDefault="00000000">
      <w:pPr>
        <w:spacing w:after="172"/>
        <w:ind w:left="-5" w:right="900"/>
      </w:pPr>
      <w:r>
        <w:t>To answer this, the following subquestions are addressed:</w:t>
      </w:r>
    </w:p>
    <w:p w14:paraId="0546623D" w14:textId="77777777" w:rsidR="00453D7A" w:rsidRDefault="00000000">
      <w:pPr>
        <w:numPr>
          <w:ilvl w:val="0"/>
          <w:numId w:val="2"/>
        </w:numPr>
        <w:spacing w:after="181"/>
        <w:ind w:left="499" w:right="900" w:hanging="255"/>
      </w:pPr>
      <w:r>
        <w:t>How can Reinforcement Learning be applied to AML transaction monitoring?</w:t>
      </w:r>
    </w:p>
    <w:p w14:paraId="783361BF" w14:textId="77777777" w:rsidR="00453D7A" w:rsidRDefault="00000000">
      <w:pPr>
        <w:numPr>
          <w:ilvl w:val="0"/>
          <w:numId w:val="2"/>
        </w:numPr>
        <w:spacing w:after="174" w:line="265" w:lineRule="auto"/>
        <w:ind w:left="499" w:right="900" w:hanging="255"/>
      </w:pPr>
      <w:r>
        <w:t>How does Reinforcement Learning perform compared to leading supervised learning methods?</w:t>
      </w:r>
    </w:p>
    <w:p w14:paraId="6639E74D" w14:textId="77777777" w:rsidR="00453D7A" w:rsidRDefault="00000000">
      <w:pPr>
        <w:numPr>
          <w:ilvl w:val="0"/>
          <w:numId w:val="2"/>
        </w:numPr>
        <w:spacing w:after="346"/>
        <w:ind w:left="499" w:right="900" w:hanging="255"/>
      </w:pPr>
      <w:r>
        <w:t>What are the benefits and limitations of Reinforcement Learning for AML?</w:t>
      </w:r>
    </w:p>
    <w:p w14:paraId="566B6C08" w14:textId="77777777" w:rsidR="00453D7A" w:rsidRDefault="00000000">
      <w:pPr>
        <w:pStyle w:val="Heading2"/>
        <w:ind w:left="598" w:hanging="613"/>
      </w:pPr>
      <w:r>
        <w:t>Scope</w:t>
      </w:r>
    </w:p>
    <w:p w14:paraId="721C60CB" w14:textId="77777777" w:rsidR="00453D7A" w:rsidRDefault="00000000">
      <w:pPr>
        <w:ind w:left="-5" w:right="900"/>
      </w:pPr>
      <w:r>
        <w:t>This research focuses on applying Reinforcement Learning to AML transaction monitoring using tabular data. Although the literature highlights graph-based methods such as GCN and Graph Deep Learning as promising directions, these are explicitly out of scope.</w:t>
      </w:r>
    </w:p>
    <w:p w14:paraId="45BA4F8C" w14:textId="77777777" w:rsidR="00453D7A" w:rsidRDefault="00000000">
      <w:pPr>
        <w:ind w:left="-15" w:right="900" w:firstLine="299"/>
      </w:pPr>
      <w:r>
        <w:t>Since the context of this research involves banking institutions as stakeholders, it may be assumed that real banking data is used. This is not the case. Real-world AML datasets are not publicly available due to privacy and legal constraints, making synthetic datasets the only viable option. Cryptocurrency transaction datasets are out of scope.</w:t>
      </w:r>
    </w:p>
    <w:p w14:paraId="178A74D2" w14:textId="77777777" w:rsidR="00453D7A" w:rsidRDefault="00000000">
      <w:pPr>
        <w:ind w:left="-15" w:right="900" w:firstLine="299"/>
      </w:pPr>
      <w:r>
        <w:t>Furthermore, while the RL papers discussed in the literature review originate from the broader fraud detection domain, this research is scoped specifically to money laundering detection. Credit card fraud and other forms of financial fraud are related but distinct problems and are not the subject of this research.</w:t>
      </w:r>
    </w:p>
    <w:p w14:paraId="35B0504A" w14:textId="77777777" w:rsidR="00453D7A" w:rsidRDefault="00000000">
      <w:pPr>
        <w:ind w:left="-15" w:right="900" w:firstLine="299"/>
      </w:pPr>
      <w:r>
        <w:t xml:space="preserve">Finally, given that the Wwft requires financial institutions to be able to explain AML decisions, explainability of the RL model is addressed in this research </w:t>
      </w:r>
      <w:r>
        <w:rPr>
          <w:color w:val="0000FF"/>
        </w:rPr>
        <w:t xml:space="preserve">Ministerie van Financi¨en </w:t>
      </w:r>
      <w:r>
        <w:t>(</w:t>
      </w:r>
      <w:r>
        <w:rPr>
          <w:color w:val="0000FF"/>
        </w:rPr>
        <w:t>2008</w:t>
      </w:r>
      <w:r>
        <w:t>). However, a full legal compliance audit is out of scope. The explainability analysis serves to assess whether the model’s decisions can be interpreted in a meaningful way, not to provide a legal judgment on its deployability.</w:t>
      </w:r>
      <w:r>
        <w:br w:type="page"/>
      </w:r>
    </w:p>
    <w:p w14:paraId="480502F8" w14:textId="77777777" w:rsidR="00453D7A" w:rsidRDefault="00000000">
      <w:pPr>
        <w:pStyle w:val="Heading1"/>
        <w:ind w:left="469" w:hanging="484"/>
      </w:pPr>
      <w:r>
        <w:lastRenderedPageBreak/>
        <w:t>Background</w:t>
      </w:r>
    </w:p>
    <w:p w14:paraId="034FC701" w14:textId="77777777" w:rsidR="00453D7A" w:rsidRDefault="00000000">
      <w:pPr>
        <w:spacing w:after="338"/>
        <w:ind w:left="-5" w:right="900"/>
      </w:pPr>
      <w:r>
        <w:t>This chapter provides the theoretical and ethical foundation for this research, building on the identified gap by covering the techniques used, a comparison of related work, and the considerations that shaped the research design.</w:t>
      </w:r>
    </w:p>
    <w:p w14:paraId="26921BD9" w14:textId="77777777" w:rsidR="00453D7A" w:rsidRDefault="00000000">
      <w:pPr>
        <w:pStyle w:val="Heading2"/>
        <w:ind w:left="598" w:hanging="613"/>
      </w:pPr>
      <w:r>
        <w:t>Relevant Literature on Techniques</w:t>
      </w:r>
    </w:p>
    <w:p w14:paraId="4E432D4C" w14:textId="77777777" w:rsidR="00453D7A" w:rsidRDefault="00000000">
      <w:pPr>
        <w:pStyle w:val="Heading3"/>
        <w:ind w:left="685" w:right="900" w:hanging="700"/>
      </w:pPr>
      <w:r>
        <w:t>Reinforcement Learning and Deep Q-Networks</w:t>
      </w:r>
    </w:p>
    <w:p w14:paraId="022DA8CF" w14:textId="77777777" w:rsidR="00453D7A" w:rsidRDefault="00000000">
      <w:pPr>
        <w:spacing w:after="292"/>
        <w:ind w:left="-5" w:right="900"/>
      </w:pPr>
      <w:r>
        <w:t xml:space="preserve">Reinforcement Learning (RL) is a machine learning paradigm in which an agent learns to make decisions by interacting with an environment. Rather than learning from a labeled dataset, the agent receives a reward or penalty based on its actions and uses this feedback to improve its policy over time. This makes RL particularly suitable for sequential decision-making problems where the optimal action depends on context and may change over time. A widely used RL algorithm is the Deep QNetwork (DQN), which combines Q-learning with a neural network to approximate the value of taking a given action in a given state. DQN has been successfully applied to transaction monitoring in recent literature. </w:t>
      </w:r>
      <w:r>
        <w:rPr>
          <w:color w:val="0000FF"/>
        </w:rPr>
        <w:t xml:space="preserve">Cui et al. </w:t>
      </w:r>
      <w:r>
        <w:t>(</w:t>
      </w:r>
      <w:r>
        <w:rPr>
          <w:color w:val="0000FF"/>
        </w:rPr>
        <w:t>2025</w:t>
      </w:r>
      <w:r>
        <w:t xml:space="preserve">) use DQN to dynamically adjust fraud detection thresholds and feature importance weights across a graph of interconnected financial entities, evaluating their approach across mobile money, credit card, and e-commerce transaction domains. </w:t>
      </w:r>
      <w:r>
        <w:rPr>
          <w:color w:val="0000FF"/>
        </w:rPr>
        <w:t xml:space="preserve">Qayoom et al. </w:t>
      </w:r>
      <w:r>
        <w:t>(</w:t>
      </w:r>
      <w:r>
        <w:rPr>
          <w:color w:val="0000FF"/>
        </w:rPr>
        <w:t>2024</w:t>
      </w:r>
      <w:r>
        <w:t>), by contrast, narrow their scope to credit card fraud specifically, where the agent learns to flag transactions that deviate from an individual cardholder’s recent spending behaviour. Together, these works establish DQN as the most prominent RL approach in this domain and a natural starting point for this research.</w:t>
      </w:r>
    </w:p>
    <w:p w14:paraId="2CB1CBC4" w14:textId="77777777" w:rsidR="00453D7A" w:rsidRDefault="00000000">
      <w:pPr>
        <w:pStyle w:val="Heading3"/>
        <w:ind w:left="685" w:right="900" w:hanging="700"/>
      </w:pPr>
      <w:r>
        <w:t>Explainability with SHAP</w:t>
      </w:r>
    </w:p>
    <w:p w14:paraId="3BE2EB62" w14:textId="77777777" w:rsidR="00453D7A" w:rsidRDefault="00000000">
      <w:pPr>
        <w:spacing w:after="337"/>
        <w:ind w:left="-5" w:right="900"/>
      </w:pPr>
      <w:r>
        <w:t xml:space="preserve">SHAP (SHapley Additive exPlanations) is an explainability method that can be applied to any machine learning model, assigning each input feature a contribution score for a given prediction. This makes it particularly suitable for interpreting black-box models such as the Deep Q-Network used in this research. In the context of AML, SHAP has already been applied in </w:t>
      </w:r>
      <w:r>
        <w:rPr>
          <w:color w:val="0000FF"/>
        </w:rPr>
        <w:t xml:space="preserve">Tertychnyi et al. </w:t>
      </w:r>
      <w:r>
        <w:t>(</w:t>
      </w:r>
      <w:r>
        <w:rPr>
          <w:color w:val="0000FF"/>
        </w:rPr>
        <w:t>2022</w:t>
      </w:r>
      <w:r>
        <w:t xml:space="preserve">) (also discussed in the survey by </w:t>
      </w:r>
      <w:r>
        <w:rPr>
          <w:color w:val="0000FF"/>
        </w:rPr>
        <w:t xml:space="preserve">Youssef et al. </w:t>
      </w:r>
      <w:r>
        <w:t>(</w:t>
      </w:r>
      <w:r>
        <w:rPr>
          <w:color w:val="0000FF"/>
        </w:rPr>
        <w:t>2023</w:t>
      </w:r>
      <w:r>
        <w:t xml:space="preserve">)) and by ABN AMRO </w:t>
      </w:r>
      <w:r>
        <w:rPr>
          <w:color w:val="0000FF"/>
        </w:rPr>
        <w:t xml:space="preserve">Menon and Nguyen </w:t>
      </w:r>
      <w:r>
        <w:t>(</w:t>
      </w:r>
      <w:r>
        <w:rPr>
          <w:color w:val="0000FF"/>
        </w:rPr>
        <w:t>2026</w:t>
      </w:r>
      <w:r>
        <w:t xml:space="preserve">) to identify which features contributed most to a model flagging a customer as high-risk. </w:t>
      </w:r>
      <w:commentRangeStart w:id="4"/>
      <w:r>
        <w:t>Given</w:t>
      </w:r>
      <w:commentRangeEnd w:id="4"/>
      <w:r w:rsidR="003149AA">
        <w:rPr>
          <w:rStyle w:val="CommentReference"/>
          <w:sz w:val="20"/>
          <w:szCs w:val="24"/>
        </w:rPr>
        <w:commentReference w:id="4"/>
      </w:r>
      <w:r>
        <w:t xml:space="preserve"> the explainability requirements imposed by the Wwft, SHAP will be used in this research to interpret the decisions made by the RL model.</w:t>
      </w:r>
    </w:p>
    <w:p w14:paraId="0B6CDC88" w14:textId="77777777" w:rsidR="00453D7A" w:rsidRDefault="00000000">
      <w:pPr>
        <w:pStyle w:val="Heading2"/>
        <w:ind w:left="598" w:hanging="613"/>
      </w:pPr>
      <w:r>
        <w:t>Related Work Comparison</w:t>
      </w:r>
    </w:p>
    <w:p w14:paraId="6A54FD48" w14:textId="77777777" w:rsidR="00453D7A" w:rsidRDefault="00000000">
      <w:pPr>
        <w:spacing w:after="364"/>
        <w:ind w:left="-5" w:right="900"/>
      </w:pPr>
      <w:r>
        <w:t xml:space="preserve">As established in the literature overview, only two papers were found that apply Reinforcement Learning to transaction monitoring. Table </w:t>
      </w:r>
      <w:r>
        <w:rPr>
          <w:color w:val="0000FF"/>
        </w:rPr>
        <w:t xml:space="preserve">1 </w:t>
      </w:r>
      <w:r>
        <w:t>provides a structured comparison between these papers and the research proposed in this thesis.</w:t>
      </w:r>
    </w:p>
    <w:p w14:paraId="5985B5FB" w14:textId="77777777" w:rsidR="00453D7A" w:rsidRDefault="00000000">
      <w:pPr>
        <w:spacing w:after="0" w:line="265" w:lineRule="auto"/>
        <w:ind w:right="915"/>
        <w:jc w:val="center"/>
      </w:pPr>
      <w:r>
        <w:t>Table 1: Comparison of related work</w:t>
      </w:r>
    </w:p>
    <w:tbl>
      <w:tblPr>
        <w:tblStyle w:val="TableGrid"/>
        <w:tblW w:w="8839" w:type="dxa"/>
        <w:tblInd w:w="0" w:type="dxa"/>
        <w:tblCellMar>
          <w:top w:w="28" w:type="dxa"/>
          <w:left w:w="100" w:type="dxa"/>
          <w:bottom w:w="0" w:type="dxa"/>
          <w:right w:w="100" w:type="dxa"/>
        </w:tblCellMar>
        <w:tblLook w:val="04A0" w:firstRow="1" w:lastRow="0" w:firstColumn="1" w:lastColumn="0" w:noHBand="0" w:noVBand="1"/>
      </w:tblPr>
      <w:tblGrid>
        <w:gridCol w:w="1370"/>
        <w:gridCol w:w="2949"/>
        <w:gridCol w:w="3202"/>
        <w:gridCol w:w="1318"/>
      </w:tblGrid>
      <w:tr w:rsidR="00453D7A" w14:paraId="185DB6E8" w14:textId="77777777">
        <w:trPr>
          <w:trHeight w:val="206"/>
        </w:trPr>
        <w:tc>
          <w:tcPr>
            <w:tcW w:w="1369" w:type="dxa"/>
            <w:tcBorders>
              <w:top w:val="single" w:sz="3" w:space="0" w:color="000000"/>
              <w:left w:val="single" w:sz="3" w:space="0" w:color="000000"/>
              <w:bottom w:val="single" w:sz="3" w:space="0" w:color="000000"/>
              <w:right w:val="single" w:sz="3" w:space="0" w:color="000000"/>
            </w:tcBorders>
          </w:tcPr>
          <w:p w14:paraId="79A33D90" w14:textId="77777777" w:rsidR="00453D7A" w:rsidRDefault="00453D7A">
            <w:pPr>
              <w:spacing w:after="160" w:line="259" w:lineRule="auto"/>
              <w:ind w:left="0" w:right="0" w:firstLine="0"/>
              <w:jc w:val="left"/>
            </w:pPr>
          </w:p>
        </w:tc>
        <w:tc>
          <w:tcPr>
            <w:tcW w:w="2949" w:type="dxa"/>
            <w:tcBorders>
              <w:top w:val="single" w:sz="3" w:space="0" w:color="000000"/>
              <w:left w:val="single" w:sz="3" w:space="0" w:color="000000"/>
              <w:bottom w:val="single" w:sz="3" w:space="0" w:color="000000"/>
              <w:right w:val="single" w:sz="3" w:space="0" w:color="000000"/>
            </w:tcBorders>
          </w:tcPr>
          <w:p w14:paraId="067DC649" w14:textId="77777777" w:rsidR="00453D7A" w:rsidRDefault="00000000">
            <w:pPr>
              <w:spacing w:after="0" w:line="259" w:lineRule="auto"/>
              <w:ind w:left="0" w:right="0" w:firstLine="0"/>
              <w:jc w:val="left"/>
            </w:pPr>
            <w:r w:rsidRPr="009132E9">
              <w:rPr>
                <w:b/>
                <w:sz w:val="17"/>
                <w:lang w:val="it-IT"/>
              </w:rPr>
              <w:t xml:space="preserve">Cui et al. </w:t>
            </w:r>
            <w:r w:rsidRPr="009132E9">
              <w:rPr>
                <w:b/>
                <w:color w:val="0000FF"/>
                <w:sz w:val="17"/>
                <w:lang w:val="it-IT"/>
              </w:rPr>
              <w:t xml:space="preserve">Cui et al. </w:t>
            </w:r>
            <w:r>
              <w:rPr>
                <w:b/>
                <w:sz w:val="17"/>
              </w:rPr>
              <w:t>(</w:t>
            </w:r>
            <w:r>
              <w:rPr>
                <w:b/>
                <w:color w:val="0000FF"/>
                <w:sz w:val="17"/>
              </w:rPr>
              <w:t>2025</w:t>
            </w:r>
            <w:r>
              <w:rPr>
                <w:b/>
                <w:sz w:val="17"/>
              </w:rPr>
              <w:t>)</w:t>
            </w:r>
          </w:p>
        </w:tc>
        <w:tc>
          <w:tcPr>
            <w:tcW w:w="3202" w:type="dxa"/>
            <w:tcBorders>
              <w:top w:val="single" w:sz="3" w:space="0" w:color="000000"/>
              <w:left w:val="single" w:sz="3" w:space="0" w:color="000000"/>
              <w:bottom w:val="single" w:sz="3" w:space="0" w:color="000000"/>
              <w:right w:val="single" w:sz="3" w:space="0" w:color="000000"/>
            </w:tcBorders>
          </w:tcPr>
          <w:p w14:paraId="222C937F" w14:textId="77777777" w:rsidR="00453D7A" w:rsidRDefault="00000000">
            <w:pPr>
              <w:spacing w:after="0" w:line="259" w:lineRule="auto"/>
              <w:ind w:left="0" w:right="0" w:firstLine="0"/>
              <w:jc w:val="left"/>
            </w:pPr>
            <w:r w:rsidRPr="009132E9">
              <w:rPr>
                <w:b/>
                <w:sz w:val="17"/>
                <w:lang w:val="da-DK"/>
              </w:rPr>
              <w:t xml:space="preserve">Qayoom et al. </w:t>
            </w:r>
            <w:r w:rsidRPr="009132E9">
              <w:rPr>
                <w:b/>
                <w:color w:val="0000FF"/>
                <w:sz w:val="17"/>
                <w:lang w:val="da-DK"/>
              </w:rPr>
              <w:t xml:space="preserve">Qayoom et al. </w:t>
            </w:r>
            <w:r>
              <w:rPr>
                <w:b/>
                <w:sz w:val="17"/>
              </w:rPr>
              <w:t>(</w:t>
            </w:r>
            <w:r>
              <w:rPr>
                <w:b/>
                <w:color w:val="0000FF"/>
                <w:sz w:val="17"/>
              </w:rPr>
              <w:t>2024</w:t>
            </w:r>
            <w:r>
              <w:rPr>
                <w:b/>
                <w:sz w:val="17"/>
              </w:rPr>
              <w:t>)</w:t>
            </w:r>
          </w:p>
        </w:tc>
        <w:tc>
          <w:tcPr>
            <w:tcW w:w="1318" w:type="dxa"/>
            <w:tcBorders>
              <w:top w:val="single" w:sz="3" w:space="0" w:color="000000"/>
              <w:left w:val="single" w:sz="3" w:space="0" w:color="000000"/>
              <w:bottom w:val="single" w:sz="3" w:space="0" w:color="000000"/>
              <w:right w:val="single" w:sz="3" w:space="0" w:color="000000"/>
            </w:tcBorders>
          </w:tcPr>
          <w:p w14:paraId="232332B9" w14:textId="77777777" w:rsidR="00453D7A" w:rsidRDefault="00000000">
            <w:pPr>
              <w:spacing w:after="0" w:line="259" w:lineRule="auto"/>
              <w:ind w:left="0" w:right="0" w:firstLine="0"/>
              <w:jc w:val="left"/>
            </w:pPr>
            <w:r>
              <w:rPr>
                <w:b/>
                <w:sz w:val="17"/>
              </w:rPr>
              <w:t>This research</w:t>
            </w:r>
          </w:p>
        </w:tc>
      </w:tr>
      <w:tr w:rsidR="00453D7A" w14:paraId="1C5F5ACA" w14:textId="77777777">
        <w:trPr>
          <w:trHeight w:val="206"/>
        </w:trPr>
        <w:tc>
          <w:tcPr>
            <w:tcW w:w="1369" w:type="dxa"/>
            <w:tcBorders>
              <w:top w:val="single" w:sz="3" w:space="0" w:color="000000"/>
              <w:left w:val="single" w:sz="3" w:space="0" w:color="000000"/>
              <w:bottom w:val="single" w:sz="3" w:space="0" w:color="000000"/>
              <w:right w:val="single" w:sz="3" w:space="0" w:color="000000"/>
            </w:tcBorders>
          </w:tcPr>
          <w:p w14:paraId="5E3E91A2" w14:textId="77777777" w:rsidR="00453D7A" w:rsidRDefault="00000000">
            <w:pPr>
              <w:spacing w:after="0" w:line="259" w:lineRule="auto"/>
              <w:ind w:left="0" w:right="0" w:firstLine="0"/>
              <w:jc w:val="left"/>
            </w:pPr>
            <w:r>
              <w:rPr>
                <w:b/>
                <w:sz w:val="17"/>
              </w:rPr>
              <w:t>Method</w:t>
            </w:r>
          </w:p>
        </w:tc>
        <w:tc>
          <w:tcPr>
            <w:tcW w:w="2949" w:type="dxa"/>
            <w:tcBorders>
              <w:top w:val="single" w:sz="3" w:space="0" w:color="000000"/>
              <w:left w:val="single" w:sz="3" w:space="0" w:color="000000"/>
              <w:bottom w:val="single" w:sz="3" w:space="0" w:color="000000"/>
              <w:right w:val="single" w:sz="3" w:space="0" w:color="000000"/>
            </w:tcBorders>
          </w:tcPr>
          <w:p w14:paraId="2165EC43" w14:textId="77777777" w:rsidR="00453D7A" w:rsidRDefault="00000000">
            <w:pPr>
              <w:spacing w:after="0" w:line="259" w:lineRule="auto"/>
              <w:ind w:left="0" w:right="0" w:firstLine="0"/>
              <w:jc w:val="left"/>
            </w:pPr>
            <w:r>
              <w:rPr>
                <w:sz w:val="17"/>
              </w:rPr>
              <w:t>GNN + RL</w:t>
            </w:r>
          </w:p>
        </w:tc>
        <w:tc>
          <w:tcPr>
            <w:tcW w:w="3202" w:type="dxa"/>
            <w:tcBorders>
              <w:top w:val="single" w:sz="3" w:space="0" w:color="000000"/>
              <w:left w:val="single" w:sz="3" w:space="0" w:color="000000"/>
              <w:bottom w:val="single" w:sz="3" w:space="0" w:color="000000"/>
              <w:right w:val="single" w:sz="3" w:space="0" w:color="000000"/>
            </w:tcBorders>
          </w:tcPr>
          <w:p w14:paraId="5E259C35" w14:textId="77777777" w:rsidR="00453D7A" w:rsidRDefault="00000000">
            <w:pPr>
              <w:spacing w:after="0" w:line="259" w:lineRule="auto"/>
              <w:ind w:left="0" w:right="0" w:firstLine="0"/>
              <w:jc w:val="left"/>
            </w:pPr>
            <w:r>
              <w:rPr>
                <w:sz w:val="17"/>
              </w:rPr>
              <w:t>RL only</w:t>
            </w:r>
          </w:p>
        </w:tc>
        <w:tc>
          <w:tcPr>
            <w:tcW w:w="1318" w:type="dxa"/>
            <w:tcBorders>
              <w:top w:val="single" w:sz="3" w:space="0" w:color="000000"/>
              <w:left w:val="single" w:sz="3" w:space="0" w:color="000000"/>
              <w:bottom w:val="single" w:sz="3" w:space="0" w:color="000000"/>
              <w:right w:val="single" w:sz="3" w:space="0" w:color="000000"/>
            </w:tcBorders>
          </w:tcPr>
          <w:p w14:paraId="63E67D3C" w14:textId="77777777" w:rsidR="00453D7A" w:rsidRDefault="00000000">
            <w:pPr>
              <w:spacing w:after="0" w:line="259" w:lineRule="auto"/>
              <w:ind w:left="0" w:right="0" w:firstLine="0"/>
              <w:jc w:val="left"/>
            </w:pPr>
            <w:r>
              <w:rPr>
                <w:sz w:val="17"/>
              </w:rPr>
              <w:t>RL only</w:t>
            </w:r>
          </w:p>
        </w:tc>
      </w:tr>
      <w:tr w:rsidR="00453D7A" w14:paraId="1A35B642" w14:textId="77777777">
        <w:trPr>
          <w:trHeight w:val="206"/>
        </w:trPr>
        <w:tc>
          <w:tcPr>
            <w:tcW w:w="1369" w:type="dxa"/>
            <w:tcBorders>
              <w:top w:val="single" w:sz="3" w:space="0" w:color="000000"/>
              <w:left w:val="single" w:sz="3" w:space="0" w:color="000000"/>
              <w:bottom w:val="single" w:sz="3" w:space="0" w:color="000000"/>
              <w:right w:val="single" w:sz="3" w:space="0" w:color="000000"/>
            </w:tcBorders>
          </w:tcPr>
          <w:p w14:paraId="112AB1C1" w14:textId="77777777" w:rsidR="00453D7A" w:rsidRDefault="00000000">
            <w:pPr>
              <w:spacing w:after="0" w:line="259" w:lineRule="auto"/>
              <w:ind w:left="0" w:right="0" w:firstLine="0"/>
              <w:jc w:val="left"/>
            </w:pPr>
            <w:r>
              <w:rPr>
                <w:b/>
                <w:sz w:val="17"/>
              </w:rPr>
              <w:t>Domain</w:t>
            </w:r>
          </w:p>
        </w:tc>
        <w:tc>
          <w:tcPr>
            <w:tcW w:w="2949" w:type="dxa"/>
            <w:tcBorders>
              <w:top w:val="single" w:sz="3" w:space="0" w:color="000000"/>
              <w:left w:val="single" w:sz="3" w:space="0" w:color="000000"/>
              <w:bottom w:val="single" w:sz="3" w:space="0" w:color="000000"/>
              <w:right w:val="single" w:sz="3" w:space="0" w:color="000000"/>
            </w:tcBorders>
          </w:tcPr>
          <w:p w14:paraId="2DF1FFB2" w14:textId="77777777" w:rsidR="00453D7A" w:rsidRDefault="00000000">
            <w:pPr>
              <w:spacing w:after="0" w:line="259" w:lineRule="auto"/>
              <w:ind w:left="0" w:right="0" w:firstLine="0"/>
              <w:jc w:val="left"/>
            </w:pPr>
            <w:r>
              <w:rPr>
                <w:sz w:val="17"/>
              </w:rPr>
              <w:t>General fraud</w:t>
            </w:r>
          </w:p>
        </w:tc>
        <w:tc>
          <w:tcPr>
            <w:tcW w:w="3202" w:type="dxa"/>
            <w:tcBorders>
              <w:top w:val="single" w:sz="3" w:space="0" w:color="000000"/>
              <w:left w:val="single" w:sz="3" w:space="0" w:color="000000"/>
              <w:bottom w:val="single" w:sz="3" w:space="0" w:color="000000"/>
              <w:right w:val="single" w:sz="3" w:space="0" w:color="000000"/>
            </w:tcBorders>
          </w:tcPr>
          <w:p w14:paraId="37EB2D8D" w14:textId="77777777" w:rsidR="00453D7A" w:rsidRDefault="00000000">
            <w:pPr>
              <w:spacing w:after="0" w:line="259" w:lineRule="auto"/>
              <w:ind w:left="0" w:right="0" w:firstLine="0"/>
              <w:jc w:val="left"/>
            </w:pPr>
            <w:r>
              <w:rPr>
                <w:sz w:val="17"/>
              </w:rPr>
              <w:t>Credit card fraud</w:t>
            </w:r>
          </w:p>
        </w:tc>
        <w:tc>
          <w:tcPr>
            <w:tcW w:w="1318" w:type="dxa"/>
            <w:tcBorders>
              <w:top w:val="single" w:sz="3" w:space="0" w:color="000000"/>
              <w:left w:val="single" w:sz="3" w:space="0" w:color="000000"/>
              <w:bottom w:val="single" w:sz="3" w:space="0" w:color="000000"/>
              <w:right w:val="single" w:sz="3" w:space="0" w:color="000000"/>
            </w:tcBorders>
          </w:tcPr>
          <w:p w14:paraId="543F448D" w14:textId="77777777" w:rsidR="00453D7A" w:rsidRDefault="00000000">
            <w:pPr>
              <w:spacing w:after="0" w:line="259" w:lineRule="auto"/>
              <w:ind w:left="0" w:right="0" w:firstLine="0"/>
              <w:jc w:val="left"/>
            </w:pPr>
            <w:r>
              <w:rPr>
                <w:sz w:val="17"/>
              </w:rPr>
              <w:t>AML</w:t>
            </w:r>
          </w:p>
        </w:tc>
      </w:tr>
      <w:tr w:rsidR="00453D7A" w14:paraId="40D7DDD6" w14:textId="77777777">
        <w:trPr>
          <w:trHeight w:val="206"/>
        </w:trPr>
        <w:tc>
          <w:tcPr>
            <w:tcW w:w="1369" w:type="dxa"/>
            <w:tcBorders>
              <w:top w:val="single" w:sz="3" w:space="0" w:color="000000"/>
              <w:left w:val="single" w:sz="3" w:space="0" w:color="000000"/>
              <w:bottom w:val="single" w:sz="3" w:space="0" w:color="000000"/>
              <w:right w:val="single" w:sz="3" w:space="0" w:color="000000"/>
            </w:tcBorders>
          </w:tcPr>
          <w:p w14:paraId="199DBE12" w14:textId="77777777" w:rsidR="00453D7A" w:rsidRDefault="00000000">
            <w:pPr>
              <w:spacing w:after="0" w:line="259" w:lineRule="auto"/>
              <w:ind w:left="0" w:right="0" w:firstLine="0"/>
              <w:jc w:val="left"/>
            </w:pPr>
            <w:r>
              <w:rPr>
                <w:b/>
                <w:sz w:val="17"/>
              </w:rPr>
              <w:t>Data</w:t>
            </w:r>
          </w:p>
        </w:tc>
        <w:tc>
          <w:tcPr>
            <w:tcW w:w="2949" w:type="dxa"/>
            <w:tcBorders>
              <w:top w:val="single" w:sz="3" w:space="0" w:color="000000"/>
              <w:left w:val="single" w:sz="3" w:space="0" w:color="000000"/>
              <w:bottom w:val="single" w:sz="3" w:space="0" w:color="000000"/>
              <w:right w:val="single" w:sz="3" w:space="0" w:color="000000"/>
            </w:tcBorders>
          </w:tcPr>
          <w:p w14:paraId="539185F0" w14:textId="77777777" w:rsidR="00453D7A" w:rsidRDefault="00000000">
            <w:pPr>
              <w:spacing w:after="0" w:line="259" w:lineRule="auto"/>
              <w:ind w:left="0" w:right="0" w:firstLine="0"/>
              <w:jc w:val="left"/>
            </w:pPr>
            <w:r>
              <w:rPr>
                <w:sz w:val="17"/>
              </w:rPr>
              <w:t>PaySim, Credit Card 2023, IEEE-CIS</w:t>
            </w:r>
          </w:p>
        </w:tc>
        <w:tc>
          <w:tcPr>
            <w:tcW w:w="3202" w:type="dxa"/>
            <w:tcBorders>
              <w:top w:val="single" w:sz="3" w:space="0" w:color="000000"/>
              <w:left w:val="single" w:sz="3" w:space="0" w:color="000000"/>
              <w:bottom w:val="single" w:sz="3" w:space="0" w:color="000000"/>
              <w:right w:val="single" w:sz="3" w:space="0" w:color="000000"/>
            </w:tcBorders>
          </w:tcPr>
          <w:p w14:paraId="10CC3A62" w14:textId="77777777" w:rsidR="00453D7A" w:rsidRDefault="00000000">
            <w:pPr>
              <w:spacing w:after="0" w:line="259" w:lineRule="auto"/>
              <w:ind w:left="0" w:right="0" w:firstLine="0"/>
              <w:jc w:val="left"/>
            </w:pPr>
            <w:r>
              <w:rPr>
                <w:sz w:val="17"/>
              </w:rPr>
              <w:t>ULB Credit Card Fraud</w:t>
            </w:r>
          </w:p>
        </w:tc>
        <w:tc>
          <w:tcPr>
            <w:tcW w:w="1318" w:type="dxa"/>
            <w:tcBorders>
              <w:top w:val="single" w:sz="3" w:space="0" w:color="000000"/>
              <w:left w:val="single" w:sz="3" w:space="0" w:color="000000"/>
              <w:bottom w:val="single" w:sz="3" w:space="0" w:color="000000"/>
              <w:right w:val="single" w:sz="3" w:space="0" w:color="000000"/>
            </w:tcBorders>
          </w:tcPr>
          <w:p w14:paraId="05E86E30" w14:textId="77777777" w:rsidR="00453D7A" w:rsidRDefault="00000000">
            <w:pPr>
              <w:spacing w:after="0" w:line="259" w:lineRule="auto"/>
              <w:ind w:left="0" w:right="0" w:firstLine="0"/>
              <w:jc w:val="left"/>
            </w:pPr>
            <w:r>
              <w:rPr>
                <w:sz w:val="17"/>
              </w:rPr>
              <w:t>SAML-D</w:t>
            </w:r>
          </w:p>
        </w:tc>
      </w:tr>
      <w:tr w:rsidR="00453D7A" w14:paraId="2695A8FE" w14:textId="77777777">
        <w:trPr>
          <w:trHeight w:val="206"/>
        </w:trPr>
        <w:tc>
          <w:tcPr>
            <w:tcW w:w="1369" w:type="dxa"/>
            <w:tcBorders>
              <w:top w:val="single" w:sz="3" w:space="0" w:color="000000"/>
              <w:left w:val="single" w:sz="3" w:space="0" w:color="000000"/>
              <w:bottom w:val="single" w:sz="3" w:space="0" w:color="000000"/>
              <w:right w:val="single" w:sz="3" w:space="0" w:color="000000"/>
            </w:tcBorders>
          </w:tcPr>
          <w:p w14:paraId="34662FA3" w14:textId="77777777" w:rsidR="00453D7A" w:rsidRDefault="00000000">
            <w:pPr>
              <w:spacing w:after="0" w:line="259" w:lineRule="auto"/>
              <w:ind w:left="0" w:right="0" w:firstLine="0"/>
              <w:jc w:val="left"/>
            </w:pPr>
            <w:r>
              <w:rPr>
                <w:b/>
                <w:sz w:val="17"/>
              </w:rPr>
              <w:t>Metrics</w:t>
            </w:r>
          </w:p>
        </w:tc>
        <w:tc>
          <w:tcPr>
            <w:tcW w:w="2949" w:type="dxa"/>
            <w:tcBorders>
              <w:top w:val="single" w:sz="3" w:space="0" w:color="000000"/>
              <w:left w:val="single" w:sz="3" w:space="0" w:color="000000"/>
              <w:bottom w:val="single" w:sz="3" w:space="0" w:color="000000"/>
              <w:right w:val="single" w:sz="3" w:space="0" w:color="000000"/>
            </w:tcBorders>
          </w:tcPr>
          <w:p w14:paraId="4F3E5256" w14:textId="77777777" w:rsidR="00453D7A" w:rsidRPr="009132E9" w:rsidRDefault="00000000">
            <w:pPr>
              <w:spacing w:after="0" w:line="259" w:lineRule="auto"/>
              <w:ind w:left="0" w:right="0" w:firstLine="0"/>
              <w:jc w:val="left"/>
              <w:rPr>
                <w:lang w:val="fr-FR"/>
              </w:rPr>
            </w:pPr>
            <w:r w:rsidRPr="009132E9">
              <w:rPr>
                <w:sz w:val="17"/>
                <w:lang w:val="fr-FR"/>
              </w:rPr>
              <w:t>AUC-ROC, AUPRC, F1, Recall@k%</w:t>
            </w:r>
          </w:p>
        </w:tc>
        <w:tc>
          <w:tcPr>
            <w:tcW w:w="3202" w:type="dxa"/>
            <w:tcBorders>
              <w:top w:val="single" w:sz="3" w:space="0" w:color="000000"/>
              <w:left w:val="single" w:sz="3" w:space="0" w:color="000000"/>
              <w:bottom w:val="single" w:sz="3" w:space="0" w:color="000000"/>
              <w:right w:val="single" w:sz="3" w:space="0" w:color="000000"/>
            </w:tcBorders>
          </w:tcPr>
          <w:p w14:paraId="24E98A15" w14:textId="77777777" w:rsidR="00453D7A" w:rsidRDefault="00000000">
            <w:pPr>
              <w:spacing w:after="0" w:line="259" w:lineRule="auto"/>
              <w:ind w:left="0" w:right="0" w:firstLine="0"/>
              <w:jc w:val="left"/>
            </w:pPr>
            <w:r>
              <w:rPr>
                <w:sz w:val="17"/>
              </w:rPr>
              <w:t>Accuracy and loss</w:t>
            </w:r>
          </w:p>
        </w:tc>
        <w:tc>
          <w:tcPr>
            <w:tcW w:w="1318" w:type="dxa"/>
            <w:tcBorders>
              <w:top w:val="single" w:sz="3" w:space="0" w:color="000000"/>
              <w:left w:val="single" w:sz="3" w:space="0" w:color="000000"/>
              <w:bottom w:val="single" w:sz="3" w:space="0" w:color="000000"/>
              <w:right w:val="single" w:sz="3" w:space="0" w:color="000000"/>
            </w:tcBorders>
          </w:tcPr>
          <w:p w14:paraId="2E62FD21" w14:textId="77777777" w:rsidR="00453D7A" w:rsidRDefault="00000000">
            <w:pPr>
              <w:spacing w:after="0" w:line="259" w:lineRule="auto"/>
              <w:ind w:left="0" w:right="0" w:firstLine="0"/>
              <w:jc w:val="left"/>
            </w:pPr>
            <w:r>
              <w:rPr>
                <w:sz w:val="17"/>
              </w:rPr>
              <w:t>AUPRC</w:t>
            </w:r>
          </w:p>
        </w:tc>
      </w:tr>
      <w:tr w:rsidR="00453D7A" w14:paraId="13BAC221" w14:textId="77777777">
        <w:trPr>
          <w:trHeight w:val="206"/>
        </w:trPr>
        <w:tc>
          <w:tcPr>
            <w:tcW w:w="1369" w:type="dxa"/>
            <w:tcBorders>
              <w:top w:val="single" w:sz="3" w:space="0" w:color="000000"/>
              <w:left w:val="single" w:sz="3" w:space="0" w:color="000000"/>
              <w:bottom w:val="single" w:sz="3" w:space="0" w:color="000000"/>
              <w:right w:val="single" w:sz="3" w:space="0" w:color="000000"/>
            </w:tcBorders>
          </w:tcPr>
          <w:p w14:paraId="5680CF1F" w14:textId="77777777" w:rsidR="00453D7A" w:rsidRDefault="00000000">
            <w:pPr>
              <w:spacing w:after="0" w:line="259" w:lineRule="auto"/>
              <w:ind w:left="0" w:right="0" w:firstLine="0"/>
              <w:jc w:val="left"/>
            </w:pPr>
            <w:r>
              <w:rPr>
                <w:b/>
                <w:sz w:val="17"/>
              </w:rPr>
              <w:t>Explainability</w:t>
            </w:r>
          </w:p>
        </w:tc>
        <w:tc>
          <w:tcPr>
            <w:tcW w:w="2949" w:type="dxa"/>
            <w:tcBorders>
              <w:top w:val="single" w:sz="3" w:space="0" w:color="000000"/>
              <w:left w:val="single" w:sz="3" w:space="0" w:color="000000"/>
              <w:bottom w:val="single" w:sz="3" w:space="0" w:color="000000"/>
              <w:right w:val="single" w:sz="3" w:space="0" w:color="000000"/>
            </w:tcBorders>
          </w:tcPr>
          <w:p w14:paraId="2696B09B" w14:textId="77777777" w:rsidR="00453D7A" w:rsidRDefault="00000000">
            <w:pPr>
              <w:spacing w:after="0" w:line="259" w:lineRule="auto"/>
              <w:ind w:left="0" w:right="0" w:firstLine="0"/>
              <w:jc w:val="left"/>
            </w:pPr>
            <w:r>
              <w:rPr>
                <w:sz w:val="17"/>
              </w:rPr>
              <w:t>-</w:t>
            </w:r>
          </w:p>
        </w:tc>
        <w:tc>
          <w:tcPr>
            <w:tcW w:w="3202" w:type="dxa"/>
            <w:tcBorders>
              <w:top w:val="single" w:sz="3" w:space="0" w:color="000000"/>
              <w:left w:val="single" w:sz="3" w:space="0" w:color="000000"/>
              <w:bottom w:val="single" w:sz="3" w:space="0" w:color="000000"/>
              <w:right w:val="single" w:sz="3" w:space="0" w:color="000000"/>
            </w:tcBorders>
          </w:tcPr>
          <w:p w14:paraId="7E01E3B3" w14:textId="77777777" w:rsidR="00453D7A" w:rsidRDefault="00000000">
            <w:pPr>
              <w:spacing w:after="0" w:line="259" w:lineRule="auto"/>
              <w:ind w:left="0" w:right="0" w:firstLine="0"/>
              <w:jc w:val="left"/>
            </w:pPr>
            <w:r>
              <w:rPr>
                <w:sz w:val="17"/>
              </w:rPr>
              <w:t>-</w:t>
            </w:r>
          </w:p>
        </w:tc>
        <w:tc>
          <w:tcPr>
            <w:tcW w:w="1318" w:type="dxa"/>
            <w:tcBorders>
              <w:top w:val="single" w:sz="3" w:space="0" w:color="000000"/>
              <w:left w:val="single" w:sz="3" w:space="0" w:color="000000"/>
              <w:bottom w:val="single" w:sz="3" w:space="0" w:color="000000"/>
              <w:right w:val="single" w:sz="3" w:space="0" w:color="000000"/>
            </w:tcBorders>
          </w:tcPr>
          <w:p w14:paraId="29894F7A" w14:textId="77777777" w:rsidR="00453D7A" w:rsidRDefault="00000000">
            <w:pPr>
              <w:spacing w:after="0" w:line="259" w:lineRule="auto"/>
              <w:ind w:left="0" w:right="0" w:firstLine="0"/>
              <w:jc w:val="left"/>
            </w:pPr>
            <w:r>
              <w:rPr>
                <w:sz w:val="17"/>
              </w:rPr>
              <w:t>SHAP</w:t>
            </w:r>
          </w:p>
        </w:tc>
      </w:tr>
    </w:tbl>
    <w:p w14:paraId="7EB63869" w14:textId="77777777" w:rsidR="00453D7A" w:rsidRDefault="00000000">
      <w:pPr>
        <w:ind w:left="-15" w:right="900" w:firstLine="299"/>
      </w:pPr>
      <w:r>
        <w:t>The comparison highlights that while both related papers apply Reinforcement Learning to transaction monitoring, neither targets money laundering specifically. FraudGNN-RL relies on graph structure that may not be available in traditional banking environments, while Qayoom et al. focus on credit card fraud, which is a fundamentally different problem from money laundering.</w:t>
      </w:r>
    </w:p>
    <w:p w14:paraId="2F9F1ED7" w14:textId="77777777" w:rsidR="00453D7A" w:rsidRDefault="00000000">
      <w:pPr>
        <w:ind w:left="-15" w:right="900" w:firstLine="299"/>
      </w:pPr>
      <w:r>
        <w:t xml:space="preserve">A notable methodological concern with Qayoom et al. is their exclusive use of accuracy and loss as evaluation metrics. Given that their dataset is highly imbalanced (with only 0.172% fraudulent transactions) accuracy alone is a misleading indicator of model performance. A model that classifies every </w:t>
      </w:r>
      <w:r>
        <w:lastRenderedPageBreak/>
        <w:t xml:space="preserve">transaction as legitimate would still achieve over 99% accuracy. Metrics such as AUC-ROC, AUPRC, precision, recall, and F1-score are better suited for imbalanced fraud detection tasks, as used by FraudGNN-RL. This research will therefore adopt AUPRC as its evaluation metric, consistent with industry practice at both ING and ABN AMRO </w:t>
      </w:r>
      <w:r>
        <w:rPr>
          <w:color w:val="0000FF"/>
        </w:rPr>
        <w:t xml:space="preserve">Attard and de Bruijn </w:t>
      </w:r>
      <w:r>
        <w:t>(</w:t>
      </w:r>
      <w:r>
        <w:rPr>
          <w:color w:val="0000FF"/>
        </w:rPr>
        <w:t>2026</w:t>
      </w:r>
      <w:r>
        <w:t xml:space="preserve">); </w:t>
      </w:r>
      <w:r>
        <w:rPr>
          <w:color w:val="0000FF"/>
        </w:rPr>
        <w:t>Menon and Nguyen</w:t>
      </w:r>
    </w:p>
    <w:p w14:paraId="066ED9FA" w14:textId="77777777" w:rsidR="00453D7A" w:rsidRDefault="00000000">
      <w:pPr>
        <w:spacing w:after="328" w:line="265" w:lineRule="auto"/>
        <w:ind w:left="-5" w:right="0"/>
        <w:jc w:val="left"/>
      </w:pPr>
      <w:r>
        <w:t>(</w:t>
      </w:r>
      <w:r>
        <w:rPr>
          <w:color w:val="0000FF"/>
        </w:rPr>
        <w:t>2026</w:t>
      </w:r>
      <w:r>
        <w:t>).</w:t>
      </w:r>
    </w:p>
    <w:p w14:paraId="65AD0450" w14:textId="77777777" w:rsidR="00453D7A" w:rsidRDefault="00000000">
      <w:pPr>
        <w:pStyle w:val="Heading2"/>
        <w:ind w:left="598" w:hanging="613"/>
      </w:pPr>
      <w:r>
        <w:t>AI Suitability Justification</w:t>
      </w:r>
    </w:p>
    <w:p w14:paraId="398B6F9E" w14:textId="77777777" w:rsidR="00453D7A" w:rsidRDefault="00000000">
      <w:pPr>
        <w:ind w:left="-5" w:right="900"/>
      </w:pPr>
      <w:r>
        <w:t xml:space="preserve">The suitability of AI for AML transaction monitoring is supported by both the literature and insights gathered from presentations by data scientists at ING </w:t>
      </w:r>
      <w:r>
        <w:rPr>
          <w:color w:val="0000FF"/>
        </w:rPr>
        <w:t xml:space="preserve">Attard and de Bruijn </w:t>
      </w:r>
      <w:r>
        <w:t>(</w:t>
      </w:r>
      <w:r>
        <w:rPr>
          <w:color w:val="0000FF"/>
        </w:rPr>
        <w:t>2026</w:t>
      </w:r>
      <w:r>
        <w:t xml:space="preserve">) and ABN AMRO </w:t>
      </w:r>
      <w:r>
        <w:rPr>
          <w:color w:val="0000FF"/>
        </w:rPr>
        <w:t xml:space="preserve">Menon and Nguyen </w:t>
      </w:r>
      <w:r>
        <w:t>(</w:t>
      </w:r>
      <w:r>
        <w:rPr>
          <w:color w:val="0000FF"/>
        </w:rPr>
        <w:t>2026</w:t>
      </w:r>
      <w:r>
        <w:t>).</w:t>
      </w:r>
    </w:p>
    <w:p w14:paraId="3545D239" w14:textId="77777777" w:rsidR="00453D7A" w:rsidRDefault="00000000">
      <w:pPr>
        <w:ind w:left="-15" w:right="900" w:firstLine="299"/>
      </w:pPr>
      <w:r>
        <w:t xml:space="preserve">The fundamental limitation of rule-based systems is that they assume the programmer has a complete picture of all criminal patterns. As ABN AMRO noted, laundering patterns are too diverse and dynamic for rules to cover every scenario; at some point, the number of rules simply becomes unmanageable </w:t>
      </w:r>
      <w:r>
        <w:rPr>
          <w:color w:val="0000FF"/>
        </w:rPr>
        <w:t xml:space="preserve">Menon and Nguyen </w:t>
      </w:r>
      <w:r>
        <w:t>(</w:t>
      </w:r>
      <w:r>
        <w:rPr>
          <w:color w:val="0000FF"/>
        </w:rPr>
        <w:t>2026</w:t>
      </w:r>
      <w:r>
        <w:t xml:space="preserve">). ING’s reported use of approximately 500 static rules proves this problem in practice </w:t>
      </w:r>
      <w:r>
        <w:rPr>
          <w:color w:val="0000FF"/>
        </w:rPr>
        <w:t xml:space="preserve">Attard and de Bruijn </w:t>
      </w:r>
      <w:r>
        <w:t>(</w:t>
      </w:r>
      <w:r>
        <w:rPr>
          <w:color w:val="0000FF"/>
        </w:rPr>
        <w:t>2026</w:t>
      </w:r>
      <w:r>
        <w:t>). Machine learning addresses this by learning complex patterns directly from data, allowing the system to detect suspicious behaviour without relying on predefined thresholds.</w:t>
      </w:r>
    </w:p>
    <w:p w14:paraId="529E95AB" w14:textId="77777777" w:rsidR="00453D7A" w:rsidRDefault="00000000">
      <w:pPr>
        <w:ind w:left="-15" w:right="900" w:firstLine="299"/>
      </w:pPr>
      <w:r>
        <w:t xml:space="preserve">A further argument for AI is the nature of money laundering itself. As ABN AMRO observed, individual transactions may not appear suspicious by itself, it is the patterns across transactions that reveal criminal activity </w:t>
      </w:r>
      <w:r>
        <w:rPr>
          <w:color w:val="0000FF"/>
        </w:rPr>
        <w:t xml:space="preserve">Menon and Nguyen </w:t>
      </w:r>
      <w:r>
        <w:t>(</w:t>
      </w:r>
      <w:r>
        <w:rPr>
          <w:color w:val="0000FF"/>
        </w:rPr>
        <w:t>2026</w:t>
      </w:r>
      <w:r>
        <w:t xml:space="preserve">). Machine learning models are well suited to capture these patterns, particularly at the layering stage of the laundering process, which is both the most difficult stage for rules to catch and the most suitable to model-based detection </w:t>
      </w:r>
      <w:r>
        <w:rPr>
          <w:color w:val="0000FF"/>
        </w:rPr>
        <w:t xml:space="preserve">Menon and Nguyen </w:t>
      </w:r>
      <w:r>
        <w:t>(</w:t>
      </w:r>
      <w:r>
        <w:rPr>
          <w:color w:val="0000FF"/>
        </w:rPr>
        <w:t>2026</w:t>
      </w:r>
      <w:r>
        <w:t>).</w:t>
      </w:r>
    </w:p>
    <w:p w14:paraId="28E0AD78" w14:textId="77777777" w:rsidR="00453D7A" w:rsidRDefault="00000000">
      <w:pPr>
        <w:spacing w:after="337"/>
        <w:ind w:left="-15" w:right="900" w:firstLine="299"/>
      </w:pPr>
      <w:r>
        <w:t xml:space="preserve">Both banks also confirmed that tree-based models, particularly </w:t>
      </w:r>
      <w:commentRangeStart w:id="5"/>
      <w:r>
        <w:t>XGBoost</w:t>
      </w:r>
      <w:commentRangeEnd w:id="5"/>
      <w:r w:rsidR="003149AA">
        <w:rPr>
          <w:rStyle w:val="CommentReference"/>
          <w:sz w:val="20"/>
          <w:szCs w:val="24"/>
        </w:rPr>
        <w:commentReference w:id="5"/>
      </w:r>
      <w:r>
        <w:t xml:space="preserve">, currently outperform more complex alternatives in practice, not because simpler models are theoretically superior, but because they offer the best trade-off between performance and explainability given regulatory constraints </w:t>
      </w:r>
      <w:r>
        <w:rPr>
          <w:color w:val="0000FF"/>
        </w:rPr>
        <w:t xml:space="preserve">Attard and de Bruijn </w:t>
      </w:r>
      <w:r>
        <w:t>(</w:t>
      </w:r>
      <w:r>
        <w:rPr>
          <w:color w:val="0000FF"/>
        </w:rPr>
        <w:t>2026</w:t>
      </w:r>
      <w:r>
        <w:t xml:space="preserve">); </w:t>
      </w:r>
      <w:r>
        <w:rPr>
          <w:color w:val="0000FF"/>
        </w:rPr>
        <w:t xml:space="preserve">Menon and Nguyen </w:t>
      </w:r>
      <w:r>
        <w:t>(</w:t>
      </w:r>
      <w:r>
        <w:rPr>
          <w:color w:val="0000FF"/>
        </w:rPr>
        <w:t>2026</w:t>
      </w:r>
      <w:r>
        <w:t>). This confirms that AI is not only suitable for AML but is already the industry standard, while also highlighting that any proposed model must remain interpretable to satisfy regulators.</w:t>
      </w:r>
    </w:p>
    <w:p w14:paraId="4E6BA118" w14:textId="77777777" w:rsidR="00453D7A" w:rsidRDefault="00000000">
      <w:pPr>
        <w:pStyle w:val="Heading2"/>
        <w:ind w:left="598" w:hanging="613"/>
      </w:pPr>
      <w:r>
        <w:t>Ethical and Societal Considerations</w:t>
      </w:r>
    </w:p>
    <w:p w14:paraId="12100105" w14:textId="77777777" w:rsidR="00453D7A" w:rsidRDefault="00000000">
      <w:pPr>
        <w:spacing w:after="293"/>
        <w:ind w:left="-5" w:right="900"/>
      </w:pPr>
      <w:r>
        <w:t>The application of machine learning to AML transaction monitoring raises several ethical and societal considerations that are relevant to this research.</w:t>
      </w:r>
    </w:p>
    <w:p w14:paraId="0B03D47E" w14:textId="77777777" w:rsidR="00453D7A" w:rsidRDefault="00000000">
      <w:pPr>
        <w:pStyle w:val="Heading3"/>
        <w:ind w:left="685" w:right="900" w:hanging="700"/>
      </w:pPr>
      <w:r>
        <w:t>Societal Impact</w:t>
      </w:r>
    </w:p>
    <w:p w14:paraId="2CFB97AD" w14:textId="77777777" w:rsidR="00453D7A" w:rsidRDefault="00000000">
      <w:pPr>
        <w:spacing w:after="292"/>
        <w:ind w:left="-5" w:right="900"/>
      </w:pPr>
      <w:r>
        <w:t xml:space="preserve">Money laundering has a significant societal cost. ABN AMRO estimated that approximately 16 billion euros is laundered in the Netherlands annually, placing the country eighth globally in terms of laundered funds </w:t>
      </w:r>
      <w:r>
        <w:rPr>
          <w:color w:val="0000FF"/>
        </w:rPr>
        <w:t xml:space="preserve">Menon and Nguyen </w:t>
      </w:r>
      <w:r>
        <w:t>(</w:t>
      </w:r>
      <w:r>
        <w:rPr>
          <w:color w:val="0000FF"/>
        </w:rPr>
        <w:t>2026</w:t>
      </w:r>
      <w:r>
        <w:t>). Effective AML detection therefore has a direct positive impact on society by disrupting criminal activity and protecting the integrity of the financial system.</w:t>
      </w:r>
    </w:p>
    <w:p w14:paraId="4AF6A0A3" w14:textId="77777777" w:rsidR="00453D7A" w:rsidRDefault="00000000">
      <w:pPr>
        <w:pStyle w:val="Heading3"/>
        <w:ind w:left="685" w:right="900" w:hanging="700"/>
      </w:pPr>
      <w:r>
        <w:t>False Positives and Customer Impact</w:t>
      </w:r>
    </w:p>
    <w:p w14:paraId="727D706B" w14:textId="77777777" w:rsidR="00453D7A" w:rsidRDefault="00000000">
      <w:pPr>
        <w:spacing w:after="292"/>
        <w:ind w:left="-5" w:right="900"/>
      </w:pPr>
      <w:r>
        <w:t xml:space="preserve">A key ethical concern in AML systems is the consequences of false positives. When a legitimate customer is incorrectly flagged as suspicious, they may face restricted access to banking services, delayed transactions, or reputational harm. Both ING and ABN AMRO explicitly aim to reduce false positives in their systems </w:t>
      </w:r>
      <w:r>
        <w:rPr>
          <w:color w:val="0000FF"/>
        </w:rPr>
        <w:t xml:space="preserve">Attard and de Bruijn </w:t>
      </w:r>
      <w:r>
        <w:t>(</w:t>
      </w:r>
      <w:r>
        <w:rPr>
          <w:color w:val="0000FF"/>
        </w:rPr>
        <w:t>2026</w:t>
      </w:r>
      <w:r>
        <w:t xml:space="preserve">); </w:t>
      </w:r>
      <w:r>
        <w:rPr>
          <w:color w:val="0000FF"/>
        </w:rPr>
        <w:t xml:space="preserve">Menon and Nguyen </w:t>
      </w:r>
      <w:r>
        <w:t>(</w:t>
      </w:r>
      <w:r>
        <w:rPr>
          <w:color w:val="0000FF"/>
        </w:rPr>
        <w:t>2026</w:t>
      </w:r>
      <w:r>
        <w:t>). This research adopts the same objective by optimizing on AUPRC, which balances precision and recall.</w:t>
      </w:r>
    </w:p>
    <w:p w14:paraId="514EA597" w14:textId="77777777" w:rsidR="00453D7A" w:rsidRDefault="00000000">
      <w:pPr>
        <w:pStyle w:val="Heading3"/>
        <w:ind w:left="685" w:right="900" w:hanging="700"/>
      </w:pPr>
      <w:r>
        <w:t>Bias and Fairness</w:t>
      </w:r>
    </w:p>
    <w:p w14:paraId="51338146" w14:textId="77777777" w:rsidR="00453D7A" w:rsidRDefault="00000000">
      <w:pPr>
        <w:ind w:left="-5" w:right="900"/>
      </w:pPr>
      <w:r>
        <w:t xml:space="preserve">Machine learning models trained on historical transaction data risk inheriting biases present in that data. For example, if certain demographic groups or transaction types were historically flagged more often, a model may learn to replicate these patterns. ING acknowledged the existence of dedicated teams for bias and fairness assessment </w:t>
      </w:r>
      <w:r>
        <w:rPr>
          <w:color w:val="0000FF"/>
        </w:rPr>
        <w:t xml:space="preserve">Attard and de Bruijn </w:t>
      </w:r>
      <w:r>
        <w:t>(</w:t>
      </w:r>
      <w:r>
        <w:rPr>
          <w:color w:val="0000FF"/>
        </w:rPr>
        <w:t>2026</w:t>
      </w:r>
      <w:r>
        <w:t>), reflecting the seriousness of this concern.</w:t>
      </w:r>
    </w:p>
    <w:p w14:paraId="3FF33817" w14:textId="77777777" w:rsidR="00453D7A" w:rsidRDefault="00000000">
      <w:pPr>
        <w:pStyle w:val="Heading3"/>
        <w:ind w:left="685" w:right="900" w:hanging="700"/>
      </w:pPr>
      <w:r>
        <w:lastRenderedPageBreak/>
        <w:t>Labeling Bias</w:t>
      </w:r>
    </w:p>
    <w:p w14:paraId="70BBA624" w14:textId="77777777" w:rsidR="00453D7A" w:rsidRDefault="00000000">
      <w:pPr>
        <w:spacing w:after="292"/>
        <w:ind w:left="-5" w:right="900"/>
      </w:pPr>
      <w:r>
        <w:t xml:space="preserve">A subtler but important issue is that the labels used to train supervised AML models are themselves derived from rule-based systems and human investigators. As both banks acknowledged, this process is error-prone </w:t>
      </w:r>
      <w:r>
        <w:rPr>
          <w:color w:val="0000FF"/>
        </w:rPr>
        <w:t xml:space="preserve">Attard and de Bruijn </w:t>
      </w:r>
      <w:r>
        <w:t>(</w:t>
      </w:r>
      <w:r>
        <w:rPr>
          <w:color w:val="0000FF"/>
        </w:rPr>
        <w:t>2026</w:t>
      </w:r>
      <w:r>
        <w:t xml:space="preserve">); </w:t>
      </w:r>
      <w:r>
        <w:rPr>
          <w:color w:val="0000FF"/>
        </w:rPr>
        <w:t xml:space="preserve">Menon and Nguyen </w:t>
      </w:r>
      <w:r>
        <w:t>(</w:t>
      </w:r>
      <w:r>
        <w:rPr>
          <w:color w:val="0000FF"/>
        </w:rPr>
        <w:t>2026</w:t>
      </w:r>
      <w:r>
        <w:t>). A model trained on these labels may therefore learn to replicate the limitations and biases of the existing system rather than detecting true financial crime. This is a fundamental challenge in AML that this research inherits and acknowledges as a limitation.</w:t>
      </w:r>
    </w:p>
    <w:p w14:paraId="69E1A079" w14:textId="77777777" w:rsidR="00453D7A" w:rsidRDefault="00000000">
      <w:pPr>
        <w:pStyle w:val="Heading3"/>
        <w:ind w:left="685" w:right="900" w:hanging="700"/>
      </w:pPr>
      <w:r>
        <w:t>Explainability as an Ethical Requirement</w:t>
      </w:r>
    </w:p>
    <w:p w14:paraId="0FD6234B" w14:textId="77777777" w:rsidR="00453D7A" w:rsidRDefault="00000000">
      <w:pPr>
        <w:spacing w:after="291"/>
        <w:ind w:left="-5" w:right="900"/>
      </w:pPr>
      <w:r>
        <w:t xml:space="preserve">Explainability is not only a legal requirement under the Wwft </w:t>
      </w:r>
      <w:r>
        <w:rPr>
          <w:color w:val="0000FF"/>
        </w:rPr>
        <w:t xml:space="preserve">Ministerie van Financi¨en </w:t>
      </w:r>
      <w:r>
        <w:t>(</w:t>
      </w:r>
      <w:r>
        <w:rPr>
          <w:color w:val="0000FF"/>
        </w:rPr>
        <w:t>2008</w:t>
      </w:r>
      <w:r>
        <w:t xml:space="preserve">) but also an ethical one. When a model flags a customer as suspicious, investigators and potentially customers themselves deserve to understand why. ABN AMRO’s operational use of SHAP values to provide investigators with a ranked explanation of each alert reflects this principle in practice </w:t>
      </w:r>
      <w:r>
        <w:rPr>
          <w:color w:val="0000FF"/>
        </w:rPr>
        <w:t xml:space="preserve">Menon and Nguyen </w:t>
      </w:r>
      <w:r>
        <w:t>(</w:t>
      </w:r>
      <w:r>
        <w:rPr>
          <w:color w:val="0000FF"/>
        </w:rPr>
        <w:t>2026</w:t>
      </w:r>
      <w:r>
        <w:t>). This research adopts the same approach by incorporating SHAP-based explainability into the proposed model.</w:t>
      </w:r>
    </w:p>
    <w:p w14:paraId="2514A5DA" w14:textId="77777777" w:rsidR="00453D7A" w:rsidRDefault="00000000">
      <w:pPr>
        <w:pStyle w:val="Heading3"/>
        <w:ind w:left="685" w:right="900" w:hanging="700"/>
      </w:pPr>
      <w:r>
        <w:t>Data Privacy</w:t>
      </w:r>
    </w:p>
    <w:p w14:paraId="242B591D" w14:textId="77777777" w:rsidR="00453D7A" w:rsidRDefault="00000000">
      <w:pPr>
        <w:ind w:left="-5" w:right="900"/>
      </w:pPr>
      <w:r>
        <w:t xml:space="preserve">The use of personal financial data raises privacy concerns. In the Netherlands, the GDPR (known locally as the AVG) restricts what personal data can be used for model training </w:t>
      </w:r>
      <w:r>
        <w:rPr>
          <w:color w:val="0000FF"/>
        </w:rPr>
        <w:t xml:space="preserve">European Parliament and Council of the European Union </w:t>
      </w:r>
      <w:r>
        <w:t>(</w:t>
      </w:r>
      <w:r>
        <w:rPr>
          <w:color w:val="0000FF"/>
        </w:rPr>
        <w:t>2016</w:t>
      </w:r>
      <w:r>
        <w:t xml:space="preserve">). ING noted that sensitive attributes such as name, address, gender, nationality, and country of origin are not accessible for model training </w:t>
      </w:r>
      <w:r>
        <w:rPr>
          <w:color w:val="0000FF"/>
        </w:rPr>
        <w:t xml:space="preserve">Attard and de Bruijn </w:t>
      </w:r>
      <w:r>
        <w:t>(</w:t>
      </w:r>
      <w:r>
        <w:rPr>
          <w:color w:val="0000FF"/>
        </w:rPr>
        <w:t>2026</w:t>
      </w:r>
      <w:r>
        <w:t>). This research addresses privacy concerns by relying exclusively on publicly available, anonymized datasets rather than real customer data.</w:t>
      </w:r>
      <w:r>
        <w:br w:type="page"/>
      </w:r>
    </w:p>
    <w:p w14:paraId="2E067ADD" w14:textId="77777777" w:rsidR="00453D7A" w:rsidRDefault="00000000">
      <w:pPr>
        <w:pStyle w:val="Heading1"/>
        <w:ind w:left="469" w:hanging="484"/>
      </w:pPr>
      <w:r>
        <w:lastRenderedPageBreak/>
        <w:t>Research Design</w:t>
      </w:r>
    </w:p>
    <w:p w14:paraId="49A43525" w14:textId="77777777" w:rsidR="00453D7A" w:rsidRDefault="00000000">
      <w:pPr>
        <w:spacing w:after="338"/>
        <w:ind w:left="-5" w:right="900"/>
      </w:pPr>
      <w:r>
        <w:t>This chapter describes how the research was structured, including the experimental design, the type of study, the baseline model, and the logic used to compare both models.</w:t>
      </w:r>
    </w:p>
    <w:p w14:paraId="3B97A382" w14:textId="77777777" w:rsidR="00453D7A" w:rsidRDefault="00000000">
      <w:pPr>
        <w:pStyle w:val="Heading2"/>
        <w:ind w:left="598" w:hanging="613"/>
      </w:pPr>
      <w:r>
        <w:t>Research Design</w:t>
      </w:r>
    </w:p>
    <w:p w14:paraId="43688E9D" w14:textId="77777777" w:rsidR="00453D7A" w:rsidRDefault="00000000">
      <w:pPr>
        <w:spacing w:after="338"/>
        <w:ind w:left="-5" w:right="900"/>
      </w:pPr>
      <w:r>
        <w:t>This research followed an experimental design in which a Reinforcement Learning model and a supervised learning baseline were implemented, trained, and evaluated on the same AML dataset. The research proceeded in four phases. First, a suitable publicly available AML dataset was selected and preprocessed. Second, a baseline supervised model was implemented based on the current state of the art in both the literature and industry practice. Third, a Deep Q-Network was implemented and applied to the same AML detection task. Finally, both models were evaluated using the same metrics and validation strategy, and their results were compared to answer the main research question.</w:t>
      </w:r>
    </w:p>
    <w:p w14:paraId="1D33F574" w14:textId="77777777" w:rsidR="00453D7A" w:rsidRDefault="00000000">
      <w:pPr>
        <w:pStyle w:val="Heading2"/>
        <w:ind w:left="598" w:hanging="613"/>
      </w:pPr>
      <w:r>
        <w:t>Type of Study</w:t>
      </w:r>
    </w:p>
    <w:p w14:paraId="6D5C2380" w14:textId="77777777" w:rsidR="00453D7A" w:rsidRDefault="00000000">
      <w:pPr>
        <w:spacing w:after="338"/>
        <w:ind w:left="-5" w:right="900"/>
      </w:pPr>
      <w:r>
        <w:t>This research is an empirical, experimental study involving the construction and evaluation of machine learning models on financial data. This approach was necessary because, as established in the literature overview, RL had not previously been applied to AML on tabular banking data.</w:t>
      </w:r>
    </w:p>
    <w:p w14:paraId="02CAE6D5" w14:textId="77777777" w:rsidR="00453D7A" w:rsidRDefault="00000000">
      <w:pPr>
        <w:pStyle w:val="Heading2"/>
        <w:ind w:left="598" w:hanging="613"/>
      </w:pPr>
      <w:r>
        <w:t>Baseline Definition</w:t>
      </w:r>
    </w:p>
    <w:p w14:paraId="3D061A20" w14:textId="77777777" w:rsidR="00453D7A" w:rsidRDefault="00000000">
      <w:pPr>
        <w:spacing w:after="335"/>
        <w:ind w:left="-5" w:right="900"/>
      </w:pPr>
      <w:r>
        <w:t xml:space="preserve">The baseline model is XGBoost, an extreme gradient boosting algorithm. This choice is justified on three grounds. First, the academic literature consistently identifies XGBoost as one of the most frequently used methods in AML, appearing in four of the studies surveyed by </w:t>
      </w:r>
      <w:r>
        <w:rPr>
          <w:color w:val="0000FF"/>
        </w:rPr>
        <w:t xml:space="preserve">Youssef et al. </w:t>
      </w:r>
      <w:r>
        <w:t>(</w:t>
      </w:r>
      <w:r>
        <w:rPr>
          <w:color w:val="0000FF"/>
        </w:rPr>
        <w:t>2023</w:t>
      </w:r>
      <w:r>
        <w:t xml:space="preserve">). Second, the top-performing teams in the IEEE-CIS Fraud Detection Competition </w:t>
      </w:r>
      <w:r>
        <w:rPr>
          <w:color w:val="0000FF"/>
        </w:rPr>
        <w:t xml:space="preserve">IEEE Computational Intelligence Society </w:t>
      </w:r>
      <w:r>
        <w:t>(</w:t>
      </w:r>
      <w:r>
        <w:rPr>
          <w:color w:val="0000FF"/>
        </w:rPr>
        <w:t>2019</w:t>
      </w:r>
      <w:r>
        <w:t xml:space="preserve">) relied heavily on XGBoost as part of their winning solutions </w:t>
      </w:r>
      <w:r>
        <w:rPr>
          <w:color w:val="0000FF"/>
        </w:rPr>
        <w:t xml:space="preserve">Deotte and Yakovlev </w:t>
      </w:r>
      <w:r>
        <w:t>(</w:t>
      </w:r>
      <w:r>
        <w:rPr>
          <w:color w:val="0000FF"/>
        </w:rPr>
        <w:t>2019</w:t>
      </w:r>
      <w:r>
        <w:t xml:space="preserve">); </w:t>
      </w:r>
      <w:r>
        <w:rPr>
          <w:color w:val="0000FF"/>
        </w:rPr>
        <w:t xml:space="preserve">Bryansky et al. </w:t>
      </w:r>
      <w:r>
        <w:t>(</w:t>
      </w:r>
      <w:r>
        <w:rPr>
          <w:color w:val="0000FF"/>
        </w:rPr>
        <w:t>2019</w:t>
      </w:r>
      <w:r>
        <w:t xml:space="preserve">); </w:t>
      </w:r>
      <w:r>
        <w:rPr>
          <w:color w:val="0000FF"/>
        </w:rPr>
        <w:t xml:space="preserve">Team Lions </w:t>
      </w:r>
      <w:r>
        <w:t>(</w:t>
      </w:r>
      <w:r>
        <w:rPr>
          <w:color w:val="0000FF"/>
        </w:rPr>
        <w:t>2019</w:t>
      </w:r>
      <w:r>
        <w:t xml:space="preserve">), establishing it as the state of the art for tabular fraud detection. Third, both ING and ABN AMRO confirmed in their presentations that XGBoost is their primary model in production </w:t>
      </w:r>
      <w:r>
        <w:rPr>
          <w:color w:val="0000FF"/>
        </w:rPr>
        <w:t xml:space="preserve">Attard and de Bruijn </w:t>
      </w:r>
      <w:r>
        <w:t>(</w:t>
      </w:r>
      <w:r>
        <w:rPr>
          <w:color w:val="0000FF"/>
        </w:rPr>
        <w:t>2026</w:t>
      </w:r>
      <w:r>
        <w:t xml:space="preserve">); </w:t>
      </w:r>
      <w:r>
        <w:rPr>
          <w:color w:val="0000FF"/>
        </w:rPr>
        <w:t xml:space="preserve">Menon and Nguyen </w:t>
      </w:r>
      <w:r>
        <w:t>(</w:t>
      </w:r>
      <w:r>
        <w:rPr>
          <w:color w:val="0000FF"/>
        </w:rPr>
        <w:t>2026</w:t>
      </w:r>
      <w:r>
        <w:t>). Using XGBoost as the baseline therefore ensured that the RL model was benchmarked against a method that is both academically established and practically relevant.</w:t>
      </w:r>
    </w:p>
    <w:p w14:paraId="2E24FF91" w14:textId="77777777" w:rsidR="00453D7A" w:rsidRDefault="00000000">
      <w:pPr>
        <w:pStyle w:val="Heading2"/>
        <w:ind w:left="598" w:hanging="613"/>
      </w:pPr>
      <w:r>
        <w:t xml:space="preserve">Comparison </w:t>
      </w:r>
      <w:commentRangeStart w:id="6"/>
      <w:r>
        <w:t>Logic</w:t>
      </w:r>
      <w:commentRangeEnd w:id="6"/>
      <w:r w:rsidR="002E758F">
        <w:rPr>
          <w:rStyle w:val="CommentReference"/>
          <w:sz w:val="24"/>
          <w:szCs w:val="24"/>
        </w:rPr>
        <w:commentReference w:id="6"/>
      </w:r>
    </w:p>
    <w:p w14:paraId="5C6D2229" w14:textId="77777777" w:rsidR="00453D7A" w:rsidRDefault="00000000">
      <w:pPr>
        <w:ind w:left="-5" w:right="900"/>
      </w:pPr>
      <w:r>
        <w:t xml:space="preserve">Both the supervised baseline (XGBoost) and the reinforcement learning model (DQN) were trained and evaluated on the same dataset, using the same chronological train-validation-test split to ensure a fair comparison. The primary evaluation metric is AUPRC, consistent with industry practice at ING and ABN AMRO </w:t>
      </w:r>
      <w:r>
        <w:rPr>
          <w:color w:val="0000FF"/>
        </w:rPr>
        <w:t xml:space="preserve">Attard and de Bruijn </w:t>
      </w:r>
      <w:r>
        <w:t>(</w:t>
      </w:r>
      <w:r>
        <w:rPr>
          <w:color w:val="0000FF"/>
        </w:rPr>
        <w:t>2026</w:t>
      </w:r>
      <w:r>
        <w:t xml:space="preserve">); </w:t>
      </w:r>
      <w:r>
        <w:rPr>
          <w:color w:val="0000FF"/>
        </w:rPr>
        <w:t xml:space="preserve">Menon and Nguyen </w:t>
      </w:r>
      <w:r>
        <w:t>(</w:t>
      </w:r>
      <w:r>
        <w:rPr>
          <w:color w:val="0000FF"/>
        </w:rPr>
        <w:t>2026</w:t>
      </w:r>
      <w:r>
        <w:t>). AUPRC is particularly suitable for imbalanced datasets, where money laundering cases represent only a small fraction of all transactions. A model was considered to outperform the baseline if it achieved a higher AUPRC score under the same experimental conditions.</w:t>
      </w:r>
    </w:p>
    <w:p w14:paraId="61C4597B" w14:textId="77777777" w:rsidR="00453D7A" w:rsidRDefault="00000000">
      <w:pPr>
        <w:pStyle w:val="Heading1"/>
        <w:ind w:left="469" w:hanging="484"/>
      </w:pPr>
      <w:r>
        <w:t>Requirements</w:t>
      </w:r>
    </w:p>
    <w:p w14:paraId="44A9B4AD" w14:textId="77777777" w:rsidR="00453D7A" w:rsidRDefault="00000000">
      <w:pPr>
        <w:spacing w:after="338"/>
        <w:ind w:left="-5" w:right="900"/>
      </w:pPr>
      <w:r>
        <w:t>This chapter defines the legal, functional, and technical requirements that shape the design and evaluation of the proposed model.</w:t>
      </w:r>
    </w:p>
    <w:p w14:paraId="3D852764" w14:textId="77777777" w:rsidR="00453D7A" w:rsidRDefault="00000000">
      <w:pPr>
        <w:pStyle w:val="Heading2"/>
        <w:ind w:left="598" w:hanging="613"/>
      </w:pPr>
      <w:r>
        <w:t>Legal &amp; Ethical Requirements</w:t>
      </w:r>
    </w:p>
    <w:p w14:paraId="3844F94D" w14:textId="77777777" w:rsidR="00453D7A" w:rsidRDefault="00000000">
      <w:pPr>
        <w:ind w:left="-5" w:right="900"/>
      </w:pPr>
      <w:r>
        <w:t xml:space="preserve">This research operates within the Dutch legal framework for financial crime detection and data privacy. This highlights two particular laws: </w:t>
      </w:r>
      <w:r>
        <w:rPr>
          <w:i/>
        </w:rPr>
        <w:t>Wet ter voorkoming van witwassen en financieren van terrorisme (Wwft)</w:t>
      </w:r>
      <w:r>
        <w:t xml:space="preserve">, the Dutch implementation of the EU Anti-Money Laundering Directive </w:t>
      </w:r>
      <w:r>
        <w:rPr>
          <w:color w:val="0000FF"/>
        </w:rPr>
        <w:t xml:space="preserve">Ministerie van Financi¨en </w:t>
      </w:r>
      <w:r>
        <w:t>(</w:t>
      </w:r>
      <w:r>
        <w:rPr>
          <w:color w:val="0000FF"/>
        </w:rPr>
        <w:t>2008</w:t>
      </w:r>
      <w:r>
        <w:t xml:space="preserve">) and </w:t>
      </w:r>
      <w:r>
        <w:rPr>
          <w:i/>
        </w:rPr>
        <w:t>General Data Protection Regulation (GDPR)</w:t>
      </w:r>
      <w:r>
        <w:t xml:space="preserve">, known locally as Algemene Verordening Gegevensbescherming (AVG) </w:t>
      </w:r>
      <w:r>
        <w:rPr>
          <w:color w:val="0000FF"/>
        </w:rPr>
        <w:t>European Parliament and Council of the European Union</w:t>
      </w:r>
    </w:p>
    <w:p w14:paraId="491CCDDF" w14:textId="77777777" w:rsidR="00453D7A" w:rsidRDefault="00000000">
      <w:pPr>
        <w:spacing w:after="387" w:line="265" w:lineRule="auto"/>
        <w:ind w:left="-5" w:right="0"/>
        <w:jc w:val="left"/>
      </w:pPr>
      <w:r>
        <w:lastRenderedPageBreak/>
        <w:t>(</w:t>
      </w:r>
      <w:r>
        <w:rPr>
          <w:color w:val="0000FF"/>
        </w:rPr>
        <w:t>2016</w:t>
      </w:r>
      <w:r>
        <w:t>).</w:t>
      </w:r>
    </w:p>
    <w:p w14:paraId="7112C81D" w14:textId="77777777" w:rsidR="00453D7A" w:rsidRDefault="00000000">
      <w:pPr>
        <w:spacing w:after="0" w:line="265" w:lineRule="auto"/>
        <w:ind w:right="915"/>
        <w:jc w:val="center"/>
      </w:pPr>
      <w:r>
        <w:t>Table 2: Legal &amp; Ethical Requirements</w:t>
      </w:r>
    </w:p>
    <w:tbl>
      <w:tblPr>
        <w:tblStyle w:val="TableGrid"/>
        <w:tblW w:w="8838" w:type="dxa"/>
        <w:tblInd w:w="0" w:type="dxa"/>
        <w:tblCellMar>
          <w:top w:w="34" w:type="dxa"/>
          <w:left w:w="0" w:type="dxa"/>
          <w:bottom w:w="0" w:type="dxa"/>
          <w:right w:w="129" w:type="dxa"/>
        </w:tblCellMar>
        <w:tblLook w:val="04A0" w:firstRow="1" w:lastRow="0" w:firstColumn="1" w:lastColumn="0" w:noHBand="0" w:noVBand="1"/>
      </w:tblPr>
      <w:tblGrid>
        <w:gridCol w:w="966"/>
        <w:gridCol w:w="5710"/>
        <w:gridCol w:w="1026"/>
        <w:gridCol w:w="1136"/>
      </w:tblGrid>
      <w:tr w:rsidR="00453D7A" w14:paraId="639A5819" w14:textId="77777777">
        <w:trPr>
          <w:trHeight w:val="267"/>
        </w:trPr>
        <w:tc>
          <w:tcPr>
            <w:tcW w:w="967" w:type="dxa"/>
            <w:tcBorders>
              <w:top w:val="single" w:sz="3" w:space="0" w:color="000000"/>
              <w:left w:val="single" w:sz="3" w:space="0" w:color="000000"/>
              <w:bottom w:val="single" w:sz="3" w:space="0" w:color="000000"/>
              <w:right w:val="single" w:sz="3" w:space="0" w:color="000000"/>
            </w:tcBorders>
          </w:tcPr>
          <w:p w14:paraId="7893F425" w14:textId="77777777" w:rsidR="00453D7A" w:rsidRDefault="00000000">
            <w:pPr>
              <w:spacing w:after="0" w:line="259" w:lineRule="auto"/>
              <w:ind w:left="129" w:right="0" w:firstLine="0"/>
              <w:jc w:val="left"/>
            </w:pPr>
            <w:r>
              <w:rPr>
                <w:b/>
                <w:sz w:val="22"/>
              </w:rPr>
              <w:t>ID</w:t>
            </w:r>
          </w:p>
        </w:tc>
        <w:tc>
          <w:tcPr>
            <w:tcW w:w="5774" w:type="dxa"/>
            <w:tcBorders>
              <w:top w:val="single" w:sz="3" w:space="0" w:color="000000"/>
              <w:left w:val="single" w:sz="3" w:space="0" w:color="000000"/>
              <w:bottom w:val="single" w:sz="3" w:space="0" w:color="000000"/>
              <w:right w:val="single" w:sz="3" w:space="0" w:color="000000"/>
            </w:tcBorders>
          </w:tcPr>
          <w:p w14:paraId="5F0A3A22" w14:textId="77777777" w:rsidR="00453D7A" w:rsidRDefault="00000000">
            <w:pPr>
              <w:spacing w:after="0" w:line="259" w:lineRule="auto"/>
              <w:ind w:left="129" w:right="0" w:firstLine="0"/>
              <w:jc w:val="left"/>
            </w:pPr>
            <w:r>
              <w:rPr>
                <w:b/>
                <w:sz w:val="22"/>
              </w:rPr>
              <w:t>Requirement</w:t>
            </w:r>
          </w:p>
        </w:tc>
        <w:tc>
          <w:tcPr>
            <w:tcW w:w="1027" w:type="dxa"/>
            <w:tcBorders>
              <w:top w:val="single" w:sz="3" w:space="0" w:color="000000"/>
              <w:left w:val="single" w:sz="3" w:space="0" w:color="000000"/>
              <w:bottom w:val="single" w:sz="3" w:space="0" w:color="000000"/>
              <w:right w:val="nil"/>
            </w:tcBorders>
          </w:tcPr>
          <w:p w14:paraId="26650C96" w14:textId="77777777" w:rsidR="00453D7A" w:rsidRDefault="00000000">
            <w:pPr>
              <w:spacing w:after="0" w:line="259" w:lineRule="auto"/>
              <w:ind w:left="129" w:right="0" w:firstLine="0"/>
              <w:jc w:val="left"/>
            </w:pPr>
            <w:r>
              <w:rPr>
                <w:b/>
                <w:sz w:val="22"/>
              </w:rPr>
              <w:t>Source</w:t>
            </w:r>
          </w:p>
        </w:tc>
        <w:tc>
          <w:tcPr>
            <w:tcW w:w="1070" w:type="dxa"/>
            <w:tcBorders>
              <w:top w:val="single" w:sz="3" w:space="0" w:color="000000"/>
              <w:left w:val="nil"/>
              <w:bottom w:val="single" w:sz="3" w:space="0" w:color="000000"/>
              <w:right w:val="single" w:sz="3" w:space="0" w:color="000000"/>
            </w:tcBorders>
          </w:tcPr>
          <w:p w14:paraId="0DA08EFE" w14:textId="77777777" w:rsidR="00453D7A" w:rsidRDefault="00453D7A">
            <w:pPr>
              <w:spacing w:after="160" w:line="259" w:lineRule="auto"/>
              <w:ind w:left="0" w:right="0" w:firstLine="0"/>
              <w:jc w:val="left"/>
            </w:pPr>
          </w:p>
        </w:tc>
      </w:tr>
      <w:tr w:rsidR="00453D7A" w14:paraId="53F2EDEC" w14:textId="77777777">
        <w:trPr>
          <w:trHeight w:val="519"/>
        </w:trPr>
        <w:tc>
          <w:tcPr>
            <w:tcW w:w="967" w:type="dxa"/>
            <w:tcBorders>
              <w:top w:val="single" w:sz="3" w:space="0" w:color="000000"/>
              <w:left w:val="single" w:sz="3" w:space="0" w:color="000000"/>
              <w:bottom w:val="nil"/>
              <w:right w:val="single" w:sz="3" w:space="0" w:color="000000"/>
            </w:tcBorders>
          </w:tcPr>
          <w:p w14:paraId="3332AF45" w14:textId="77777777" w:rsidR="00453D7A" w:rsidRDefault="00000000">
            <w:pPr>
              <w:spacing w:after="0" w:line="259" w:lineRule="auto"/>
              <w:ind w:left="129" w:right="0" w:firstLine="0"/>
            </w:pPr>
            <w:r>
              <w:rPr>
                <w:sz w:val="22"/>
              </w:rPr>
              <w:t>LERQ1</w:t>
            </w:r>
          </w:p>
        </w:tc>
        <w:tc>
          <w:tcPr>
            <w:tcW w:w="5774" w:type="dxa"/>
            <w:tcBorders>
              <w:top w:val="single" w:sz="3" w:space="0" w:color="000000"/>
              <w:left w:val="single" w:sz="3" w:space="0" w:color="000000"/>
              <w:bottom w:val="nil"/>
              <w:right w:val="single" w:sz="3" w:space="0" w:color="000000"/>
            </w:tcBorders>
          </w:tcPr>
          <w:p w14:paraId="3A7AAB08" w14:textId="77777777" w:rsidR="00453D7A" w:rsidRDefault="00000000">
            <w:pPr>
              <w:spacing w:after="0" w:line="259" w:lineRule="auto"/>
              <w:ind w:left="129" w:right="0" w:firstLine="0"/>
            </w:pPr>
            <w:r>
              <w:rPr>
                <w:sz w:val="22"/>
              </w:rPr>
              <w:t>When a transaction is flagged as suspicious, the model must be able to explain why.</w:t>
            </w:r>
          </w:p>
        </w:tc>
        <w:tc>
          <w:tcPr>
            <w:tcW w:w="1027" w:type="dxa"/>
            <w:tcBorders>
              <w:top w:val="single" w:sz="3" w:space="0" w:color="000000"/>
              <w:left w:val="single" w:sz="3" w:space="0" w:color="000000"/>
              <w:bottom w:val="nil"/>
              <w:right w:val="nil"/>
            </w:tcBorders>
          </w:tcPr>
          <w:p w14:paraId="0F0017E5" w14:textId="77777777" w:rsidR="00453D7A" w:rsidRDefault="00000000">
            <w:pPr>
              <w:spacing w:after="0" w:line="259" w:lineRule="auto"/>
              <w:ind w:left="129" w:right="0" w:firstLine="0"/>
              <w:jc w:val="left"/>
            </w:pPr>
            <w:r>
              <w:rPr>
                <w:sz w:val="22"/>
              </w:rPr>
              <w:t>Wwft,</w:t>
            </w:r>
          </w:p>
          <w:p w14:paraId="11A15255" w14:textId="77777777" w:rsidR="00453D7A" w:rsidRDefault="00000000">
            <w:pPr>
              <w:spacing w:after="0" w:line="259" w:lineRule="auto"/>
              <w:ind w:left="129" w:right="0" w:firstLine="0"/>
              <w:jc w:val="left"/>
            </w:pPr>
            <w:r>
              <w:rPr>
                <w:sz w:val="22"/>
              </w:rPr>
              <w:t>16.2e</w:t>
            </w:r>
          </w:p>
        </w:tc>
        <w:tc>
          <w:tcPr>
            <w:tcW w:w="1070" w:type="dxa"/>
            <w:tcBorders>
              <w:top w:val="single" w:sz="3" w:space="0" w:color="000000"/>
              <w:left w:val="nil"/>
              <w:bottom w:val="nil"/>
              <w:right w:val="single" w:sz="3" w:space="0" w:color="000000"/>
            </w:tcBorders>
          </w:tcPr>
          <w:p w14:paraId="74E04BCF" w14:textId="77777777" w:rsidR="00453D7A" w:rsidRDefault="00000000">
            <w:pPr>
              <w:spacing w:after="0" w:line="259" w:lineRule="auto"/>
              <w:ind w:left="552" w:right="0" w:firstLine="0"/>
              <w:jc w:val="left"/>
            </w:pPr>
            <w:r>
              <w:rPr>
                <w:sz w:val="22"/>
              </w:rPr>
              <w:t>Art.</w:t>
            </w:r>
          </w:p>
          <w:p w14:paraId="5BC94899" w14:textId="77777777" w:rsidR="00453D7A" w:rsidRDefault="00000000">
            <w:pPr>
              <w:spacing w:after="0" w:line="259" w:lineRule="auto"/>
              <w:ind w:left="0" w:right="0" w:firstLine="0"/>
              <w:jc w:val="left"/>
            </w:pPr>
            <w:r>
              <w:rPr>
                <w:color w:val="0000FF"/>
                <w:sz w:val="22"/>
              </w:rPr>
              <w:t>Ministerie</w:t>
            </w:r>
          </w:p>
        </w:tc>
      </w:tr>
      <w:tr w:rsidR="00453D7A" w14:paraId="169126B5" w14:textId="77777777">
        <w:trPr>
          <w:trHeight w:val="523"/>
        </w:trPr>
        <w:tc>
          <w:tcPr>
            <w:tcW w:w="967" w:type="dxa"/>
            <w:tcBorders>
              <w:top w:val="nil"/>
              <w:left w:val="single" w:sz="3" w:space="0" w:color="000000"/>
              <w:bottom w:val="single" w:sz="3" w:space="0" w:color="000000"/>
              <w:right w:val="single" w:sz="3" w:space="0" w:color="000000"/>
            </w:tcBorders>
          </w:tcPr>
          <w:p w14:paraId="299E567F" w14:textId="77777777" w:rsidR="00453D7A" w:rsidRDefault="00453D7A">
            <w:pPr>
              <w:spacing w:after="160" w:line="259" w:lineRule="auto"/>
              <w:ind w:left="0" w:right="0" w:firstLine="0"/>
              <w:jc w:val="left"/>
            </w:pPr>
          </w:p>
        </w:tc>
        <w:tc>
          <w:tcPr>
            <w:tcW w:w="5774" w:type="dxa"/>
            <w:tcBorders>
              <w:top w:val="nil"/>
              <w:left w:val="single" w:sz="3" w:space="0" w:color="000000"/>
              <w:bottom w:val="single" w:sz="3" w:space="0" w:color="000000"/>
              <w:right w:val="single" w:sz="3" w:space="0" w:color="000000"/>
            </w:tcBorders>
          </w:tcPr>
          <w:p w14:paraId="3A68FEDC" w14:textId="77777777" w:rsidR="00453D7A" w:rsidRDefault="00453D7A">
            <w:pPr>
              <w:spacing w:after="160" w:line="259" w:lineRule="auto"/>
              <w:ind w:left="0" w:right="0" w:firstLine="0"/>
              <w:jc w:val="left"/>
            </w:pPr>
          </w:p>
        </w:tc>
        <w:tc>
          <w:tcPr>
            <w:tcW w:w="1027" w:type="dxa"/>
            <w:tcBorders>
              <w:top w:val="nil"/>
              <w:left w:val="single" w:sz="3" w:space="0" w:color="000000"/>
              <w:bottom w:val="single" w:sz="3" w:space="0" w:color="000000"/>
              <w:right w:val="nil"/>
            </w:tcBorders>
          </w:tcPr>
          <w:p w14:paraId="690604A7" w14:textId="77777777" w:rsidR="00453D7A" w:rsidRDefault="00000000">
            <w:pPr>
              <w:spacing w:after="0" w:line="259" w:lineRule="auto"/>
              <w:ind w:left="129" w:right="0" w:firstLine="0"/>
              <w:jc w:val="left"/>
            </w:pPr>
            <w:r>
              <w:rPr>
                <w:color w:val="0000FF"/>
                <w:sz w:val="22"/>
              </w:rPr>
              <w:t>van</w:t>
            </w:r>
          </w:p>
          <w:p w14:paraId="26ED667E" w14:textId="77777777" w:rsidR="00453D7A" w:rsidRDefault="00000000">
            <w:pPr>
              <w:spacing w:after="0" w:line="259" w:lineRule="auto"/>
              <w:ind w:left="129" w:right="0" w:firstLine="0"/>
              <w:jc w:val="left"/>
            </w:pPr>
            <w:r>
              <w:rPr>
                <w:sz w:val="22"/>
              </w:rPr>
              <w:t>(</w:t>
            </w:r>
            <w:r>
              <w:rPr>
                <w:color w:val="0000FF"/>
                <w:sz w:val="22"/>
              </w:rPr>
              <w:t>2008</w:t>
            </w:r>
            <w:r>
              <w:rPr>
                <w:sz w:val="22"/>
              </w:rPr>
              <w:t>)</w:t>
            </w:r>
          </w:p>
        </w:tc>
        <w:tc>
          <w:tcPr>
            <w:tcW w:w="1070" w:type="dxa"/>
            <w:tcBorders>
              <w:top w:val="nil"/>
              <w:left w:val="nil"/>
              <w:bottom w:val="single" w:sz="3" w:space="0" w:color="000000"/>
              <w:right w:val="single" w:sz="3" w:space="0" w:color="000000"/>
            </w:tcBorders>
          </w:tcPr>
          <w:p w14:paraId="7C81B1DB" w14:textId="77777777" w:rsidR="00453D7A" w:rsidRDefault="00000000">
            <w:pPr>
              <w:spacing w:after="0" w:line="259" w:lineRule="auto"/>
              <w:ind w:left="23" w:right="0" w:firstLine="0"/>
              <w:jc w:val="left"/>
            </w:pPr>
            <w:r>
              <w:rPr>
                <w:color w:val="0000FF"/>
                <w:sz w:val="22"/>
              </w:rPr>
              <w:t>Financi¨en</w:t>
            </w:r>
          </w:p>
        </w:tc>
      </w:tr>
      <w:tr w:rsidR="00453D7A" w14:paraId="40CF2EFC" w14:textId="77777777">
        <w:trPr>
          <w:trHeight w:val="1559"/>
        </w:trPr>
        <w:tc>
          <w:tcPr>
            <w:tcW w:w="967" w:type="dxa"/>
            <w:tcBorders>
              <w:top w:val="single" w:sz="3" w:space="0" w:color="000000"/>
              <w:left w:val="single" w:sz="3" w:space="0" w:color="000000"/>
              <w:bottom w:val="single" w:sz="3" w:space="0" w:color="000000"/>
              <w:right w:val="single" w:sz="3" w:space="0" w:color="000000"/>
            </w:tcBorders>
          </w:tcPr>
          <w:p w14:paraId="5986A2E0" w14:textId="77777777" w:rsidR="00453D7A" w:rsidRDefault="00000000">
            <w:pPr>
              <w:spacing w:after="0" w:line="259" w:lineRule="auto"/>
              <w:ind w:left="129" w:right="0" w:firstLine="0"/>
            </w:pPr>
            <w:r>
              <w:rPr>
                <w:sz w:val="22"/>
              </w:rPr>
              <w:t>LERQ2</w:t>
            </w:r>
          </w:p>
        </w:tc>
        <w:tc>
          <w:tcPr>
            <w:tcW w:w="5774" w:type="dxa"/>
            <w:tcBorders>
              <w:top w:val="single" w:sz="3" w:space="0" w:color="000000"/>
              <w:left w:val="single" w:sz="3" w:space="0" w:color="000000"/>
              <w:bottom w:val="single" w:sz="3" w:space="0" w:color="000000"/>
              <w:right w:val="single" w:sz="3" w:space="0" w:color="000000"/>
            </w:tcBorders>
          </w:tcPr>
          <w:p w14:paraId="1D236343" w14:textId="77777777" w:rsidR="00453D7A" w:rsidRDefault="00000000">
            <w:pPr>
              <w:spacing w:after="0" w:line="259" w:lineRule="auto"/>
              <w:ind w:left="129" w:right="0" w:firstLine="0"/>
            </w:pPr>
            <w:r>
              <w:rPr>
                <w:sz w:val="22"/>
              </w:rPr>
              <w:t>The use of the following personal attributes is explicitly prohibited in model training: race, ethnic background, political opinion, religious or philosophical beliefs, trade union membership, genetic data, biometric data, health data, and data concerning a natural person’s sexual behaviour or sexual orientation.</w:t>
            </w:r>
          </w:p>
        </w:tc>
        <w:tc>
          <w:tcPr>
            <w:tcW w:w="2097" w:type="dxa"/>
            <w:gridSpan w:val="2"/>
            <w:tcBorders>
              <w:top w:val="single" w:sz="3" w:space="0" w:color="000000"/>
              <w:left w:val="single" w:sz="3" w:space="0" w:color="000000"/>
              <w:bottom w:val="single" w:sz="3" w:space="0" w:color="000000"/>
              <w:right w:val="single" w:sz="3" w:space="0" w:color="000000"/>
            </w:tcBorders>
          </w:tcPr>
          <w:p w14:paraId="71A3CCCA" w14:textId="77777777" w:rsidR="00453D7A" w:rsidRDefault="00000000">
            <w:pPr>
              <w:spacing w:after="0" w:line="279" w:lineRule="auto"/>
              <w:ind w:left="129" w:right="0" w:firstLine="0"/>
            </w:pPr>
            <w:r>
              <w:rPr>
                <w:sz w:val="22"/>
              </w:rPr>
              <w:t xml:space="preserve">GDPR, Art. 9.1 </w:t>
            </w:r>
            <w:r>
              <w:rPr>
                <w:color w:val="0000FF"/>
                <w:sz w:val="22"/>
              </w:rPr>
              <w:t>European Parliament and Council of the European Union</w:t>
            </w:r>
          </w:p>
          <w:p w14:paraId="33F45E37" w14:textId="77777777" w:rsidR="00453D7A" w:rsidRDefault="00000000">
            <w:pPr>
              <w:spacing w:after="0" w:line="259" w:lineRule="auto"/>
              <w:ind w:left="129" w:right="0" w:firstLine="0"/>
              <w:jc w:val="left"/>
            </w:pPr>
            <w:r>
              <w:rPr>
                <w:sz w:val="22"/>
              </w:rPr>
              <w:t>(</w:t>
            </w:r>
            <w:r>
              <w:rPr>
                <w:color w:val="0000FF"/>
                <w:sz w:val="22"/>
              </w:rPr>
              <w:t>2016</w:t>
            </w:r>
            <w:r>
              <w:rPr>
                <w:sz w:val="22"/>
              </w:rPr>
              <w:t>)</w:t>
            </w:r>
          </w:p>
        </w:tc>
      </w:tr>
    </w:tbl>
    <w:p w14:paraId="674A4C91" w14:textId="77777777" w:rsidR="00453D7A" w:rsidRDefault="00000000">
      <w:pPr>
        <w:pStyle w:val="Heading2"/>
        <w:ind w:left="598" w:hanging="613"/>
      </w:pPr>
      <w:r>
        <w:t>Functional Requirements</w:t>
      </w:r>
    </w:p>
    <w:p w14:paraId="28683A68" w14:textId="77777777" w:rsidR="00453D7A" w:rsidRDefault="00000000">
      <w:pPr>
        <w:spacing w:after="384"/>
        <w:ind w:left="-5" w:right="900"/>
      </w:pPr>
      <w:r>
        <w:t>The following functional requirements define what the model must be capable of doing:</w:t>
      </w:r>
    </w:p>
    <w:p w14:paraId="4195788E" w14:textId="77777777" w:rsidR="00453D7A" w:rsidRDefault="00000000">
      <w:pPr>
        <w:spacing w:after="0" w:line="265" w:lineRule="auto"/>
        <w:ind w:right="915"/>
        <w:jc w:val="center"/>
      </w:pPr>
      <w:r>
        <w:t>Table 3: Functional Requirements</w:t>
      </w:r>
    </w:p>
    <w:tbl>
      <w:tblPr>
        <w:tblStyle w:val="TableGrid"/>
        <w:tblW w:w="8838" w:type="dxa"/>
        <w:tblInd w:w="0" w:type="dxa"/>
        <w:tblCellMar>
          <w:top w:w="38" w:type="dxa"/>
          <w:left w:w="139" w:type="dxa"/>
          <w:bottom w:w="0" w:type="dxa"/>
          <w:right w:w="139" w:type="dxa"/>
        </w:tblCellMar>
        <w:tblLook w:val="04A0" w:firstRow="1" w:lastRow="0" w:firstColumn="1" w:lastColumn="0" w:noHBand="0" w:noVBand="1"/>
      </w:tblPr>
      <w:tblGrid>
        <w:gridCol w:w="715"/>
        <w:gridCol w:w="5542"/>
        <w:gridCol w:w="2581"/>
      </w:tblGrid>
      <w:tr w:rsidR="00453D7A" w14:paraId="1BE44EDC" w14:textId="77777777">
        <w:trPr>
          <w:trHeight w:val="287"/>
        </w:trPr>
        <w:tc>
          <w:tcPr>
            <w:tcW w:w="715" w:type="dxa"/>
            <w:tcBorders>
              <w:top w:val="single" w:sz="4" w:space="0" w:color="000000"/>
              <w:left w:val="single" w:sz="4" w:space="0" w:color="000000"/>
              <w:bottom w:val="single" w:sz="4" w:space="0" w:color="000000"/>
              <w:right w:val="single" w:sz="4" w:space="0" w:color="000000"/>
            </w:tcBorders>
          </w:tcPr>
          <w:p w14:paraId="1E3EB216" w14:textId="77777777" w:rsidR="00453D7A" w:rsidRDefault="00000000">
            <w:pPr>
              <w:spacing w:after="0" w:line="259" w:lineRule="auto"/>
              <w:ind w:left="0" w:right="0" w:firstLine="0"/>
              <w:jc w:val="left"/>
            </w:pPr>
            <w:r>
              <w:rPr>
                <w:b/>
                <w:sz w:val="23"/>
              </w:rPr>
              <w:t>ID</w:t>
            </w:r>
          </w:p>
        </w:tc>
        <w:tc>
          <w:tcPr>
            <w:tcW w:w="5543" w:type="dxa"/>
            <w:tcBorders>
              <w:top w:val="single" w:sz="4" w:space="0" w:color="000000"/>
              <w:left w:val="single" w:sz="4" w:space="0" w:color="000000"/>
              <w:bottom w:val="single" w:sz="4" w:space="0" w:color="000000"/>
              <w:right w:val="single" w:sz="4" w:space="0" w:color="000000"/>
            </w:tcBorders>
          </w:tcPr>
          <w:p w14:paraId="6642A8F1" w14:textId="77777777" w:rsidR="00453D7A" w:rsidRDefault="00000000">
            <w:pPr>
              <w:spacing w:after="0" w:line="259" w:lineRule="auto"/>
              <w:ind w:left="0" w:right="0" w:firstLine="0"/>
              <w:jc w:val="left"/>
            </w:pPr>
            <w:r>
              <w:rPr>
                <w:b/>
                <w:sz w:val="23"/>
              </w:rPr>
              <w:t>Requirement</w:t>
            </w:r>
          </w:p>
        </w:tc>
        <w:tc>
          <w:tcPr>
            <w:tcW w:w="2581" w:type="dxa"/>
            <w:tcBorders>
              <w:top w:val="single" w:sz="4" w:space="0" w:color="000000"/>
              <w:left w:val="single" w:sz="4" w:space="0" w:color="000000"/>
              <w:bottom w:val="single" w:sz="4" w:space="0" w:color="000000"/>
              <w:right w:val="single" w:sz="4" w:space="0" w:color="000000"/>
            </w:tcBorders>
          </w:tcPr>
          <w:p w14:paraId="2658132C" w14:textId="77777777" w:rsidR="00453D7A" w:rsidRDefault="00000000">
            <w:pPr>
              <w:spacing w:after="0" w:line="259" w:lineRule="auto"/>
              <w:ind w:left="0" w:right="0" w:firstLine="0"/>
              <w:jc w:val="left"/>
            </w:pPr>
            <w:r>
              <w:rPr>
                <w:b/>
                <w:sz w:val="23"/>
              </w:rPr>
              <w:t>Source</w:t>
            </w:r>
          </w:p>
        </w:tc>
      </w:tr>
      <w:tr w:rsidR="00453D7A" w14:paraId="1FCDD3F6" w14:textId="77777777">
        <w:trPr>
          <w:trHeight w:val="564"/>
        </w:trPr>
        <w:tc>
          <w:tcPr>
            <w:tcW w:w="715" w:type="dxa"/>
            <w:tcBorders>
              <w:top w:val="single" w:sz="4" w:space="0" w:color="000000"/>
              <w:left w:val="single" w:sz="4" w:space="0" w:color="000000"/>
              <w:bottom w:val="single" w:sz="4" w:space="0" w:color="000000"/>
              <w:right w:val="single" w:sz="4" w:space="0" w:color="000000"/>
            </w:tcBorders>
          </w:tcPr>
          <w:p w14:paraId="20B21987" w14:textId="77777777" w:rsidR="00453D7A" w:rsidRDefault="00000000">
            <w:pPr>
              <w:spacing w:after="0" w:line="259" w:lineRule="auto"/>
              <w:ind w:left="0" w:right="0" w:firstLine="0"/>
            </w:pPr>
            <w:r>
              <w:rPr>
                <w:sz w:val="23"/>
              </w:rPr>
              <w:t>FR1</w:t>
            </w:r>
          </w:p>
        </w:tc>
        <w:tc>
          <w:tcPr>
            <w:tcW w:w="5543" w:type="dxa"/>
            <w:tcBorders>
              <w:top w:val="single" w:sz="4" w:space="0" w:color="000000"/>
              <w:left w:val="single" w:sz="4" w:space="0" w:color="000000"/>
              <w:bottom w:val="single" w:sz="4" w:space="0" w:color="000000"/>
              <w:right w:val="single" w:sz="4" w:space="0" w:color="000000"/>
            </w:tcBorders>
          </w:tcPr>
          <w:p w14:paraId="6B8A0E15" w14:textId="77777777" w:rsidR="00453D7A" w:rsidRDefault="00000000">
            <w:pPr>
              <w:spacing w:after="0" w:line="259" w:lineRule="auto"/>
              <w:ind w:left="0" w:right="0" w:firstLine="0"/>
            </w:pPr>
            <w:r>
              <w:rPr>
                <w:sz w:val="23"/>
              </w:rPr>
              <w:t>The model must classify transactions as either suspicious or legitimate.</w:t>
            </w:r>
          </w:p>
        </w:tc>
        <w:tc>
          <w:tcPr>
            <w:tcW w:w="2581" w:type="dxa"/>
            <w:tcBorders>
              <w:top w:val="single" w:sz="4" w:space="0" w:color="000000"/>
              <w:left w:val="single" w:sz="4" w:space="0" w:color="000000"/>
              <w:bottom w:val="single" w:sz="4" w:space="0" w:color="000000"/>
              <w:right w:val="single" w:sz="4" w:space="0" w:color="000000"/>
            </w:tcBorders>
          </w:tcPr>
          <w:p w14:paraId="2A4B24C1" w14:textId="77777777" w:rsidR="00453D7A" w:rsidRDefault="00000000">
            <w:pPr>
              <w:spacing w:after="0" w:line="259" w:lineRule="auto"/>
              <w:ind w:left="0" w:right="0" w:firstLine="0"/>
              <w:jc w:val="left"/>
            </w:pPr>
            <w:r>
              <w:rPr>
                <w:sz w:val="23"/>
              </w:rPr>
              <w:t>Research scope</w:t>
            </w:r>
          </w:p>
        </w:tc>
      </w:tr>
      <w:tr w:rsidR="00453D7A" w14:paraId="72E10361" w14:textId="77777777">
        <w:trPr>
          <w:trHeight w:val="1120"/>
        </w:trPr>
        <w:tc>
          <w:tcPr>
            <w:tcW w:w="715" w:type="dxa"/>
            <w:tcBorders>
              <w:top w:val="single" w:sz="4" w:space="0" w:color="000000"/>
              <w:left w:val="single" w:sz="4" w:space="0" w:color="000000"/>
              <w:bottom w:val="single" w:sz="4" w:space="0" w:color="000000"/>
              <w:right w:val="single" w:sz="4" w:space="0" w:color="000000"/>
            </w:tcBorders>
          </w:tcPr>
          <w:p w14:paraId="364941A9" w14:textId="77777777" w:rsidR="00453D7A" w:rsidRDefault="00000000">
            <w:pPr>
              <w:spacing w:after="0" w:line="259" w:lineRule="auto"/>
              <w:ind w:left="0" w:right="0" w:firstLine="0"/>
            </w:pPr>
            <w:r>
              <w:rPr>
                <w:sz w:val="23"/>
              </w:rPr>
              <w:t>FR2</w:t>
            </w:r>
          </w:p>
        </w:tc>
        <w:tc>
          <w:tcPr>
            <w:tcW w:w="5543" w:type="dxa"/>
            <w:tcBorders>
              <w:top w:val="single" w:sz="4" w:space="0" w:color="000000"/>
              <w:left w:val="single" w:sz="4" w:space="0" w:color="000000"/>
              <w:bottom w:val="single" w:sz="4" w:space="0" w:color="000000"/>
              <w:right w:val="single" w:sz="4" w:space="0" w:color="000000"/>
            </w:tcBorders>
          </w:tcPr>
          <w:p w14:paraId="3368BA33" w14:textId="77777777" w:rsidR="00453D7A" w:rsidRDefault="00000000">
            <w:pPr>
              <w:spacing w:after="0" w:line="259" w:lineRule="auto"/>
              <w:ind w:left="0" w:right="0" w:firstLine="0"/>
              <w:jc w:val="left"/>
            </w:pPr>
            <w:r>
              <w:rPr>
                <w:sz w:val="23"/>
              </w:rPr>
              <w:t>The model must output a continuous suspiciousness score per transaction.</w:t>
            </w:r>
          </w:p>
        </w:tc>
        <w:tc>
          <w:tcPr>
            <w:tcW w:w="2581" w:type="dxa"/>
            <w:tcBorders>
              <w:top w:val="single" w:sz="4" w:space="0" w:color="000000"/>
              <w:left w:val="single" w:sz="4" w:space="0" w:color="000000"/>
              <w:bottom w:val="single" w:sz="4" w:space="0" w:color="000000"/>
              <w:right w:val="single" w:sz="4" w:space="0" w:color="000000"/>
            </w:tcBorders>
          </w:tcPr>
          <w:p w14:paraId="53BC0D25" w14:textId="77777777" w:rsidR="00453D7A" w:rsidRDefault="00000000">
            <w:pPr>
              <w:spacing w:after="0" w:line="274" w:lineRule="auto"/>
              <w:ind w:left="0" w:right="0" w:firstLine="0"/>
            </w:pPr>
            <w:r>
              <w:rPr>
                <w:sz w:val="23"/>
              </w:rPr>
              <w:t xml:space="preserve">Required for AUPRC, Industry practice </w:t>
            </w:r>
            <w:r>
              <w:rPr>
                <w:color w:val="0000FF"/>
                <w:sz w:val="23"/>
              </w:rPr>
              <w:t>Attard and de Bruijn</w:t>
            </w:r>
          </w:p>
          <w:p w14:paraId="70511D61" w14:textId="77777777" w:rsidR="00453D7A" w:rsidRDefault="00000000">
            <w:pPr>
              <w:spacing w:after="0" w:line="259" w:lineRule="auto"/>
              <w:ind w:left="0" w:right="0" w:firstLine="0"/>
              <w:jc w:val="left"/>
            </w:pPr>
            <w:r>
              <w:rPr>
                <w:sz w:val="23"/>
              </w:rPr>
              <w:t>(</w:t>
            </w:r>
            <w:r>
              <w:rPr>
                <w:color w:val="0000FF"/>
                <w:sz w:val="23"/>
              </w:rPr>
              <w:t>2026</w:t>
            </w:r>
            <w:r>
              <w:rPr>
                <w:sz w:val="23"/>
              </w:rPr>
              <w:t>)</w:t>
            </w:r>
          </w:p>
        </w:tc>
      </w:tr>
      <w:tr w:rsidR="00453D7A" w14:paraId="511D24AC" w14:textId="77777777">
        <w:trPr>
          <w:trHeight w:val="842"/>
        </w:trPr>
        <w:tc>
          <w:tcPr>
            <w:tcW w:w="715" w:type="dxa"/>
            <w:tcBorders>
              <w:top w:val="single" w:sz="4" w:space="0" w:color="000000"/>
              <w:left w:val="single" w:sz="4" w:space="0" w:color="000000"/>
              <w:bottom w:val="single" w:sz="4" w:space="0" w:color="000000"/>
              <w:right w:val="single" w:sz="4" w:space="0" w:color="000000"/>
            </w:tcBorders>
          </w:tcPr>
          <w:p w14:paraId="3D4B84B8" w14:textId="77777777" w:rsidR="00453D7A" w:rsidRDefault="00000000">
            <w:pPr>
              <w:spacing w:after="0" w:line="259" w:lineRule="auto"/>
              <w:ind w:left="0" w:right="0" w:firstLine="0"/>
            </w:pPr>
            <w:r>
              <w:rPr>
                <w:sz w:val="23"/>
              </w:rPr>
              <w:t>FR3</w:t>
            </w:r>
          </w:p>
        </w:tc>
        <w:tc>
          <w:tcPr>
            <w:tcW w:w="5543" w:type="dxa"/>
            <w:tcBorders>
              <w:top w:val="single" w:sz="4" w:space="0" w:color="000000"/>
              <w:left w:val="single" w:sz="4" w:space="0" w:color="000000"/>
              <w:bottom w:val="single" w:sz="4" w:space="0" w:color="000000"/>
              <w:right w:val="single" w:sz="4" w:space="0" w:color="000000"/>
            </w:tcBorders>
          </w:tcPr>
          <w:p w14:paraId="152F50A7" w14:textId="77777777" w:rsidR="00453D7A" w:rsidRDefault="00000000">
            <w:pPr>
              <w:spacing w:after="0" w:line="259" w:lineRule="auto"/>
              <w:ind w:left="0" w:right="0" w:firstLine="0"/>
            </w:pPr>
            <w:r>
              <w:rPr>
                <w:sz w:val="23"/>
              </w:rPr>
              <w:t>The model must provide a feature-level explanation for each flagged transaction using SHAP values.</w:t>
            </w:r>
          </w:p>
        </w:tc>
        <w:tc>
          <w:tcPr>
            <w:tcW w:w="2581" w:type="dxa"/>
            <w:tcBorders>
              <w:top w:val="single" w:sz="4" w:space="0" w:color="000000"/>
              <w:left w:val="single" w:sz="4" w:space="0" w:color="000000"/>
              <w:bottom w:val="single" w:sz="4" w:space="0" w:color="000000"/>
              <w:right w:val="single" w:sz="4" w:space="0" w:color="000000"/>
            </w:tcBorders>
          </w:tcPr>
          <w:p w14:paraId="5335C6EC" w14:textId="77777777" w:rsidR="00453D7A" w:rsidRDefault="00000000">
            <w:pPr>
              <w:spacing w:after="0" w:line="259" w:lineRule="auto"/>
              <w:ind w:left="0" w:right="0" w:firstLine="0"/>
            </w:pPr>
            <w:r>
              <w:rPr>
                <w:sz w:val="23"/>
              </w:rPr>
              <w:t xml:space="preserve">Wwft, Art. 16.2e </w:t>
            </w:r>
            <w:r>
              <w:rPr>
                <w:color w:val="0000FF"/>
                <w:sz w:val="23"/>
              </w:rPr>
              <w:t xml:space="preserve">Ministerie van Financi¨en </w:t>
            </w:r>
            <w:r>
              <w:rPr>
                <w:sz w:val="23"/>
              </w:rPr>
              <w:t>(</w:t>
            </w:r>
            <w:r>
              <w:rPr>
                <w:color w:val="0000FF"/>
                <w:sz w:val="23"/>
              </w:rPr>
              <w:t>2008</w:t>
            </w:r>
            <w:r>
              <w:rPr>
                <w:sz w:val="23"/>
              </w:rPr>
              <w:t>);</w:t>
            </w:r>
          </w:p>
        </w:tc>
      </w:tr>
      <w:tr w:rsidR="00453D7A" w14:paraId="550E8F37" w14:textId="77777777">
        <w:trPr>
          <w:trHeight w:val="1120"/>
        </w:trPr>
        <w:tc>
          <w:tcPr>
            <w:tcW w:w="715" w:type="dxa"/>
            <w:tcBorders>
              <w:top w:val="single" w:sz="4" w:space="0" w:color="000000"/>
              <w:left w:val="single" w:sz="4" w:space="0" w:color="000000"/>
              <w:bottom w:val="single" w:sz="4" w:space="0" w:color="000000"/>
              <w:right w:val="single" w:sz="4" w:space="0" w:color="000000"/>
            </w:tcBorders>
          </w:tcPr>
          <w:p w14:paraId="6614CBA0" w14:textId="77777777" w:rsidR="00453D7A" w:rsidRDefault="00000000">
            <w:pPr>
              <w:spacing w:after="0" w:line="259" w:lineRule="auto"/>
              <w:ind w:left="0" w:right="0" w:firstLine="0"/>
            </w:pPr>
            <w:r>
              <w:rPr>
                <w:sz w:val="23"/>
              </w:rPr>
              <w:t>FR4</w:t>
            </w:r>
          </w:p>
        </w:tc>
        <w:tc>
          <w:tcPr>
            <w:tcW w:w="5543" w:type="dxa"/>
            <w:tcBorders>
              <w:top w:val="single" w:sz="4" w:space="0" w:color="000000"/>
              <w:left w:val="single" w:sz="4" w:space="0" w:color="000000"/>
              <w:bottom w:val="single" w:sz="4" w:space="0" w:color="000000"/>
              <w:right w:val="single" w:sz="4" w:space="0" w:color="000000"/>
            </w:tcBorders>
          </w:tcPr>
          <w:p w14:paraId="46D49D9B" w14:textId="77777777" w:rsidR="00453D7A" w:rsidRDefault="00000000">
            <w:pPr>
              <w:spacing w:after="0" w:line="259" w:lineRule="auto"/>
              <w:ind w:left="0" w:right="0" w:firstLine="0"/>
            </w:pPr>
            <w:r>
              <w:rPr>
                <w:sz w:val="23"/>
              </w:rPr>
              <w:t>The model must be evaluated using AUPRC as the primary metric.</w:t>
            </w:r>
          </w:p>
        </w:tc>
        <w:tc>
          <w:tcPr>
            <w:tcW w:w="2581" w:type="dxa"/>
            <w:tcBorders>
              <w:top w:val="single" w:sz="4" w:space="0" w:color="000000"/>
              <w:left w:val="single" w:sz="4" w:space="0" w:color="000000"/>
              <w:bottom w:val="single" w:sz="4" w:space="0" w:color="000000"/>
              <w:right w:val="single" w:sz="4" w:space="0" w:color="000000"/>
            </w:tcBorders>
          </w:tcPr>
          <w:p w14:paraId="65AF0D09" w14:textId="77777777" w:rsidR="00453D7A" w:rsidRDefault="00000000">
            <w:pPr>
              <w:spacing w:after="0" w:line="279" w:lineRule="auto"/>
              <w:ind w:left="0" w:right="0" w:firstLine="0"/>
            </w:pPr>
            <w:r>
              <w:rPr>
                <w:sz w:val="23"/>
              </w:rPr>
              <w:t xml:space="preserve">Industry practice </w:t>
            </w:r>
            <w:r>
              <w:rPr>
                <w:color w:val="0000FF"/>
                <w:sz w:val="23"/>
              </w:rPr>
              <w:t xml:space="preserve">Attard and de Bruijn </w:t>
            </w:r>
            <w:r>
              <w:rPr>
                <w:sz w:val="23"/>
              </w:rPr>
              <w:t>(</w:t>
            </w:r>
            <w:r>
              <w:rPr>
                <w:color w:val="0000FF"/>
                <w:sz w:val="23"/>
              </w:rPr>
              <w:t>2026</w:t>
            </w:r>
            <w:r>
              <w:rPr>
                <w:sz w:val="23"/>
              </w:rPr>
              <w:t xml:space="preserve">); </w:t>
            </w:r>
            <w:r>
              <w:rPr>
                <w:color w:val="0000FF"/>
                <w:sz w:val="23"/>
              </w:rPr>
              <w:t>Menon and</w:t>
            </w:r>
          </w:p>
          <w:p w14:paraId="07940849" w14:textId="77777777" w:rsidR="00453D7A" w:rsidRDefault="00000000">
            <w:pPr>
              <w:spacing w:after="0" w:line="259" w:lineRule="auto"/>
              <w:ind w:left="0" w:right="0" w:firstLine="0"/>
              <w:jc w:val="left"/>
            </w:pPr>
            <w:r>
              <w:rPr>
                <w:color w:val="0000FF"/>
                <w:sz w:val="23"/>
              </w:rPr>
              <w:t xml:space="preserve">Nguyen </w:t>
            </w:r>
            <w:r>
              <w:rPr>
                <w:sz w:val="23"/>
              </w:rPr>
              <w:t>(</w:t>
            </w:r>
            <w:r>
              <w:rPr>
                <w:color w:val="0000FF"/>
                <w:sz w:val="23"/>
              </w:rPr>
              <w:t>2026</w:t>
            </w:r>
            <w:r>
              <w:rPr>
                <w:sz w:val="23"/>
              </w:rPr>
              <w:t>)</w:t>
            </w:r>
          </w:p>
        </w:tc>
      </w:tr>
      <w:tr w:rsidR="00453D7A" w14:paraId="6FEC5FBF" w14:textId="77777777">
        <w:trPr>
          <w:trHeight w:val="842"/>
        </w:trPr>
        <w:tc>
          <w:tcPr>
            <w:tcW w:w="715" w:type="dxa"/>
            <w:tcBorders>
              <w:top w:val="single" w:sz="4" w:space="0" w:color="000000"/>
              <w:left w:val="single" w:sz="4" w:space="0" w:color="000000"/>
              <w:bottom w:val="single" w:sz="4" w:space="0" w:color="000000"/>
              <w:right w:val="single" w:sz="4" w:space="0" w:color="000000"/>
            </w:tcBorders>
          </w:tcPr>
          <w:p w14:paraId="2A9921C0" w14:textId="77777777" w:rsidR="00453D7A" w:rsidRDefault="00000000">
            <w:pPr>
              <w:spacing w:after="0" w:line="259" w:lineRule="auto"/>
              <w:ind w:left="0" w:right="0" w:firstLine="0"/>
            </w:pPr>
            <w:r>
              <w:rPr>
                <w:sz w:val="23"/>
              </w:rPr>
              <w:t>FR5</w:t>
            </w:r>
          </w:p>
        </w:tc>
        <w:tc>
          <w:tcPr>
            <w:tcW w:w="5543" w:type="dxa"/>
            <w:tcBorders>
              <w:top w:val="single" w:sz="4" w:space="0" w:color="000000"/>
              <w:left w:val="single" w:sz="4" w:space="0" w:color="000000"/>
              <w:bottom w:val="single" w:sz="4" w:space="0" w:color="000000"/>
              <w:right w:val="single" w:sz="4" w:space="0" w:color="000000"/>
            </w:tcBorders>
          </w:tcPr>
          <w:p w14:paraId="4FB08463" w14:textId="77777777" w:rsidR="00453D7A" w:rsidRDefault="00000000">
            <w:pPr>
              <w:spacing w:after="0" w:line="259" w:lineRule="auto"/>
              <w:ind w:left="0" w:right="0" w:firstLine="0"/>
              <w:jc w:val="left"/>
            </w:pPr>
            <w:r>
              <w:rPr>
                <w:sz w:val="23"/>
              </w:rPr>
              <w:t>Both the RL model and the XGBoost baseline must be trained and evaluated on the same dataset under the same conditions to ensure a fair comparison.</w:t>
            </w:r>
          </w:p>
        </w:tc>
        <w:tc>
          <w:tcPr>
            <w:tcW w:w="2581" w:type="dxa"/>
            <w:tcBorders>
              <w:top w:val="single" w:sz="4" w:space="0" w:color="000000"/>
              <w:left w:val="single" w:sz="4" w:space="0" w:color="000000"/>
              <w:bottom w:val="single" w:sz="4" w:space="0" w:color="000000"/>
              <w:right w:val="single" w:sz="4" w:space="0" w:color="000000"/>
            </w:tcBorders>
          </w:tcPr>
          <w:p w14:paraId="41D3A84D" w14:textId="77777777" w:rsidR="00453D7A" w:rsidRDefault="00000000">
            <w:pPr>
              <w:spacing w:after="0" w:line="259" w:lineRule="auto"/>
              <w:ind w:left="0" w:right="0" w:firstLine="0"/>
              <w:jc w:val="left"/>
            </w:pPr>
            <w:r>
              <w:rPr>
                <w:sz w:val="23"/>
              </w:rPr>
              <w:t>Research scope</w:t>
            </w:r>
          </w:p>
        </w:tc>
      </w:tr>
    </w:tbl>
    <w:p w14:paraId="5A22110E" w14:textId="77777777" w:rsidR="00453D7A" w:rsidRDefault="00000000">
      <w:pPr>
        <w:pStyle w:val="Heading2"/>
        <w:ind w:left="598" w:hanging="613"/>
      </w:pPr>
      <w:r>
        <w:t>Technical Requirements</w:t>
      </w:r>
    </w:p>
    <w:p w14:paraId="67F52ADD" w14:textId="77777777" w:rsidR="00453D7A" w:rsidRDefault="00000000">
      <w:pPr>
        <w:spacing w:after="384"/>
        <w:ind w:left="-5" w:right="900"/>
      </w:pPr>
      <w:r>
        <w:t>The following technical requirements define how and in what circumstances the model must be built:</w:t>
      </w:r>
    </w:p>
    <w:p w14:paraId="437A45E3" w14:textId="77777777" w:rsidR="00453D7A" w:rsidRDefault="00000000">
      <w:pPr>
        <w:spacing w:after="0" w:line="265" w:lineRule="auto"/>
        <w:ind w:right="915"/>
        <w:jc w:val="center"/>
      </w:pPr>
      <w:r>
        <w:t>Table 4: Technical Requirements</w:t>
      </w:r>
    </w:p>
    <w:tbl>
      <w:tblPr>
        <w:tblStyle w:val="TableGrid"/>
        <w:tblW w:w="8839" w:type="dxa"/>
        <w:tblInd w:w="0" w:type="dxa"/>
        <w:tblCellMar>
          <w:top w:w="38" w:type="dxa"/>
          <w:left w:w="139" w:type="dxa"/>
          <w:bottom w:w="0" w:type="dxa"/>
          <w:right w:w="138" w:type="dxa"/>
        </w:tblCellMar>
        <w:tblLook w:val="04A0" w:firstRow="1" w:lastRow="0" w:firstColumn="1" w:lastColumn="0" w:noHBand="0" w:noVBand="1"/>
      </w:tblPr>
      <w:tblGrid>
        <w:gridCol w:w="729"/>
        <w:gridCol w:w="5534"/>
        <w:gridCol w:w="2576"/>
      </w:tblGrid>
      <w:tr w:rsidR="00453D7A" w14:paraId="4924B7C1" w14:textId="77777777">
        <w:trPr>
          <w:trHeight w:val="286"/>
        </w:trPr>
        <w:tc>
          <w:tcPr>
            <w:tcW w:w="729" w:type="dxa"/>
            <w:tcBorders>
              <w:top w:val="single" w:sz="4" w:space="0" w:color="000000"/>
              <w:left w:val="single" w:sz="4" w:space="0" w:color="000000"/>
              <w:bottom w:val="single" w:sz="4" w:space="0" w:color="000000"/>
              <w:right w:val="single" w:sz="4" w:space="0" w:color="000000"/>
            </w:tcBorders>
          </w:tcPr>
          <w:p w14:paraId="44D7FAFE" w14:textId="77777777" w:rsidR="00453D7A" w:rsidRDefault="00000000">
            <w:pPr>
              <w:spacing w:after="0" w:line="259" w:lineRule="auto"/>
              <w:ind w:left="0" w:right="0" w:firstLine="0"/>
              <w:jc w:val="left"/>
            </w:pPr>
            <w:r>
              <w:rPr>
                <w:b/>
                <w:sz w:val="23"/>
              </w:rPr>
              <w:t>ID</w:t>
            </w:r>
          </w:p>
        </w:tc>
        <w:tc>
          <w:tcPr>
            <w:tcW w:w="5533" w:type="dxa"/>
            <w:tcBorders>
              <w:top w:val="single" w:sz="4" w:space="0" w:color="000000"/>
              <w:left w:val="single" w:sz="4" w:space="0" w:color="000000"/>
              <w:bottom w:val="single" w:sz="4" w:space="0" w:color="000000"/>
              <w:right w:val="single" w:sz="4" w:space="0" w:color="000000"/>
            </w:tcBorders>
          </w:tcPr>
          <w:p w14:paraId="2CC4C0D6" w14:textId="77777777" w:rsidR="00453D7A" w:rsidRDefault="00000000">
            <w:pPr>
              <w:spacing w:after="0" w:line="259" w:lineRule="auto"/>
              <w:ind w:left="0" w:right="0" w:firstLine="0"/>
              <w:jc w:val="left"/>
            </w:pPr>
            <w:r>
              <w:rPr>
                <w:b/>
                <w:sz w:val="23"/>
              </w:rPr>
              <w:t>Requirement</w:t>
            </w:r>
          </w:p>
        </w:tc>
        <w:tc>
          <w:tcPr>
            <w:tcW w:w="2576" w:type="dxa"/>
            <w:tcBorders>
              <w:top w:val="single" w:sz="4" w:space="0" w:color="000000"/>
              <w:left w:val="single" w:sz="4" w:space="0" w:color="000000"/>
              <w:bottom w:val="single" w:sz="4" w:space="0" w:color="000000"/>
              <w:right w:val="single" w:sz="4" w:space="0" w:color="000000"/>
            </w:tcBorders>
          </w:tcPr>
          <w:p w14:paraId="13268E10" w14:textId="77777777" w:rsidR="00453D7A" w:rsidRDefault="00000000">
            <w:pPr>
              <w:spacing w:after="0" w:line="259" w:lineRule="auto"/>
              <w:ind w:left="0" w:right="0" w:firstLine="0"/>
              <w:jc w:val="left"/>
            </w:pPr>
            <w:r>
              <w:rPr>
                <w:b/>
                <w:sz w:val="23"/>
              </w:rPr>
              <w:t>Source</w:t>
            </w:r>
          </w:p>
        </w:tc>
      </w:tr>
      <w:tr w:rsidR="00453D7A" w14:paraId="050D40D0" w14:textId="77777777">
        <w:trPr>
          <w:trHeight w:val="286"/>
        </w:trPr>
        <w:tc>
          <w:tcPr>
            <w:tcW w:w="729" w:type="dxa"/>
            <w:tcBorders>
              <w:top w:val="single" w:sz="4" w:space="0" w:color="000000"/>
              <w:left w:val="single" w:sz="4" w:space="0" w:color="000000"/>
              <w:bottom w:val="single" w:sz="4" w:space="0" w:color="000000"/>
              <w:right w:val="single" w:sz="4" w:space="0" w:color="000000"/>
            </w:tcBorders>
          </w:tcPr>
          <w:p w14:paraId="20AA4CF1" w14:textId="77777777" w:rsidR="00453D7A" w:rsidRDefault="00000000">
            <w:pPr>
              <w:spacing w:after="0" w:line="259" w:lineRule="auto"/>
              <w:ind w:left="0" w:right="0" w:firstLine="0"/>
            </w:pPr>
            <w:r>
              <w:rPr>
                <w:sz w:val="23"/>
              </w:rPr>
              <w:t>TR1</w:t>
            </w:r>
          </w:p>
        </w:tc>
        <w:tc>
          <w:tcPr>
            <w:tcW w:w="5533" w:type="dxa"/>
            <w:tcBorders>
              <w:top w:val="single" w:sz="4" w:space="0" w:color="000000"/>
              <w:left w:val="single" w:sz="4" w:space="0" w:color="000000"/>
              <w:bottom w:val="single" w:sz="4" w:space="0" w:color="000000"/>
              <w:right w:val="single" w:sz="4" w:space="0" w:color="000000"/>
            </w:tcBorders>
          </w:tcPr>
          <w:p w14:paraId="40568D9F" w14:textId="77777777" w:rsidR="00453D7A" w:rsidRDefault="00000000">
            <w:pPr>
              <w:spacing w:after="0" w:line="259" w:lineRule="auto"/>
              <w:ind w:left="0" w:right="0" w:firstLine="0"/>
              <w:jc w:val="left"/>
            </w:pPr>
            <w:r>
              <w:rPr>
                <w:sz w:val="23"/>
              </w:rPr>
              <w:t>The dataset must be tabular</w:t>
            </w:r>
          </w:p>
        </w:tc>
        <w:tc>
          <w:tcPr>
            <w:tcW w:w="2576" w:type="dxa"/>
            <w:tcBorders>
              <w:top w:val="single" w:sz="4" w:space="0" w:color="000000"/>
              <w:left w:val="single" w:sz="4" w:space="0" w:color="000000"/>
              <w:bottom w:val="single" w:sz="4" w:space="0" w:color="000000"/>
              <w:right w:val="single" w:sz="4" w:space="0" w:color="000000"/>
            </w:tcBorders>
          </w:tcPr>
          <w:p w14:paraId="5383DEF5" w14:textId="77777777" w:rsidR="00453D7A" w:rsidRDefault="00000000">
            <w:pPr>
              <w:spacing w:after="0" w:line="259" w:lineRule="auto"/>
              <w:ind w:left="0" w:right="0" w:firstLine="0"/>
              <w:jc w:val="left"/>
            </w:pPr>
            <w:r>
              <w:rPr>
                <w:sz w:val="23"/>
              </w:rPr>
              <w:t>Research scope</w:t>
            </w:r>
          </w:p>
        </w:tc>
      </w:tr>
      <w:tr w:rsidR="00453D7A" w14:paraId="09BEE132" w14:textId="77777777">
        <w:trPr>
          <w:trHeight w:val="1118"/>
        </w:trPr>
        <w:tc>
          <w:tcPr>
            <w:tcW w:w="729" w:type="dxa"/>
            <w:tcBorders>
              <w:top w:val="single" w:sz="4" w:space="0" w:color="000000"/>
              <w:left w:val="single" w:sz="4" w:space="0" w:color="000000"/>
              <w:bottom w:val="single" w:sz="4" w:space="0" w:color="000000"/>
              <w:right w:val="single" w:sz="4" w:space="0" w:color="000000"/>
            </w:tcBorders>
          </w:tcPr>
          <w:p w14:paraId="687C1CF0" w14:textId="77777777" w:rsidR="00453D7A" w:rsidRDefault="00000000">
            <w:pPr>
              <w:spacing w:after="0" w:line="259" w:lineRule="auto"/>
              <w:ind w:left="0" w:right="0" w:firstLine="0"/>
            </w:pPr>
            <w:r>
              <w:rPr>
                <w:sz w:val="23"/>
              </w:rPr>
              <w:lastRenderedPageBreak/>
              <w:t>TR2</w:t>
            </w:r>
          </w:p>
        </w:tc>
        <w:tc>
          <w:tcPr>
            <w:tcW w:w="5533" w:type="dxa"/>
            <w:tcBorders>
              <w:top w:val="single" w:sz="4" w:space="0" w:color="000000"/>
              <w:left w:val="single" w:sz="4" w:space="0" w:color="000000"/>
              <w:bottom w:val="single" w:sz="4" w:space="0" w:color="000000"/>
              <w:right w:val="single" w:sz="4" w:space="0" w:color="000000"/>
            </w:tcBorders>
          </w:tcPr>
          <w:p w14:paraId="7C6F17EC" w14:textId="77777777" w:rsidR="00453D7A" w:rsidRDefault="00000000">
            <w:pPr>
              <w:spacing w:after="0" w:line="259" w:lineRule="auto"/>
              <w:ind w:left="0" w:right="0" w:firstLine="0"/>
            </w:pPr>
            <w:r>
              <w:rPr>
                <w:sz w:val="23"/>
              </w:rPr>
              <w:t>The dataset must be anonymized, containing no personal identifiers.</w:t>
            </w:r>
          </w:p>
        </w:tc>
        <w:tc>
          <w:tcPr>
            <w:tcW w:w="2576" w:type="dxa"/>
            <w:tcBorders>
              <w:top w:val="single" w:sz="4" w:space="0" w:color="000000"/>
              <w:left w:val="single" w:sz="4" w:space="0" w:color="000000"/>
              <w:bottom w:val="single" w:sz="4" w:space="0" w:color="000000"/>
              <w:right w:val="single" w:sz="4" w:space="0" w:color="000000"/>
            </w:tcBorders>
          </w:tcPr>
          <w:p w14:paraId="4CF5B8C9" w14:textId="77777777" w:rsidR="00453D7A" w:rsidRDefault="00000000">
            <w:pPr>
              <w:spacing w:after="0" w:line="259" w:lineRule="auto"/>
              <w:ind w:left="0" w:right="0" w:firstLine="0"/>
            </w:pPr>
            <w:r>
              <w:rPr>
                <w:sz w:val="23"/>
              </w:rPr>
              <w:t xml:space="preserve">GDPR, Art. 9.1 </w:t>
            </w:r>
            <w:r>
              <w:rPr>
                <w:color w:val="0000FF"/>
                <w:sz w:val="23"/>
              </w:rPr>
              <w:t xml:space="preserve">European Parliament and Council of the European Union </w:t>
            </w:r>
            <w:r>
              <w:rPr>
                <w:sz w:val="23"/>
              </w:rPr>
              <w:t>(</w:t>
            </w:r>
            <w:r>
              <w:rPr>
                <w:color w:val="0000FF"/>
                <w:sz w:val="23"/>
              </w:rPr>
              <w:t>2016</w:t>
            </w:r>
            <w:r>
              <w:rPr>
                <w:sz w:val="23"/>
              </w:rPr>
              <w:t>)</w:t>
            </w:r>
          </w:p>
        </w:tc>
      </w:tr>
      <w:tr w:rsidR="00453D7A" w14:paraId="299F9C9F" w14:textId="77777777">
        <w:trPr>
          <w:trHeight w:val="563"/>
        </w:trPr>
        <w:tc>
          <w:tcPr>
            <w:tcW w:w="729" w:type="dxa"/>
            <w:tcBorders>
              <w:top w:val="single" w:sz="4" w:space="0" w:color="000000"/>
              <w:left w:val="single" w:sz="4" w:space="0" w:color="000000"/>
              <w:bottom w:val="single" w:sz="4" w:space="0" w:color="000000"/>
              <w:right w:val="single" w:sz="4" w:space="0" w:color="000000"/>
            </w:tcBorders>
          </w:tcPr>
          <w:p w14:paraId="7AD1FD66" w14:textId="77777777" w:rsidR="00453D7A" w:rsidRDefault="00000000">
            <w:pPr>
              <w:spacing w:after="0" w:line="259" w:lineRule="auto"/>
              <w:ind w:left="0" w:right="0" w:firstLine="0"/>
            </w:pPr>
            <w:r>
              <w:rPr>
                <w:sz w:val="23"/>
              </w:rPr>
              <w:t>TR3</w:t>
            </w:r>
          </w:p>
        </w:tc>
        <w:tc>
          <w:tcPr>
            <w:tcW w:w="5533" w:type="dxa"/>
            <w:tcBorders>
              <w:top w:val="single" w:sz="4" w:space="0" w:color="000000"/>
              <w:left w:val="single" w:sz="4" w:space="0" w:color="000000"/>
              <w:bottom w:val="single" w:sz="4" w:space="0" w:color="000000"/>
              <w:right w:val="single" w:sz="4" w:space="0" w:color="000000"/>
            </w:tcBorders>
          </w:tcPr>
          <w:p w14:paraId="64F321C5" w14:textId="77777777" w:rsidR="00453D7A" w:rsidRDefault="00000000">
            <w:pPr>
              <w:spacing w:after="0" w:line="259" w:lineRule="auto"/>
              <w:ind w:left="0" w:right="0" w:firstLine="0"/>
              <w:jc w:val="left"/>
            </w:pPr>
            <w:r>
              <w:rPr>
                <w:sz w:val="23"/>
              </w:rPr>
              <w:t>The dataset must not contain cryptocurrency transactions.</w:t>
            </w:r>
          </w:p>
        </w:tc>
        <w:tc>
          <w:tcPr>
            <w:tcW w:w="2576" w:type="dxa"/>
            <w:tcBorders>
              <w:top w:val="single" w:sz="4" w:space="0" w:color="000000"/>
              <w:left w:val="single" w:sz="4" w:space="0" w:color="000000"/>
              <w:bottom w:val="single" w:sz="4" w:space="0" w:color="000000"/>
              <w:right w:val="single" w:sz="4" w:space="0" w:color="000000"/>
            </w:tcBorders>
          </w:tcPr>
          <w:p w14:paraId="5E637C2C" w14:textId="77777777" w:rsidR="00453D7A" w:rsidRDefault="00000000">
            <w:pPr>
              <w:spacing w:after="0" w:line="259" w:lineRule="auto"/>
              <w:ind w:left="0" w:right="0" w:firstLine="0"/>
              <w:jc w:val="left"/>
            </w:pPr>
            <w:r>
              <w:rPr>
                <w:sz w:val="23"/>
              </w:rPr>
              <w:t>Research Scope</w:t>
            </w:r>
          </w:p>
        </w:tc>
      </w:tr>
      <w:tr w:rsidR="00453D7A" w14:paraId="5B01CFE4" w14:textId="77777777">
        <w:trPr>
          <w:trHeight w:val="840"/>
        </w:trPr>
        <w:tc>
          <w:tcPr>
            <w:tcW w:w="729" w:type="dxa"/>
            <w:tcBorders>
              <w:top w:val="single" w:sz="4" w:space="0" w:color="000000"/>
              <w:left w:val="single" w:sz="4" w:space="0" w:color="000000"/>
              <w:bottom w:val="single" w:sz="4" w:space="0" w:color="000000"/>
              <w:right w:val="single" w:sz="4" w:space="0" w:color="000000"/>
            </w:tcBorders>
          </w:tcPr>
          <w:p w14:paraId="6B48442B" w14:textId="77777777" w:rsidR="00453D7A" w:rsidRDefault="00000000">
            <w:pPr>
              <w:spacing w:after="0" w:line="259" w:lineRule="auto"/>
              <w:ind w:left="0" w:right="0" w:firstLine="0"/>
            </w:pPr>
            <w:r>
              <w:rPr>
                <w:sz w:val="23"/>
              </w:rPr>
              <w:t>TR4</w:t>
            </w:r>
          </w:p>
        </w:tc>
        <w:tc>
          <w:tcPr>
            <w:tcW w:w="5533" w:type="dxa"/>
            <w:tcBorders>
              <w:top w:val="single" w:sz="4" w:space="0" w:color="000000"/>
              <w:left w:val="single" w:sz="4" w:space="0" w:color="000000"/>
              <w:bottom w:val="single" w:sz="4" w:space="0" w:color="000000"/>
              <w:right w:val="single" w:sz="4" w:space="0" w:color="000000"/>
            </w:tcBorders>
          </w:tcPr>
          <w:p w14:paraId="4E6C1F9B" w14:textId="77777777" w:rsidR="00453D7A" w:rsidRDefault="00000000">
            <w:pPr>
              <w:spacing w:after="0" w:line="259" w:lineRule="auto"/>
              <w:ind w:left="0" w:right="0" w:firstLine="0"/>
              <w:jc w:val="left"/>
            </w:pPr>
            <w:r>
              <w:rPr>
                <w:sz w:val="23"/>
              </w:rPr>
              <w:t>A Deep Q-Network architecture must be used for the</w:t>
            </w:r>
          </w:p>
          <w:p w14:paraId="25054C0F" w14:textId="77777777" w:rsidR="00453D7A" w:rsidRDefault="00000000">
            <w:pPr>
              <w:spacing w:after="0" w:line="259" w:lineRule="auto"/>
              <w:ind w:left="0" w:right="0" w:firstLine="0"/>
              <w:jc w:val="left"/>
            </w:pPr>
            <w:r>
              <w:rPr>
                <w:sz w:val="23"/>
              </w:rPr>
              <w:t>RL-model</w:t>
            </w:r>
          </w:p>
        </w:tc>
        <w:tc>
          <w:tcPr>
            <w:tcW w:w="2576" w:type="dxa"/>
            <w:tcBorders>
              <w:top w:val="single" w:sz="4" w:space="0" w:color="000000"/>
              <w:left w:val="single" w:sz="4" w:space="0" w:color="000000"/>
              <w:bottom w:val="single" w:sz="4" w:space="0" w:color="000000"/>
              <w:right w:val="single" w:sz="4" w:space="0" w:color="000000"/>
            </w:tcBorders>
          </w:tcPr>
          <w:p w14:paraId="5743B19E" w14:textId="77777777" w:rsidR="00453D7A" w:rsidRDefault="00000000">
            <w:pPr>
              <w:spacing w:after="0" w:line="259" w:lineRule="auto"/>
              <w:ind w:left="0" w:right="0" w:firstLine="0"/>
            </w:pPr>
            <w:r>
              <w:rPr>
                <w:sz w:val="23"/>
              </w:rPr>
              <w:t xml:space="preserve">Related Work </w:t>
            </w:r>
            <w:r>
              <w:rPr>
                <w:color w:val="0000FF"/>
                <w:sz w:val="23"/>
              </w:rPr>
              <w:t xml:space="preserve">Cui et al. </w:t>
            </w:r>
            <w:r>
              <w:rPr>
                <w:sz w:val="23"/>
              </w:rPr>
              <w:t>(</w:t>
            </w:r>
            <w:r>
              <w:rPr>
                <w:color w:val="0000FF"/>
                <w:sz w:val="23"/>
              </w:rPr>
              <w:t>2025</w:t>
            </w:r>
            <w:r>
              <w:rPr>
                <w:sz w:val="23"/>
              </w:rPr>
              <w:t xml:space="preserve">); </w:t>
            </w:r>
            <w:r>
              <w:rPr>
                <w:color w:val="0000FF"/>
                <w:sz w:val="23"/>
              </w:rPr>
              <w:t xml:space="preserve">Qayoom et al. </w:t>
            </w:r>
            <w:r>
              <w:rPr>
                <w:sz w:val="23"/>
              </w:rPr>
              <w:t>(</w:t>
            </w:r>
            <w:r>
              <w:rPr>
                <w:color w:val="0000FF"/>
                <w:sz w:val="23"/>
              </w:rPr>
              <w:t>2024</w:t>
            </w:r>
            <w:r>
              <w:rPr>
                <w:sz w:val="23"/>
              </w:rPr>
              <w:t>)</w:t>
            </w:r>
          </w:p>
        </w:tc>
      </w:tr>
      <w:tr w:rsidR="00453D7A" w14:paraId="3B7B7ECC" w14:textId="77777777">
        <w:trPr>
          <w:trHeight w:val="1672"/>
        </w:trPr>
        <w:tc>
          <w:tcPr>
            <w:tcW w:w="729" w:type="dxa"/>
            <w:tcBorders>
              <w:top w:val="single" w:sz="4" w:space="0" w:color="000000"/>
              <w:left w:val="single" w:sz="4" w:space="0" w:color="000000"/>
              <w:bottom w:val="single" w:sz="4" w:space="0" w:color="000000"/>
              <w:right w:val="single" w:sz="4" w:space="0" w:color="000000"/>
            </w:tcBorders>
          </w:tcPr>
          <w:p w14:paraId="6F914155" w14:textId="77777777" w:rsidR="00453D7A" w:rsidRDefault="00000000">
            <w:pPr>
              <w:spacing w:after="0" w:line="259" w:lineRule="auto"/>
              <w:ind w:left="0" w:right="0" w:firstLine="0"/>
            </w:pPr>
            <w:r>
              <w:rPr>
                <w:sz w:val="23"/>
              </w:rPr>
              <w:t>TR5</w:t>
            </w:r>
          </w:p>
        </w:tc>
        <w:tc>
          <w:tcPr>
            <w:tcW w:w="5533" w:type="dxa"/>
            <w:tcBorders>
              <w:top w:val="single" w:sz="4" w:space="0" w:color="000000"/>
              <w:left w:val="single" w:sz="4" w:space="0" w:color="000000"/>
              <w:bottom w:val="single" w:sz="4" w:space="0" w:color="000000"/>
              <w:right w:val="single" w:sz="4" w:space="0" w:color="000000"/>
            </w:tcBorders>
          </w:tcPr>
          <w:p w14:paraId="32843C1C" w14:textId="77777777" w:rsidR="00453D7A" w:rsidRDefault="00000000">
            <w:pPr>
              <w:spacing w:after="0" w:line="259" w:lineRule="auto"/>
              <w:ind w:left="0" w:right="0" w:firstLine="0"/>
              <w:jc w:val="left"/>
            </w:pPr>
            <w:r>
              <w:rPr>
                <w:sz w:val="23"/>
              </w:rPr>
              <w:t>The baseline model must be implemented using XGBoost.</w:t>
            </w:r>
          </w:p>
        </w:tc>
        <w:tc>
          <w:tcPr>
            <w:tcW w:w="2576" w:type="dxa"/>
            <w:tcBorders>
              <w:top w:val="single" w:sz="4" w:space="0" w:color="000000"/>
              <w:left w:val="single" w:sz="4" w:space="0" w:color="000000"/>
              <w:bottom w:val="single" w:sz="4" w:space="0" w:color="000000"/>
              <w:right w:val="single" w:sz="4" w:space="0" w:color="000000"/>
            </w:tcBorders>
          </w:tcPr>
          <w:p w14:paraId="1602DD1C" w14:textId="77777777" w:rsidR="00453D7A" w:rsidRDefault="00000000">
            <w:pPr>
              <w:spacing w:after="0" w:line="279" w:lineRule="auto"/>
              <w:ind w:left="0" w:right="0" w:firstLine="0"/>
            </w:pPr>
            <w:r>
              <w:rPr>
                <w:sz w:val="23"/>
              </w:rPr>
              <w:t xml:space="preserve">Literature </w:t>
            </w:r>
            <w:r>
              <w:rPr>
                <w:color w:val="0000FF"/>
                <w:sz w:val="23"/>
              </w:rPr>
              <w:t xml:space="preserve">Youssef et al. </w:t>
            </w:r>
            <w:r>
              <w:rPr>
                <w:sz w:val="23"/>
              </w:rPr>
              <w:t>(</w:t>
            </w:r>
            <w:r>
              <w:rPr>
                <w:color w:val="0000FF"/>
                <w:sz w:val="23"/>
              </w:rPr>
              <w:t>2023</w:t>
            </w:r>
            <w:r>
              <w:rPr>
                <w:sz w:val="23"/>
              </w:rPr>
              <w:t xml:space="preserve">) and Industry practice </w:t>
            </w:r>
            <w:r>
              <w:rPr>
                <w:color w:val="0000FF"/>
                <w:sz w:val="23"/>
              </w:rPr>
              <w:t xml:space="preserve">Attard and de Bruijn </w:t>
            </w:r>
            <w:r>
              <w:rPr>
                <w:sz w:val="23"/>
              </w:rPr>
              <w:t>(</w:t>
            </w:r>
            <w:r>
              <w:rPr>
                <w:color w:val="0000FF"/>
                <w:sz w:val="23"/>
              </w:rPr>
              <w:t>2026</w:t>
            </w:r>
            <w:r>
              <w:rPr>
                <w:sz w:val="23"/>
              </w:rPr>
              <w:t xml:space="preserve">); </w:t>
            </w:r>
            <w:r>
              <w:rPr>
                <w:color w:val="0000FF"/>
                <w:sz w:val="23"/>
              </w:rPr>
              <w:t>Menon and Nguyen</w:t>
            </w:r>
          </w:p>
          <w:p w14:paraId="06E933F9" w14:textId="77777777" w:rsidR="00453D7A" w:rsidRDefault="00000000">
            <w:pPr>
              <w:spacing w:after="0" w:line="259" w:lineRule="auto"/>
              <w:ind w:left="0" w:right="0" w:firstLine="0"/>
              <w:jc w:val="left"/>
            </w:pPr>
            <w:r>
              <w:rPr>
                <w:sz w:val="23"/>
              </w:rPr>
              <w:t>(</w:t>
            </w:r>
            <w:r>
              <w:rPr>
                <w:color w:val="0000FF"/>
                <w:sz w:val="23"/>
              </w:rPr>
              <w:t>2026</w:t>
            </w:r>
            <w:r>
              <w:rPr>
                <w:sz w:val="23"/>
              </w:rPr>
              <w:t>)</w:t>
            </w:r>
          </w:p>
        </w:tc>
      </w:tr>
    </w:tbl>
    <w:p w14:paraId="0BBC1973" w14:textId="77777777" w:rsidR="00453D7A" w:rsidRDefault="00000000">
      <w:r>
        <w:br w:type="page"/>
      </w:r>
    </w:p>
    <w:p w14:paraId="4A29133D" w14:textId="77777777" w:rsidR="00453D7A" w:rsidRDefault="00000000">
      <w:pPr>
        <w:pStyle w:val="Heading1"/>
        <w:ind w:left="469" w:hanging="484"/>
      </w:pPr>
      <w:r>
        <w:lastRenderedPageBreak/>
        <w:t>Data</w:t>
      </w:r>
    </w:p>
    <w:p w14:paraId="24D3E96C" w14:textId="77777777" w:rsidR="00453D7A" w:rsidRDefault="00000000">
      <w:pPr>
        <w:spacing w:after="338"/>
        <w:ind w:left="-5" w:right="900"/>
      </w:pPr>
      <w:r>
        <w:t>This chapter describes the dataset selected for this research, its characteristics, the preprocessing steps applied, and the risks and biases associated with its use.</w:t>
      </w:r>
    </w:p>
    <w:p w14:paraId="70AE9B0A" w14:textId="77777777" w:rsidR="00453D7A" w:rsidRDefault="00000000">
      <w:pPr>
        <w:pStyle w:val="Heading2"/>
        <w:ind w:left="598" w:hanging="613"/>
      </w:pPr>
      <w:r>
        <w:t>Data Sources</w:t>
      </w:r>
    </w:p>
    <w:p w14:paraId="757EC16C" w14:textId="77777777" w:rsidR="00453D7A" w:rsidRDefault="00000000">
      <w:pPr>
        <w:ind w:left="-5" w:right="900"/>
      </w:pPr>
      <w:r>
        <w:t xml:space="preserve">Real-world AML datasets are not publicly available due to privacy and legal constraints </w:t>
      </w:r>
      <w:r>
        <w:rPr>
          <w:color w:val="0000FF"/>
        </w:rPr>
        <w:t xml:space="preserve">Jensen et al. </w:t>
      </w:r>
      <w:r>
        <w:t>(</w:t>
      </w:r>
      <w:r>
        <w:rPr>
          <w:color w:val="0000FF"/>
        </w:rPr>
        <w:t>2023</w:t>
      </w:r>
      <w:r>
        <w:t xml:space="preserve">), making synthetic datasets the only viable option for this research. Multiple synthetic datasets were considered, as shown in Table </w:t>
      </w:r>
      <w:r>
        <w:rPr>
          <w:color w:val="0000FF"/>
        </w:rPr>
        <w:t>5</w:t>
      </w:r>
      <w:r>
        <w:t xml:space="preserve">. Note that IBM AML appears six times in the table since it provides six variations of its dataset </w:t>
      </w:r>
      <w:r>
        <w:rPr>
          <w:color w:val="0000FF"/>
        </w:rPr>
        <w:t xml:space="preserve">Altman </w:t>
      </w:r>
      <w:r>
        <w:t>(</w:t>
      </w:r>
      <w:r>
        <w:rPr>
          <w:color w:val="0000FF"/>
        </w:rPr>
        <w:t>2019</w:t>
      </w:r>
      <w:r>
        <w:t xml:space="preserve">). It is also worth noting that the IBM datasets, SAML-D and </w:t>
      </w:r>
      <w:r>
        <w:rPr>
          <w:i/>
        </w:rPr>
        <w:t xml:space="preserve">money laundering data </w:t>
      </w:r>
      <w:r>
        <w:t xml:space="preserve">provide a data generator, meaning that if the data volume or class imbalance of the existing dataset is not suitable, additional data can be generated as needed </w:t>
      </w:r>
      <w:r>
        <w:rPr>
          <w:color w:val="0000FF"/>
        </w:rPr>
        <w:t xml:space="preserve">Oztas et al. </w:t>
      </w:r>
      <w:r>
        <w:t>(</w:t>
      </w:r>
      <w:r>
        <w:rPr>
          <w:color w:val="0000FF"/>
        </w:rPr>
        <w:t>2023</w:t>
      </w:r>
      <w:r>
        <w:t xml:space="preserve">); </w:t>
      </w:r>
      <w:r>
        <w:rPr>
          <w:color w:val="0000FF"/>
        </w:rPr>
        <w:t xml:space="preserve">Mahootiha </w:t>
      </w:r>
      <w:r>
        <w:t>(</w:t>
      </w:r>
      <w:r>
        <w:rPr>
          <w:color w:val="0000FF"/>
        </w:rPr>
        <w:t>2023</w:t>
      </w:r>
      <w:r>
        <w:t>).</w:t>
      </w:r>
    </w:p>
    <w:p w14:paraId="1ACF3091" w14:textId="77777777" w:rsidR="00453D7A" w:rsidRDefault="00000000">
      <w:pPr>
        <w:ind w:left="-15" w:right="900" w:firstLine="299"/>
      </w:pPr>
      <w:r>
        <w:t xml:space="preserve">From a representativeness perspective, SynthAML would have been the most suitable dataset for this research. It is the only dataset grounded in real EU banking data, having been synthesized from actual transactions at Spar Nord, a Danish bank operating under the same EU regulatory framework as Dutch banks </w:t>
      </w:r>
      <w:r>
        <w:rPr>
          <w:color w:val="0000FF"/>
        </w:rPr>
        <w:t xml:space="preserve">Jensen et al. </w:t>
      </w:r>
      <w:r>
        <w:t>(</w:t>
      </w:r>
      <w:r>
        <w:rPr>
          <w:color w:val="0000FF"/>
        </w:rPr>
        <w:t>2023</w:t>
      </w:r>
      <w:r>
        <w:t>). However, SynthAML does not include a data generator and contains only 20,000 transactions, which is insufficient for training deep learning models such as a DQN.</w:t>
      </w:r>
    </w:p>
    <w:p w14:paraId="1986E68C" w14:textId="77777777" w:rsidR="00453D7A" w:rsidRDefault="00000000">
      <w:pPr>
        <w:spacing w:after="386"/>
        <w:ind w:left="-15" w:right="900" w:firstLine="299"/>
      </w:pPr>
      <w:r>
        <w:t xml:space="preserve">The remaining viable options are IBM AML and SAML-D, neither of which is specifically representative of the Dutch or EU banking context. Between these two, SAML-D was selected because it includes the </w:t>
      </w:r>
      <w:r>
        <w:rPr>
          <w:rFonts w:ascii="Calibri" w:eastAsia="Calibri" w:hAnsi="Calibri" w:cs="Calibri"/>
        </w:rPr>
        <w:t xml:space="preserve">Laundering type </w:t>
      </w:r>
      <w:r>
        <w:t>field, which is absent from IBM AML. This field labels not only whether a transaction is suspicious, but also which laundering pattern it belongs to, such as smurfing or over-invoicing. This enables a more granular evaluation of model performance per pattern type, and during stakeholder evaluation allows investigators to assess whether the model detects specific schemes differently.</w:t>
      </w:r>
    </w:p>
    <w:p w14:paraId="6747415A" w14:textId="77777777" w:rsidR="00453D7A" w:rsidRDefault="00000000">
      <w:pPr>
        <w:spacing w:after="0" w:line="265" w:lineRule="auto"/>
        <w:ind w:right="915"/>
        <w:jc w:val="center"/>
      </w:pPr>
      <w:r>
        <w:t>Table 5: AML Dataset Comparison</w:t>
      </w:r>
    </w:p>
    <w:tbl>
      <w:tblPr>
        <w:tblStyle w:val="TableGrid"/>
        <w:tblW w:w="8839" w:type="dxa"/>
        <w:tblInd w:w="0" w:type="dxa"/>
        <w:tblCellMar>
          <w:top w:w="28" w:type="dxa"/>
          <w:left w:w="100" w:type="dxa"/>
          <w:bottom w:w="0" w:type="dxa"/>
          <w:right w:w="100" w:type="dxa"/>
        </w:tblCellMar>
        <w:tblLook w:val="04A0" w:firstRow="1" w:lastRow="0" w:firstColumn="1" w:lastColumn="0" w:noHBand="0" w:noVBand="1"/>
      </w:tblPr>
      <w:tblGrid>
        <w:gridCol w:w="1963"/>
        <w:gridCol w:w="706"/>
        <w:gridCol w:w="905"/>
        <w:gridCol w:w="882"/>
        <w:gridCol w:w="733"/>
        <w:gridCol w:w="864"/>
        <w:gridCol w:w="1509"/>
        <w:gridCol w:w="1277"/>
      </w:tblGrid>
      <w:tr w:rsidR="00453D7A" w14:paraId="48725E85" w14:textId="77777777">
        <w:trPr>
          <w:trHeight w:val="206"/>
        </w:trPr>
        <w:tc>
          <w:tcPr>
            <w:tcW w:w="1984" w:type="dxa"/>
            <w:tcBorders>
              <w:top w:val="single" w:sz="3" w:space="0" w:color="000000"/>
              <w:left w:val="single" w:sz="3" w:space="0" w:color="000000"/>
              <w:bottom w:val="single" w:sz="3" w:space="0" w:color="000000"/>
              <w:right w:val="single" w:sz="3" w:space="0" w:color="000000"/>
            </w:tcBorders>
          </w:tcPr>
          <w:p w14:paraId="33A31840" w14:textId="77777777" w:rsidR="00453D7A" w:rsidRDefault="00000000">
            <w:pPr>
              <w:spacing w:after="0" w:line="259" w:lineRule="auto"/>
              <w:ind w:left="0" w:right="0" w:firstLine="0"/>
              <w:jc w:val="left"/>
            </w:pPr>
            <w:r>
              <w:rPr>
                <w:b/>
                <w:sz w:val="17"/>
              </w:rPr>
              <w:t>Dataset</w:t>
            </w:r>
          </w:p>
        </w:tc>
        <w:tc>
          <w:tcPr>
            <w:tcW w:w="660" w:type="dxa"/>
            <w:tcBorders>
              <w:top w:val="single" w:sz="3" w:space="0" w:color="000000"/>
              <w:left w:val="single" w:sz="3" w:space="0" w:color="000000"/>
              <w:bottom w:val="single" w:sz="3" w:space="0" w:color="000000"/>
              <w:right w:val="single" w:sz="3" w:space="0" w:color="000000"/>
            </w:tcBorders>
          </w:tcPr>
          <w:p w14:paraId="12E62113" w14:textId="77777777" w:rsidR="00453D7A" w:rsidRDefault="00000000">
            <w:pPr>
              <w:spacing w:after="0" w:line="259" w:lineRule="auto"/>
              <w:ind w:left="0" w:right="0" w:firstLine="0"/>
              <w:jc w:val="left"/>
            </w:pPr>
            <w:r>
              <w:rPr>
                <w:b/>
                <w:sz w:val="17"/>
              </w:rPr>
              <w:t>Rows</w:t>
            </w:r>
          </w:p>
        </w:tc>
        <w:tc>
          <w:tcPr>
            <w:tcW w:w="906" w:type="dxa"/>
            <w:tcBorders>
              <w:top w:val="single" w:sz="3" w:space="0" w:color="000000"/>
              <w:left w:val="single" w:sz="3" w:space="0" w:color="000000"/>
              <w:bottom w:val="single" w:sz="3" w:space="0" w:color="000000"/>
              <w:right w:val="single" w:sz="3" w:space="0" w:color="000000"/>
            </w:tcBorders>
          </w:tcPr>
          <w:p w14:paraId="218F96DE" w14:textId="77777777" w:rsidR="00453D7A" w:rsidRDefault="00000000">
            <w:pPr>
              <w:spacing w:after="0" w:line="259" w:lineRule="auto"/>
              <w:ind w:left="0" w:right="0" w:firstLine="0"/>
              <w:jc w:val="left"/>
            </w:pPr>
            <w:r>
              <w:rPr>
                <w:b/>
                <w:sz w:val="17"/>
              </w:rPr>
              <w:t>Features</w:t>
            </w:r>
          </w:p>
        </w:tc>
        <w:tc>
          <w:tcPr>
            <w:tcW w:w="882" w:type="dxa"/>
            <w:tcBorders>
              <w:top w:val="single" w:sz="3" w:space="0" w:color="000000"/>
              <w:left w:val="single" w:sz="3" w:space="0" w:color="000000"/>
              <w:bottom w:val="single" w:sz="3" w:space="0" w:color="000000"/>
              <w:right w:val="single" w:sz="3" w:space="0" w:color="000000"/>
            </w:tcBorders>
          </w:tcPr>
          <w:p w14:paraId="1C9B88A2" w14:textId="77777777" w:rsidR="00453D7A" w:rsidRDefault="00000000">
            <w:pPr>
              <w:spacing w:after="0" w:line="259" w:lineRule="auto"/>
              <w:ind w:left="0" w:right="0" w:firstLine="0"/>
              <w:jc w:val="left"/>
            </w:pPr>
            <w:r>
              <w:rPr>
                <w:b/>
                <w:sz w:val="17"/>
              </w:rPr>
              <w:t>Type</w:t>
            </w:r>
          </w:p>
        </w:tc>
        <w:tc>
          <w:tcPr>
            <w:tcW w:w="734" w:type="dxa"/>
            <w:tcBorders>
              <w:top w:val="single" w:sz="3" w:space="0" w:color="000000"/>
              <w:left w:val="single" w:sz="3" w:space="0" w:color="000000"/>
              <w:bottom w:val="single" w:sz="3" w:space="0" w:color="000000"/>
              <w:right w:val="single" w:sz="3" w:space="0" w:color="000000"/>
            </w:tcBorders>
          </w:tcPr>
          <w:p w14:paraId="15D57B5B" w14:textId="77777777" w:rsidR="00453D7A" w:rsidRDefault="00000000">
            <w:pPr>
              <w:spacing w:after="0" w:line="259" w:lineRule="auto"/>
              <w:ind w:left="0" w:right="0" w:firstLine="0"/>
              <w:jc w:val="left"/>
            </w:pPr>
            <w:r>
              <w:rPr>
                <w:b/>
                <w:sz w:val="17"/>
              </w:rPr>
              <w:t>Labels</w:t>
            </w:r>
          </w:p>
        </w:tc>
        <w:tc>
          <w:tcPr>
            <w:tcW w:w="864" w:type="dxa"/>
            <w:tcBorders>
              <w:top w:val="single" w:sz="3" w:space="0" w:color="000000"/>
              <w:left w:val="single" w:sz="3" w:space="0" w:color="000000"/>
              <w:bottom w:val="single" w:sz="3" w:space="0" w:color="000000"/>
              <w:right w:val="single" w:sz="3" w:space="0" w:color="000000"/>
            </w:tcBorders>
          </w:tcPr>
          <w:p w14:paraId="39EA16FE" w14:textId="77777777" w:rsidR="00453D7A" w:rsidRDefault="00000000">
            <w:pPr>
              <w:spacing w:after="0" w:line="259" w:lineRule="auto"/>
              <w:ind w:left="0" w:right="0" w:firstLine="0"/>
            </w:pPr>
            <w:r>
              <w:rPr>
                <w:b/>
                <w:sz w:val="17"/>
              </w:rPr>
              <w:t>% fraud</w:t>
            </w:r>
          </w:p>
        </w:tc>
        <w:tc>
          <w:tcPr>
            <w:tcW w:w="1520" w:type="dxa"/>
            <w:tcBorders>
              <w:top w:val="single" w:sz="3" w:space="0" w:color="000000"/>
              <w:left w:val="single" w:sz="3" w:space="0" w:color="000000"/>
              <w:bottom w:val="single" w:sz="3" w:space="0" w:color="000000"/>
              <w:right w:val="single" w:sz="3" w:space="0" w:color="000000"/>
            </w:tcBorders>
          </w:tcPr>
          <w:p w14:paraId="6480EC4E" w14:textId="77777777" w:rsidR="00453D7A" w:rsidRDefault="00000000">
            <w:pPr>
              <w:spacing w:after="0" w:line="259" w:lineRule="auto"/>
              <w:ind w:left="0" w:right="0" w:firstLine="0"/>
              <w:jc w:val="left"/>
            </w:pPr>
            <w:r>
              <w:rPr>
                <w:b/>
                <w:sz w:val="17"/>
              </w:rPr>
              <w:t>Data Generator</w:t>
            </w:r>
          </w:p>
        </w:tc>
        <w:tc>
          <w:tcPr>
            <w:tcW w:w="1289" w:type="dxa"/>
            <w:tcBorders>
              <w:top w:val="single" w:sz="3" w:space="0" w:color="000000"/>
              <w:left w:val="single" w:sz="3" w:space="0" w:color="000000"/>
              <w:bottom w:val="single" w:sz="3" w:space="0" w:color="000000"/>
              <w:right w:val="single" w:sz="3" w:space="0" w:color="000000"/>
            </w:tcBorders>
          </w:tcPr>
          <w:p w14:paraId="40F66AF7" w14:textId="77777777" w:rsidR="00453D7A" w:rsidRDefault="00000000">
            <w:pPr>
              <w:spacing w:after="0" w:line="259" w:lineRule="auto"/>
              <w:ind w:left="0" w:right="0" w:firstLine="0"/>
              <w:jc w:val="left"/>
            </w:pPr>
            <w:r>
              <w:rPr>
                <w:b/>
                <w:sz w:val="17"/>
              </w:rPr>
              <w:t>Kaggle Score</w:t>
            </w:r>
          </w:p>
        </w:tc>
      </w:tr>
      <w:tr w:rsidR="00453D7A" w14:paraId="39BFCA12" w14:textId="77777777">
        <w:trPr>
          <w:trHeight w:val="206"/>
        </w:trPr>
        <w:tc>
          <w:tcPr>
            <w:tcW w:w="1984" w:type="dxa"/>
            <w:tcBorders>
              <w:top w:val="single" w:sz="3" w:space="0" w:color="000000"/>
              <w:left w:val="single" w:sz="3" w:space="0" w:color="000000"/>
              <w:bottom w:val="single" w:sz="3" w:space="0" w:color="000000"/>
              <w:right w:val="single" w:sz="3" w:space="0" w:color="000000"/>
            </w:tcBorders>
          </w:tcPr>
          <w:p w14:paraId="66A0F785" w14:textId="77777777" w:rsidR="00453D7A" w:rsidRDefault="00000000">
            <w:pPr>
              <w:spacing w:after="0" w:line="259" w:lineRule="auto"/>
              <w:ind w:left="0" w:right="0" w:firstLine="0"/>
              <w:jc w:val="left"/>
            </w:pPr>
            <w:r>
              <w:rPr>
                <w:sz w:val="17"/>
              </w:rPr>
              <w:t>IBM AML (HI-Large)</w:t>
            </w:r>
          </w:p>
        </w:tc>
        <w:tc>
          <w:tcPr>
            <w:tcW w:w="660" w:type="dxa"/>
            <w:tcBorders>
              <w:top w:val="single" w:sz="3" w:space="0" w:color="000000"/>
              <w:left w:val="single" w:sz="3" w:space="0" w:color="000000"/>
              <w:bottom w:val="single" w:sz="3" w:space="0" w:color="000000"/>
              <w:right w:val="single" w:sz="3" w:space="0" w:color="000000"/>
            </w:tcBorders>
          </w:tcPr>
          <w:p w14:paraId="4844960A" w14:textId="77777777" w:rsidR="00453D7A" w:rsidRDefault="00000000">
            <w:pPr>
              <w:spacing w:after="0" w:line="259" w:lineRule="auto"/>
              <w:ind w:left="55" w:right="0" w:firstLine="0"/>
              <w:jc w:val="left"/>
            </w:pPr>
            <w:r>
              <w:rPr>
                <w:sz w:val="17"/>
              </w:rPr>
              <w:t>180M</w:t>
            </w:r>
          </w:p>
        </w:tc>
        <w:tc>
          <w:tcPr>
            <w:tcW w:w="906" w:type="dxa"/>
            <w:tcBorders>
              <w:top w:val="single" w:sz="3" w:space="0" w:color="000000"/>
              <w:left w:val="single" w:sz="3" w:space="0" w:color="000000"/>
              <w:bottom w:val="single" w:sz="3" w:space="0" w:color="000000"/>
              <w:right w:val="single" w:sz="3" w:space="0" w:color="000000"/>
            </w:tcBorders>
          </w:tcPr>
          <w:p w14:paraId="0A3CC69E" w14:textId="77777777" w:rsidR="00453D7A" w:rsidRDefault="00000000">
            <w:pPr>
              <w:spacing w:after="0" w:line="259" w:lineRule="auto"/>
              <w:ind w:left="0" w:right="0" w:firstLine="0"/>
              <w:jc w:val="left"/>
            </w:pPr>
            <w:r>
              <w:rPr>
                <w:sz w:val="17"/>
              </w:rPr>
              <w:t>11</w:t>
            </w:r>
          </w:p>
        </w:tc>
        <w:tc>
          <w:tcPr>
            <w:tcW w:w="882" w:type="dxa"/>
            <w:tcBorders>
              <w:top w:val="single" w:sz="3" w:space="0" w:color="000000"/>
              <w:left w:val="single" w:sz="3" w:space="0" w:color="000000"/>
              <w:bottom w:val="single" w:sz="3" w:space="0" w:color="000000"/>
              <w:right w:val="single" w:sz="3" w:space="0" w:color="000000"/>
            </w:tcBorders>
          </w:tcPr>
          <w:p w14:paraId="589C4BBA" w14:textId="77777777" w:rsidR="00453D7A" w:rsidRDefault="00000000">
            <w:pPr>
              <w:spacing w:after="0" w:line="259" w:lineRule="auto"/>
              <w:ind w:left="0" w:right="0" w:firstLine="0"/>
              <w:jc w:val="left"/>
            </w:pPr>
            <w:r>
              <w:rPr>
                <w:sz w:val="17"/>
              </w:rPr>
              <w:t>Synthetic</w:t>
            </w:r>
          </w:p>
        </w:tc>
        <w:tc>
          <w:tcPr>
            <w:tcW w:w="734" w:type="dxa"/>
            <w:tcBorders>
              <w:top w:val="single" w:sz="3" w:space="0" w:color="000000"/>
              <w:left w:val="single" w:sz="3" w:space="0" w:color="000000"/>
              <w:bottom w:val="single" w:sz="3" w:space="0" w:color="000000"/>
              <w:right w:val="single" w:sz="3" w:space="0" w:color="000000"/>
            </w:tcBorders>
          </w:tcPr>
          <w:p w14:paraId="7F11FE7A" w14:textId="77777777" w:rsidR="00453D7A" w:rsidRDefault="00000000">
            <w:pPr>
              <w:spacing w:after="0" w:line="259" w:lineRule="auto"/>
              <w:ind w:left="0" w:right="0" w:firstLine="0"/>
              <w:jc w:val="left"/>
            </w:pPr>
            <w:r>
              <w:rPr>
                <w:sz w:val="17"/>
              </w:rPr>
              <w:t>Yes</w:t>
            </w:r>
          </w:p>
        </w:tc>
        <w:tc>
          <w:tcPr>
            <w:tcW w:w="864" w:type="dxa"/>
            <w:tcBorders>
              <w:top w:val="single" w:sz="3" w:space="0" w:color="000000"/>
              <w:left w:val="single" w:sz="3" w:space="0" w:color="000000"/>
              <w:bottom w:val="single" w:sz="3" w:space="0" w:color="000000"/>
              <w:right w:val="single" w:sz="3" w:space="0" w:color="000000"/>
            </w:tcBorders>
          </w:tcPr>
          <w:p w14:paraId="705C7B57" w14:textId="77777777" w:rsidR="00453D7A" w:rsidRDefault="00000000">
            <w:pPr>
              <w:spacing w:after="0" w:line="259" w:lineRule="auto"/>
              <w:ind w:left="0" w:right="0" w:firstLine="0"/>
              <w:jc w:val="left"/>
            </w:pPr>
            <w:r>
              <w:rPr>
                <w:sz w:val="17"/>
              </w:rPr>
              <w:t>0.125%</w:t>
            </w:r>
          </w:p>
        </w:tc>
        <w:tc>
          <w:tcPr>
            <w:tcW w:w="1520" w:type="dxa"/>
            <w:tcBorders>
              <w:top w:val="single" w:sz="3" w:space="0" w:color="000000"/>
              <w:left w:val="single" w:sz="3" w:space="0" w:color="000000"/>
              <w:bottom w:val="single" w:sz="3" w:space="0" w:color="000000"/>
              <w:right w:val="single" w:sz="3" w:space="0" w:color="000000"/>
            </w:tcBorders>
          </w:tcPr>
          <w:p w14:paraId="26F49D89" w14:textId="77777777" w:rsidR="00453D7A" w:rsidRDefault="00000000">
            <w:pPr>
              <w:spacing w:after="0" w:line="259" w:lineRule="auto"/>
              <w:ind w:left="0" w:right="0" w:firstLine="0"/>
              <w:jc w:val="left"/>
            </w:pPr>
            <w:r>
              <w:rPr>
                <w:sz w:val="17"/>
              </w:rPr>
              <w:t>Yes</w:t>
            </w:r>
          </w:p>
        </w:tc>
        <w:tc>
          <w:tcPr>
            <w:tcW w:w="1289" w:type="dxa"/>
            <w:tcBorders>
              <w:top w:val="single" w:sz="3" w:space="0" w:color="000000"/>
              <w:left w:val="single" w:sz="3" w:space="0" w:color="000000"/>
              <w:bottom w:val="single" w:sz="3" w:space="0" w:color="000000"/>
              <w:right w:val="single" w:sz="3" w:space="0" w:color="000000"/>
            </w:tcBorders>
          </w:tcPr>
          <w:p w14:paraId="114C5E06" w14:textId="77777777" w:rsidR="00453D7A" w:rsidRDefault="00000000">
            <w:pPr>
              <w:spacing w:after="0" w:line="259" w:lineRule="auto"/>
              <w:ind w:left="0" w:right="0" w:firstLine="0"/>
              <w:jc w:val="left"/>
            </w:pPr>
            <w:r>
              <w:rPr>
                <w:sz w:val="17"/>
              </w:rPr>
              <w:t>9.41</w:t>
            </w:r>
          </w:p>
        </w:tc>
      </w:tr>
      <w:tr w:rsidR="00453D7A" w14:paraId="151AAFCB" w14:textId="77777777">
        <w:trPr>
          <w:trHeight w:val="206"/>
        </w:trPr>
        <w:tc>
          <w:tcPr>
            <w:tcW w:w="1984" w:type="dxa"/>
            <w:tcBorders>
              <w:top w:val="single" w:sz="3" w:space="0" w:color="000000"/>
              <w:left w:val="single" w:sz="3" w:space="0" w:color="000000"/>
              <w:bottom w:val="single" w:sz="3" w:space="0" w:color="000000"/>
              <w:right w:val="single" w:sz="3" w:space="0" w:color="000000"/>
            </w:tcBorders>
          </w:tcPr>
          <w:p w14:paraId="0DB7EFBB" w14:textId="77777777" w:rsidR="00453D7A" w:rsidRDefault="00000000">
            <w:pPr>
              <w:spacing w:after="0" w:line="259" w:lineRule="auto"/>
              <w:ind w:left="0" w:right="0" w:firstLine="0"/>
              <w:jc w:val="left"/>
            </w:pPr>
            <w:r>
              <w:rPr>
                <w:sz w:val="17"/>
              </w:rPr>
              <w:t>IBM AML (HI-Medium)</w:t>
            </w:r>
          </w:p>
        </w:tc>
        <w:tc>
          <w:tcPr>
            <w:tcW w:w="660" w:type="dxa"/>
            <w:tcBorders>
              <w:top w:val="single" w:sz="3" w:space="0" w:color="000000"/>
              <w:left w:val="single" w:sz="3" w:space="0" w:color="000000"/>
              <w:bottom w:val="single" w:sz="3" w:space="0" w:color="000000"/>
              <w:right w:val="single" w:sz="3" w:space="0" w:color="000000"/>
            </w:tcBorders>
          </w:tcPr>
          <w:p w14:paraId="64748E95" w14:textId="77777777" w:rsidR="00453D7A" w:rsidRDefault="00000000">
            <w:pPr>
              <w:spacing w:after="0" w:line="259" w:lineRule="auto"/>
              <w:ind w:left="55" w:right="0" w:firstLine="0"/>
              <w:jc w:val="left"/>
            </w:pPr>
            <w:r>
              <w:rPr>
                <w:sz w:val="17"/>
              </w:rPr>
              <w:t>32M</w:t>
            </w:r>
          </w:p>
        </w:tc>
        <w:tc>
          <w:tcPr>
            <w:tcW w:w="906" w:type="dxa"/>
            <w:tcBorders>
              <w:top w:val="single" w:sz="3" w:space="0" w:color="000000"/>
              <w:left w:val="single" w:sz="3" w:space="0" w:color="000000"/>
              <w:bottom w:val="single" w:sz="3" w:space="0" w:color="000000"/>
              <w:right w:val="single" w:sz="3" w:space="0" w:color="000000"/>
            </w:tcBorders>
          </w:tcPr>
          <w:p w14:paraId="668EC610" w14:textId="77777777" w:rsidR="00453D7A" w:rsidRDefault="00000000">
            <w:pPr>
              <w:spacing w:after="0" w:line="259" w:lineRule="auto"/>
              <w:ind w:left="0" w:right="0" w:firstLine="0"/>
              <w:jc w:val="left"/>
            </w:pPr>
            <w:r>
              <w:rPr>
                <w:sz w:val="17"/>
              </w:rPr>
              <w:t>11</w:t>
            </w:r>
          </w:p>
        </w:tc>
        <w:tc>
          <w:tcPr>
            <w:tcW w:w="882" w:type="dxa"/>
            <w:tcBorders>
              <w:top w:val="single" w:sz="3" w:space="0" w:color="000000"/>
              <w:left w:val="single" w:sz="3" w:space="0" w:color="000000"/>
              <w:bottom w:val="single" w:sz="3" w:space="0" w:color="000000"/>
              <w:right w:val="single" w:sz="3" w:space="0" w:color="000000"/>
            </w:tcBorders>
          </w:tcPr>
          <w:p w14:paraId="0E514F26" w14:textId="77777777" w:rsidR="00453D7A" w:rsidRDefault="00000000">
            <w:pPr>
              <w:spacing w:after="0" w:line="259" w:lineRule="auto"/>
              <w:ind w:left="0" w:right="0" w:firstLine="0"/>
              <w:jc w:val="left"/>
            </w:pPr>
            <w:r>
              <w:rPr>
                <w:sz w:val="17"/>
              </w:rPr>
              <w:t>Synthetic</w:t>
            </w:r>
          </w:p>
        </w:tc>
        <w:tc>
          <w:tcPr>
            <w:tcW w:w="734" w:type="dxa"/>
            <w:tcBorders>
              <w:top w:val="single" w:sz="3" w:space="0" w:color="000000"/>
              <w:left w:val="single" w:sz="3" w:space="0" w:color="000000"/>
              <w:bottom w:val="single" w:sz="3" w:space="0" w:color="000000"/>
              <w:right w:val="single" w:sz="3" w:space="0" w:color="000000"/>
            </w:tcBorders>
          </w:tcPr>
          <w:p w14:paraId="60561788" w14:textId="77777777" w:rsidR="00453D7A" w:rsidRDefault="00000000">
            <w:pPr>
              <w:spacing w:after="0" w:line="259" w:lineRule="auto"/>
              <w:ind w:left="0" w:right="0" w:firstLine="0"/>
              <w:jc w:val="left"/>
            </w:pPr>
            <w:r>
              <w:rPr>
                <w:sz w:val="17"/>
              </w:rPr>
              <w:t>Yes</w:t>
            </w:r>
          </w:p>
        </w:tc>
        <w:tc>
          <w:tcPr>
            <w:tcW w:w="864" w:type="dxa"/>
            <w:tcBorders>
              <w:top w:val="single" w:sz="3" w:space="0" w:color="000000"/>
              <w:left w:val="single" w:sz="3" w:space="0" w:color="000000"/>
              <w:bottom w:val="single" w:sz="3" w:space="0" w:color="000000"/>
              <w:right w:val="single" w:sz="3" w:space="0" w:color="000000"/>
            </w:tcBorders>
          </w:tcPr>
          <w:p w14:paraId="61D1951F" w14:textId="77777777" w:rsidR="00453D7A" w:rsidRDefault="00000000">
            <w:pPr>
              <w:spacing w:after="0" w:line="259" w:lineRule="auto"/>
              <w:ind w:left="0" w:right="0" w:firstLine="0"/>
              <w:jc w:val="left"/>
            </w:pPr>
            <w:r>
              <w:rPr>
                <w:sz w:val="17"/>
              </w:rPr>
              <w:t>0.110%</w:t>
            </w:r>
          </w:p>
        </w:tc>
        <w:tc>
          <w:tcPr>
            <w:tcW w:w="1520" w:type="dxa"/>
            <w:tcBorders>
              <w:top w:val="single" w:sz="3" w:space="0" w:color="000000"/>
              <w:left w:val="single" w:sz="3" w:space="0" w:color="000000"/>
              <w:bottom w:val="single" w:sz="3" w:space="0" w:color="000000"/>
              <w:right w:val="single" w:sz="3" w:space="0" w:color="000000"/>
            </w:tcBorders>
          </w:tcPr>
          <w:p w14:paraId="4052A280" w14:textId="77777777" w:rsidR="00453D7A" w:rsidRDefault="00000000">
            <w:pPr>
              <w:spacing w:after="0" w:line="259" w:lineRule="auto"/>
              <w:ind w:left="0" w:right="0" w:firstLine="0"/>
              <w:jc w:val="left"/>
            </w:pPr>
            <w:r>
              <w:rPr>
                <w:sz w:val="17"/>
              </w:rPr>
              <w:t>Yes</w:t>
            </w:r>
          </w:p>
        </w:tc>
        <w:tc>
          <w:tcPr>
            <w:tcW w:w="1289" w:type="dxa"/>
            <w:tcBorders>
              <w:top w:val="single" w:sz="3" w:space="0" w:color="000000"/>
              <w:left w:val="single" w:sz="3" w:space="0" w:color="000000"/>
              <w:bottom w:val="single" w:sz="3" w:space="0" w:color="000000"/>
              <w:right w:val="single" w:sz="3" w:space="0" w:color="000000"/>
            </w:tcBorders>
          </w:tcPr>
          <w:p w14:paraId="3D30D2FB" w14:textId="77777777" w:rsidR="00453D7A" w:rsidRDefault="00000000">
            <w:pPr>
              <w:spacing w:after="0" w:line="259" w:lineRule="auto"/>
              <w:ind w:left="0" w:right="0" w:firstLine="0"/>
              <w:jc w:val="left"/>
            </w:pPr>
            <w:r>
              <w:rPr>
                <w:sz w:val="17"/>
              </w:rPr>
              <w:t>9.41</w:t>
            </w:r>
          </w:p>
        </w:tc>
      </w:tr>
      <w:tr w:rsidR="00453D7A" w14:paraId="0D126F44" w14:textId="77777777">
        <w:trPr>
          <w:trHeight w:val="206"/>
        </w:trPr>
        <w:tc>
          <w:tcPr>
            <w:tcW w:w="1984" w:type="dxa"/>
            <w:tcBorders>
              <w:top w:val="single" w:sz="3" w:space="0" w:color="000000"/>
              <w:left w:val="single" w:sz="3" w:space="0" w:color="000000"/>
              <w:bottom w:val="single" w:sz="3" w:space="0" w:color="000000"/>
              <w:right w:val="single" w:sz="3" w:space="0" w:color="000000"/>
            </w:tcBorders>
          </w:tcPr>
          <w:p w14:paraId="3BD6B299" w14:textId="77777777" w:rsidR="00453D7A" w:rsidRDefault="00000000">
            <w:pPr>
              <w:spacing w:after="0" w:line="259" w:lineRule="auto"/>
              <w:ind w:left="0" w:right="0" w:firstLine="0"/>
              <w:jc w:val="left"/>
            </w:pPr>
            <w:r>
              <w:rPr>
                <w:sz w:val="17"/>
              </w:rPr>
              <w:t>IBM AML (HI-Small)</w:t>
            </w:r>
          </w:p>
        </w:tc>
        <w:tc>
          <w:tcPr>
            <w:tcW w:w="660" w:type="dxa"/>
            <w:tcBorders>
              <w:top w:val="single" w:sz="3" w:space="0" w:color="000000"/>
              <w:left w:val="single" w:sz="3" w:space="0" w:color="000000"/>
              <w:bottom w:val="single" w:sz="3" w:space="0" w:color="000000"/>
              <w:right w:val="single" w:sz="3" w:space="0" w:color="000000"/>
            </w:tcBorders>
          </w:tcPr>
          <w:p w14:paraId="368E65BC" w14:textId="77777777" w:rsidR="00453D7A" w:rsidRDefault="00000000">
            <w:pPr>
              <w:spacing w:after="0" w:line="259" w:lineRule="auto"/>
              <w:ind w:left="55" w:right="0" w:firstLine="0"/>
              <w:jc w:val="left"/>
            </w:pPr>
            <w:r>
              <w:rPr>
                <w:sz w:val="17"/>
              </w:rPr>
              <w:t>5M</w:t>
            </w:r>
          </w:p>
        </w:tc>
        <w:tc>
          <w:tcPr>
            <w:tcW w:w="906" w:type="dxa"/>
            <w:tcBorders>
              <w:top w:val="single" w:sz="3" w:space="0" w:color="000000"/>
              <w:left w:val="single" w:sz="3" w:space="0" w:color="000000"/>
              <w:bottom w:val="single" w:sz="3" w:space="0" w:color="000000"/>
              <w:right w:val="single" w:sz="3" w:space="0" w:color="000000"/>
            </w:tcBorders>
          </w:tcPr>
          <w:p w14:paraId="0FE1A216" w14:textId="77777777" w:rsidR="00453D7A" w:rsidRDefault="00000000">
            <w:pPr>
              <w:spacing w:after="0" w:line="259" w:lineRule="auto"/>
              <w:ind w:left="0" w:right="0" w:firstLine="0"/>
              <w:jc w:val="left"/>
            </w:pPr>
            <w:r>
              <w:rPr>
                <w:sz w:val="17"/>
              </w:rPr>
              <w:t>11</w:t>
            </w:r>
          </w:p>
        </w:tc>
        <w:tc>
          <w:tcPr>
            <w:tcW w:w="882" w:type="dxa"/>
            <w:tcBorders>
              <w:top w:val="single" w:sz="3" w:space="0" w:color="000000"/>
              <w:left w:val="single" w:sz="3" w:space="0" w:color="000000"/>
              <w:bottom w:val="single" w:sz="3" w:space="0" w:color="000000"/>
              <w:right w:val="single" w:sz="3" w:space="0" w:color="000000"/>
            </w:tcBorders>
          </w:tcPr>
          <w:p w14:paraId="5E13CFBA" w14:textId="77777777" w:rsidR="00453D7A" w:rsidRDefault="00000000">
            <w:pPr>
              <w:spacing w:after="0" w:line="259" w:lineRule="auto"/>
              <w:ind w:left="0" w:right="0" w:firstLine="0"/>
              <w:jc w:val="left"/>
            </w:pPr>
            <w:r>
              <w:rPr>
                <w:sz w:val="17"/>
              </w:rPr>
              <w:t>Synthetic</w:t>
            </w:r>
          </w:p>
        </w:tc>
        <w:tc>
          <w:tcPr>
            <w:tcW w:w="734" w:type="dxa"/>
            <w:tcBorders>
              <w:top w:val="single" w:sz="3" w:space="0" w:color="000000"/>
              <w:left w:val="single" w:sz="3" w:space="0" w:color="000000"/>
              <w:bottom w:val="single" w:sz="3" w:space="0" w:color="000000"/>
              <w:right w:val="single" w:sz="3" w:space="0" w:color="000000"/>
            </w:tcBorders>
          </w:tcPr>
          <w:p w14:paraId="3914F314" w14:textId="77777777" w:rsidR="00453D7A" w:rsidRDefault="00000000">
            <w:pPr>
              <w:spacing w:after="0" w:line="259" w:lineRule="auto"/>
              <w:ind w:left="0" w:right="0" w:firstLine="0"/>
              <w:jc w:val="left"/>
            </w:pPr>
            <w:r>
              <w:rPr>
                <w:sz w:val="17"/>
              </w:rPr>
              <w:t>Yes</w:t>
            </w:r>
          </w:p>
        </w:tc>
        <w:tc>
          <w:tcPr>
            <w:tcW w:w="864" w:type="dxa"/>
            <w:tcBorders>
              <w:top w:val="single" w:sz="3" w:space="0" w:color="000000"/>
              <w:left w:val="single" w:sz="3" w:space="0" w:color="000000"/>
              <w:bottom w:val="single" w:sz="3" w:space="0" w:color="000000"/>
              <w:right w:val="single" w:sz="3" w:space="0" w:color="000000"/>
            </w:tcBorders>
          </w:tcPr>
          <w:p w14:paraId="73BE1E4E" w14:textId="77777777" w:rsidR="00453D7A" w:rsidRDefault="00000000">
            <w:pPr>
              <w:spacing w:after="0" w:line="259" w:lineRule="auto"/>
              <w:ind w:left="0" w:right="0" w:firstLine="0"/>
              <w:jc w:val="left"/>
            </w:pPr>
            <w:r>
              <w:rPr>
                <w:sz w:val="17"/>
              </w:rPr>
              <w:t>0.100%</w:t>
            </w:r>
          </w:p>
        </w:tc>
        <w:tc>
          <w:tcPr>
            <w:tcW w:w="1520" w:type="dxa"/>
            <w:tcBorders>
              <w:top w:val="single" w:sz="3" w:space="0" w:color="000000"/>
              <w:left w:val="single" w:sz="3" w:space="0" w:color="000000"/>
              <w:bottom w:val="single" w:sz="3" w:space="0" w:color="000000"/>
              <w:right w:val="single" w:sz="3" w:space="0" w:color="000000"/>
            </w:tcBorders>
          </w:tcPr>
          <w:p w14:paraId="5F9D8095" w14:textId="77777777" w:rsidR="00453D7A" w:rsidRDefault="00000000">
            <w:pPr>
              <w:spacing w:after="0" w:line="259" w:lineRule="auto"/>
              <w:ind w:left="0" w:right="0" w:firstLine="0"/>
              <w:jc w:val="left"/>
            </w:pPr>
            <w:r>
              <w:rPr>
                <w:sz w:val="17"/>
              </w:rPr>
              <w:t>Yes</w:t>
            </w:r>
          </w:p>
        </w:tc>
        <w:tc>
          <w:tcPr>
            <w:tcW w:w="1289" w:type="dxa"/>
            <w:tcBorders>
              <w:top w:val="single" w:sz="3" w:space="0" w:color="000000"/>
              <w:left w:val="single" w:sz="3" w:space="0" w:color="000000"/>
              <w:bottom w:val="single" w:sz="3" w:space="0" w:color="000000"/>
              <w:right w:val="single" w:sz="3" w:space="0" w:color="000000"/>
            </w:tcBorders>
          </w:tcPr>
          <w:p w14:paraId="385AC3B3" w14:textId="77777777" w:rsidR="00453D7A" w:rsidRDefault="00000000">
            <w:pPr>
              <w:spacing w:after="0" w:line="259" w:lineRule="auto"/>
              <w:ind w:left="0" w:right="0" w:firstLine="0"/>
              <w:jc w:val="left"/>
            </w:pPr>
            <w:r>
              <w:rPr>
                <w:sz w:val="17"/>
              </w:rPr>
              <w:t>9.41</w:t>
            </w:r>
          </w:p>
        </w:tc>
      </w:tr>
      <w:tr w:rsidR="00453D7A" w14:paraId="0861E157" w14:textId="77777777">
        <w:trPr>
          <w:trHeight w:val="206"/>
        </w:trPr>
        <w:tc>
          <w:tcPr>
            <w:tcW w:w="1984" w:type="dxa"/>
            <w:tcBorders>
              <w:top w:val="single" w:sz="3" w:space="0" w:color="000000"/>
              <w:left w:val="single" w:sz="3" w:space="0" w:color="000000"/>
              <w:bottom w:val="single" w:sz="3" w:space="0" w:color="000000"/>
              <w:right w:val="single" w:sz="3" w:space="0" w:color="000000"/>
            </w:tcBorders>
          </w:tcPr>
          <w:p w14:paraId="174330E3" w14:textId="77777777" w:rsidR="00453D7A" w:rsidRDefault="00000000">
            <w:pPr>
              <w:spacing w:after="0" w:line="259" w:lineRule="auto"/>
              <w:ind w:left="0" w:right="0" w:firstLine="0"/>
              <w:jc w:val="left"/>
            </w:pPr>
            <w:r>
              <w:rPr>
                <w:sz w:val="17"/>
              </w:rPr>
              <w:t>IBM AML (LI-Large)</w:t>
            </w:r>
          </w:p>
        </w:tc>
        <w:tc>
          <w:tcPr>
            <w:tcW w:w="660" w:type="dxa"/>
            <w:tcBorders>
              <w:top w:val="single" w:sz="3" w:space="0" w:color="000000"/>
              <w:left w:val="single" w:sz="3" w:space="0" w:color="000000"/>
              <w:bottom w:val="single" w:sz="3" w:space="0" w:color="000000"/>
              <w:right w:val="single" w:sz="3" w:space="0" w:color="000000"/>
            </w:tcBorders>
          </w:tcPr>
          <w:p w14:paraId="07B73C40" w14:textId="77777777" w:rsidR="00453D7A" w:rsidRDefault="00000000">
            <w:pPr>
              <w:spacing w:after="0" w:line="259" w:lineRule="auto"/>
              <w:ind w:left="55" w:right="0" w:firstLine="0"/>
              <w:jc w:val="left"/>
            </w:pPr>
            <w:r>
              <w:rPr>
                <w:sz w:val="17"/>
              </w:rPr>
              <w:t>176M</w:t>
            </w:r>
          </w:p>
        </w:tc>
        <w:tc>
          <w:tcPr>
            <w:tcW w:w="906" w:type="dxa"/>
            <w:tcBorders>
              <w:top w:val="single" w:sz="3" w:space="0" w:color="000000"/>
              <w:left w:val="single" w:sz="3" w:space="0" w:color="000000"/>
              <w:bottom w:val="single" w:sz="3" w:space="0" w:color="000000"/>
              <w:right w:val="single" w:sz="3" w:space="0" w:color="000000"/>
            </w:tcBorders>
          </w:tcPr>
          <w:p w14:paraId="1B8F172E" w14:textId="77777777" w:rsidR="00453D7A" w:rsidRDefault="00000000">
            <w:pPr>
              <w:spacing w:after="0" w:line="259" w:lineRule="auto"/>
              <w:ind w:left="0" w:right="0" w:firstLine="0"/>
              <w:jc w:val="left"/>
            </w:pPr>
            <w:r>
              <w:rPr>
                <w:sz w:val="17"/>
              </w:rPr>
              <w:t>11</w:t>
            </w:r>
          </w:p>
        </w:tc>
        <w:tc>
          <w:tcPr>
            <w:tcW w:w="882" w:type="dxa"/>
            <w:tcBorders>
              <w:top w:val="single" w:sz="3" w:space="0" w:color="000000"/>
              <w:left w:val="single" w:sz="3" w:space="0" w:color="000000"/>
              <w:bottom w:val="single" w:sz="3" w:space="0" w:color="000000"/>
              <w:right w:val="single" w:sz="3" w:space="0" w:color="000000"/>
            </w:tcBorders>
          </w:tcPr>
          <w:p w14:paraId="5B78EE77" w14:textId="77777777" w:rsidR="00453D7A" w:rsidRDefault="00000000">
            <w:pPr>
              <w:spacing w:after="0" w:line="259" w:lineRule="auto"/>
              <w:ind w:left="0" w:right="0" w:firstLine="0"/>
              <w:jc w:val="left"/>
            </w:pPr>
            <w:r>
              <w:rPr>
                <w:sz w:val="17"/>
              </w:rPr>
              <w:t>Synthetic</w:t>
            </w:r>
          </w:p>
        </w:tc>
        <w:tc>
          <w:tcPr>
            <w:tcW w:w="734" w:type="dxa"/>
            <w:tcBorders>
              <w:top w:val="single" w:sz="3" w:space="0" w:color="000000"/>
              <w:left w:val="single" w:sz="3" w:space="0" w:color="000000"/>
              <w:bottom w:val="single" w:sz="3" w:space="0" w:color="000000"/>
              <w:right w:val="single" w:sz="3" w:space="0" w:color="000000"/>
            </w:tcBorders>
          </w:tcPr>
          <w:p w14:paraId="49613242" w14:textId="77777777" w:rsidR="00453D7A" w:rsidRDefault="00000000">
            <w:pPr>
              <w:spacing w:after="0" w:line="259" w:lineRule="auto"/>
              <w:ind w:left="0" w:right="0" w:firstLine="0"/>
              <w:jc w:val="left"/>
            </w:pPr>
            <w:r>
              <w:rPr>
                <w:sz w:val="17"/>
              </w:rPr>
              <w:t>Yes</w:t>
            </w:r>
          </w:p>
        </w:tc>
        <w:tc>
          <w:tcPr>
            <w:tcW w:w="864" w:type="dxa"/>
            <w:tcBorders>
              <w:top w:val="single" w:sz="3" w:space="0" w:color="000000"/>
              <w:left w:val="single" w:sz="3" w:space="0" w:color="000000"/>
              <w:bottom w:val="single" w:sz="3" w:space="0" w:color="000000"/>
              <w:right w:val="single" w:sz="3" w:space="0" w:color="000000"/>
            </w:tcBorders>
          </w:tcPr>
          <w:p w14:paraId="30D1DE73" w14:textId="77777777" w:rsidR="00453D7A" w:rsidRDefault="00000000">
            <w:pPr>
              <w:spacing w:after="0" w:line="259" w:lineRule="auto"/>
              <w:ind w:left="0" w:right="0" w:firstLine="0"/>
              <w:jc w:val="left"/>
            </w:pPr>
            <w:r>
              <w:rPr>
                <w:sz w:val="17"/>
              </w:rPr>
              <w:t>0.057%</w:t>
            </w:r>
          </w:p>
        </w:tc>
        <w:tc>
          <w:tcPr>
            <w:tcW w:w="1520" w:type="dxa"/>
            <w:tcBorders>
              <w:top w:val="single" w:sz="3" w:space="0" w:color="000000"/>
              <w:left w:val="single" w:sz="3" w:space="0" w:color="000000"/>
              <w:bottom w:val="single" w:sz="3" w:space="0" w:color="000000"/>
              <w:right w:val="single" w:sz="3" w:space="0" w:color="000000"/>
            </w:tcBorders>
          </w:tcPr>
          <w:p w14:paraId="7E4FBEC3" w14:textId="77777777" w:rsidR="00453D7A" w:rsidRDefault="00000000">
            <w:pPr>
              <w:spacing w:after="0" w:line="259" w:lineRule="auto"/>
              <w:ind w:left="0" w:right="0" w:firstLine="0"/>
              <w:jc w:val="left"/>
            </w:pPr>
            <w:r>
              <w:rPr>
                <w:sz w:val="17"/>
              </w:rPr>
              <w:t>Yes</w:t>
            </w:r>
          </w:p>
        </w:tc>
        <w:tc>
          <w:tcPr>
            <w:tcW w:w="1289" w:type="dxa"/>
            <w:tcBorders>
              <w:top w:val="single" w:sz="3" w:space="0" w:color="000000"/>
              <w:left w:val="single" w:sz="3" w:space="0" w:color="000000"/>
              <w:bottom w:val="single" w:sz="3" w:space="0" w:color="000000"/>
              <w:right w:val="single" w:sz="3" w:space="0" w:color="000000"/>
            </w:tcBorders>
          </w:tcPr>
          <w:p w14:paraId="545628A3" w14:textId="77777777" w:rsidR="00453D7A" w:rsidRDefault="00000000">
            <w:pPr>
              <w:spacing w:after="0" w:line="259" w:lineRule="auto"/>
              <w:ind w:left="0" w:right="0" w:firstLine="0"/>
              <w:jc w:val="left"/>
            </w:pPr>
            <w:r>
              <w:rPr>
                <w:sz w:val="17"/>
              </w:rPr>
              <w:t>9.41</w:t>
            </w:r>
          </w:p>
        </w:tc>
      </w:tr>
      <w:tr w:rsidR="00453D7A" w14:paraId="5469A283" w14:textId="77777777">
        <w:trPr>
          <w:trHeight w:val="206"/>
        </w:trPr>
        <w:tc>
          <w:tcPr>
            <w:tcW w:w="1984" w:type="dxa"/>
            <w:tcBorders>
              <w:top w:val="single" w:sz="3" w:space="0" w:color="000000"/>
              <w:left w:val="single" w:sz="3" w:space="0" w:color="000000"/>
              <w:bottom w:val="single" w:sz="3" w:space="0" w:color="000000"/>
              <w:right w:val="single" w:sz="3" w:space="0" w:color="000000"/>
            </w:tcBorders>
          </w:tcPr>
          <w:p w14:paraId="2E0E7E34" w14:textId="77777777" w:rsidR="00453D7A" w:rsidRDefault="00000000">
            <w:pPr>
              <w:spacing w:after="0" w:line="259" w:lineRule="auto"/>
              <w:ind w:left="0" w:right="0" w:firstLine="0"/>
              <w:jc w:val="left"/>
            </w:pPr>
            <w:r>
              <w:rPr>
                <w:sz w:val="17"/>
              </w:rPr>
              <w:t>IBM AML (LI-Medium)</w:t>
            </w:r>
          </w:p>
        </w:tc>
        <w:tc>
          <w:tcPr>
            <w:tcW w:w="660" w:type="dxa"/>
            <w:tcBorders>
              <w:top w:val="single" w:sz="3" w:space="0" w:color="000000"/>
              <w:left w:val="single" w:sz="3" w:space="0" w:color="000000"/>
              <w:bottom w:val="single" w:sz="3" w:space="0" w:color="000000"/>
              <w:right w:val="single" w:sz="3" w:space="0" w:color="000000"/>
            </w:tcBorders>
          </w:tcPr>
          <w:p w14:paraId="7D0C622F" w14:textId="77777777" w:rsidR="00453D7A" w:rsidRDefault="00000000">
            <w:pPr>
              <w:spacing w:after="0" w:line="259" w:lineRule="auto"/>
              <w:ind w:left="55" w:right="0" w:firstLine="0"/>
              <w:jc w:val="left"/>
            </w:pPr>
            <w:r>
              <w:rPr>
                <w:sz w:val="17"/>
              </w:rPr>
              <w:t>31M</w:t>
            </w:r>
          </w:p>
        </w:tc>
        <w:tc>
          <w:tcPr>
            <w:tcW w:w="906" w:type="dxa"/>
            <w:tcBorders>
              <w:top w:val="single" w:sz="3" w:space="0" w:color="000000"/>
              <w:left w:val="single" w:sz="3" w:space="0" w:color="000000"/>
              <w:bottom w:val="single" w:sz="3" w:space="0" w:color="000000"/>
              <w:right w:val="single" w:sz="3" w:space="0" w:color="000000"/>
            </w:tcBorders>
          </w:tcPr>
          <w:p w14:paraId="5F1FA859" w14:textId="77777777" w:rsidR="00453D7A" w:rsidRDefault="00000000">
            <w:pPr>
              <w:spacing w:after="0" w:line="259" w:lineRule="auto"/>
              <w:ind w:left="0" w:right="0" w:firstLine="0"/>
              <w:jc w:val="left"/>
            </w:pPr>
            <w:r>
              <w:rPr>
                <w:sz w:val="17"/>
              </w:rPr>
              <w:t>11</w:t>
            </w:r>
          </w:p>
        </w:tc>
        <w:tc>
          <w:tcPr>
            <w:tcW w:w="882" w:type="dxa"/>
            <w:tcBorders>
              <w:top w:val="single" w:sz="3" w:space="0" w:color="000000"/>
              <w:left w:val="single" w:sz="3" w:space="0" w:color="000000"/>
              <w:bottom w:val="single" w:sz="3" w:space="0" w:color="000000"/>
              <w:right w:val="single" w:sz="3" w:space="0" w:color="000000"/>
            </w:tcBorders>
          </w:tcPr>
          <w:p w14:paraId="5C8A4129" w14:textId="77777777" w:rsidR="00453D7A" w:rsidRDefault="00000000">
            <w:pPr>
              <w:spacing w:after="0" w:line="259" w:lineRule="auto"/>
              <w:ind w:left="0" w:right="0" w:firstLine="0"/>
              <w:jc w:val="left"/>
            </w:pPr>
            <w:r>
              <w:rPr>
                <w:sz w:val="17"/>
              </w:rPr>
              <w:t>Synthetic</w:t>
            </w:r>
          </w:p>
        </w:tc>
        <w:tc>
          <w:tcPr>
            <w:tcW w:w="734" w:type="dxa"/>
            <w:tcBorders>
              <w:top w:val="single" w:sz="3" w:space="0" w:color="000000"/>
              <w:left w:val="single" w:sz="3" w:space="0" w:color="000000"/>
              <w:bottom w:val="single" w:sz="3" w:space="0" w:color="000000"/>
              <w:right w:val="single" w:sz="3" w:space="0" w:color="000000"/>
            </w:tcBorders>
          </w:tcPr>
          <w:p w14:paraId="3EF2B223" w14:textId="77777777" w:rsidR="00453D7A" w:rsidRDefault="00000000">
            <w:pPr>
              <w:spacing w:after="0" w:line="259" w:lineRule="auto"/>
              <w:ind w:left="0" w:right="0" w:firstLine="0"/>
              <w:jc w:val="left"/>
            </w:pPr>
            <w:r>
              <w:rPr>
                <w:sz w:val="17"/>
              </w:rPr>
              <w:t>Yes</w:t>
            </w:r>
          </w:p>
        </w:tc>
        <w:tc>
          <w:tcPr>
            <w:tcW w:w="864" w:type="dxa"/>
            <w:tcBorders>
              <w:top w:val="single" w:sz="3" w:space="0" w:color="000000"/>
              <w:left w:val="single" w:sz="3" w:space="0" w:color="000000"/>
              <w:bottom w:val="single" w:sz="3" w:space="0" w:color="000000"/>
              <w:right w:val="single" w:sz="3" w:space="0" w:color="000000"/>
            </w:tcBorders>
          </w:tcPr>
          <w:p w14:paraId="7FA8C64C" w14:textId="77777777" w:rsidR="00453D7A" w:rsidRDefault="00000000">
            <w:pPr>
              <w:spacing w:after="0" w:line="259" w:lineRule="auto"/>
              <w:ind w:left="0" w:right="0" w:firstLine="0"/>
              <w:jc w:val="left"/>
            </w:pPr>
            <w:r>
              <w:rPr>
                <w:sz w:val="17"/>
              </w:rPr>
              <w:t>0.050%</w:t>
            </w:r>
          </w:p>
        </w:tc>
        <w:tc>
          <w:tcPr>
            <w:tcW w:w="1520" w:type="dxa"/>
            <w:tcBorders>
              <w:top w:val="single" w:sz="3" w:space="0" w:color="000000"/>
              <w:left w:val="single" w:sz="3" w:space="0" w:color="000000"/>
              <w:bottom w:val="single" w:sz="3" w:space="0" w:color="000000"/>
              <w:right w:val="single" w:sz="3" w:space="0" w:color="000000"/>
            </w:tcBorders>
          </w:tcPr>
          <w:p w14:paraId="08CC4CCC" w14:textId="77777777" w:rsidR="00453D7A" w:rsidRDefault="00000000">
            <w:pPr>
              <w:spacing w:after="0" w:line="259" w:lineRule="auto"/>
              <w:ind w:left="0" w:right="0" w:firstLine="0"/>
              <w:jc w:val="left"/>
            </w:pPr>
            <w:r>
              <w:rPr>
                <w:sz w:val="17"/>
              </w:rPr>
              <w:t>Yes</w:t>
            </w:r>
          </w:p>
        </w:tc>
        <w:tc>
          <w:tcPr>
            <w:tcW w:w="1289" w:type="dxa"/>
            <w:tcBorders>
              <w:top w:val="single" w:sz="3" w:space="0" w:color="000000"/>
              <w:left w:val="single" w:sz="3" w:space="0" w:color="000000"/>
              <w:bottom w:val="single" w:sz="3" w:space="0" w:color="000000"/>
              <w:right w:val="single" w:sz="3" w:space="0" w:color="000000"/>
            </w:tcBorders>
          </w:tcPr>
          <w:p w14:paraId="20AAD2E7" w14:textId="77777777" w:rsidR="00453D7A" w:rsidRDefault="00000000">
            <w:pPr>
              <w:spacing w:after="0" w:line="259" w:lineRule="auto"/>
              <w:ind w:left="0" w:right="0" w:firstLine="0"/>
              <w:jc w:val="left"/>
            </w:pPr>
            <w:r>
              <w:rPr>
                <w:sz w:val="17"/>
              </w:rPr>
              <w:t>9.41</w:t>
            </w:r>
          </w:p>
        </w:tc>
      </w:tr>
      <w:tr w:rsidR="00453D7A" w14:paraId="1E9B0E29" w14:textId="77777777">
        <w:trPr>
          <w:trHeight w:val="206"/>
        </w:trPr>
        <w:tc>
          <w:tcPr>
            <w:tcW w:w="1984" w:type="dxa"/>
            <w:tcBorders>
              <w:top w:val="single" w:sz="3" w:space="0" w:color="000000"/>
              <w:left w:val="single" w:sz="3" w:space="0" w:color="000000"/>
              <w:bottom w:val="single" w:sz="3" w:space="0" w:color="000000"/>
              <w:right w:val="single" w:sz="3" w:space="0" w:color="000000"/>
            </w:tcBorders>
          </w:tcPr>
          <w:p w14:paraId="738C5713" w14:textId="77777777" w:rsidR="00453D7A" w:rsidRDefault="00000000">
            <w:pPr>
              <w:spacing w:after="0" w:line="259" w:lineRule="auto"/>
              <w:ind w:left="0" w:right="0" w:firstLine="0"/>
              <w:jc w:val="left"/>
            </w:pPr>
            <w:r>
              <w:rPr>
                <w:sz w:val="17"/>
              </w:rPr>
              <w:t>IBM AML (LI-Small)</w:t>
            </w:r>
          </w:p>
        </w:tc>
        <w:tc>
          <w:tcPr>
            <w:tcW w:w="660" w:type="dxa"/>
            <w:tcBorders>
              <w:top w:val="single" w:sz="3" w:space="0" w:color="000000"/>
              <w:left w:val="single" w:sz="3" w:space="0" w:color="000000"/>
              <w:bottom w:val="single" w:sz="3" w:space="0" w:color="000000"/>
              <w:right w:val="single" w:sz="3" w:space="0" w:color="000000"/>
            </w:tcBorders>
          </w:tcPr>
          <w:p w14:paraId="69F56BC9" w14:textId="77777777" w:rsidR="00453D7A" w:rsidRDefault="00000000">
            <w:pPr>
              <w:spacing w:after="0" w:line="259" w:lineRule="auto"/>
              <w:ind w:left="55" w:right="0" w:firstLine="0"/>
              <w:jc w:val="left"/>
            </w:pPr>
            <w:r>
              <w:rPr>
                <w:sz w:val="17"/>
              </w:rPr>
              <w:t>7M</w:t>
            </w:r>
          </w:p>
        </w:tc>
        <w:tc>
          <w:tcPr>
            <w:tcW w:w="906" w:type="dxa"/>
            <w:tcBorders>
              <w:top w:val="single" w:sz="3" w:space="0" w:color="000000"/>
              <w:left w:val="single" w:sz="3" w:space="0" w:color="000000"/>
              <w:bottom w:val="single" w:sz="3" w:space="0" w:color="000000"/>
              <w:right w:val="single" w:sz="3" w:space="0" w:color="000000"/>
            </w:tcBorders>
          </w:tcPr>
          <w:p w14:paraId="0734EFD7" w14:textId="77777777" w:rsidR="00453D7A" w:rsidRDefault="00000000">
            <w:pPr>
              <w:spacing w:after="0" w:line="259" w:lineRule="auto"/>
              <w:ind w:left="0" w:right="0" w:firstLine="0"/>
              <w:jc w:val="left"/>
            </w:pPr>
            <w:r>
              <w:rPr>
                <w:sz w:val="17"/>
              </w:rPr>
              <w:t>11</w:t>
            </w:r>
          </w:p>
        </w:tc>
        <w:tc>
          <w:tcPr>
            <w:tcW w:w="882" w:type="dxa"/>
            <w:tcBorders>
              <w:top w:val="single" w:sz="3" w:space="0" w:color="000000"/>
              <w:left w:val="single" w:sz="3" w:space="0" w:color="000000"/>
              <w:bottom w:val="single" w:sz="3" w:space="0" w:color="000000"/>
              <w:right w:val="single" w:sz="3" w:space="0" w:color="000000"/>
            </w:tcBorders>
          </w:tcPr>
          <w:p w14:paraId="14E1BB36" w14:textId="77777777" w:rsidR="00453D7A" w:rsidRDefault="00000000">
            <w:pPr>
              <w:spacing w:after="0" w:line="259" w:lineRule="auto"/>
              <w:ind w:left="0" w:right="0" w:firstLine="0"/>
              <w:jc w:val="left"/>
            </w:pPr>
            <w:r>
              <w:rPr>
                <w:sz w:val="17"/>
              </w:rPr>
              <w:t>Synthetic</w:t>
            </w:r>
          </w:p>
        </w:tc>
        <w:tc>
          <w:tcPr>
            <w:tcW w:w="734" w:type="dxa"/>
            <w:tcBorders>
              <w:top w:val="single" w:sz="3" w:space="0" w:color="000000"/>
              <w:left w:val="single" w:sz="3" w:space="0" w:color="000000"/>
              <w:bottom w:val="single" w:sz="3" w:space="0" w:color="000000"/>
              <w:right w:val="single" w:sz="3" w:space="0" w:color="000000"/>
            </w:tcBorders>
          </w:tcPr>
          <w:p w14:paraId="32D7D19F" w14:textId="77777777" w:rsidR="00453D7A" w:rsidRDefault="00000000">
            <w:pPr>
              <w:spacing w:after="0" w:line="259" w:lineRule="auto"/>
              <w:ind w:left="0" w:right="0" w:firstLine="0"/>
              <w:jc w:val="left"/>
            </w:pPr>
            <w:r>
              <w:rPr>
                <w:sz w:val="17"/>
              </w:rPr>
              <w:t>Yes</w:t>
            </w:r>
          </w:p>
        </w:tc>
        <w:tc>
          <w:tcPr>
            <w:tcW w:w="864" w:type="dxa"/>
            <w:tcBorders>
              <w:top w:val="single" w:sz="3" w:space="0" w:color="000000"/>
              <w:left w:val="single" w:sz="3" w:space="0" w:color="000000"/>
              <w:bottom w:val="single" w:sz="3" w:space="0" w:color="000000"/>
              <w:right w:val="single" w:sz="3" w:space="0" w:color="000000"/>
            </w:tcBorders>
          </w:tcPr>
          <w:p w14:paraId="1C9193C9" w14:textId="77777777" w:rsidR="00453D7A" w:rsidRDefault="00000000">
            <w:pPr>
              <w:spacing w:after="0" w:line="259" w:lineRule="auto"/>
              <w:ind w:left="0" w:right="0" w:firstLine="0"/>
              <w:jc w:val="left"/>
            </w:pPr>
            <w:r>
              <w:rPr>
                <w:sz w:val="17"/>
              </w:rPr>
              <w:t>0.051%</w:t>
            </w:r>
          </w:p>
        </w:tc>
        <w:tc>
          <w:tcPr>
            <w:tcW w:w="1520" w:type="dxa"/>
            <w:tcBorders>
              <w:top w:val="single" w:sz="3" w:space="0" w:color="000000"/>
              <w:left w:val="single" w:sz="3" w:space="0" w:color="000000"/>
              <w:bottom w:val="single" w:sz="3" w:space="0" w:color="000000"/>
              <w:right w:val="single" w:sz="3" w:space="0" w:color="000000"/>
            </w:tcBorders>
          </w:tcPr>
          <w:p w14:paraId="17DF4363" w14:textId="77777777" w:rsidR="00453D7A" w:rsidRDefault="00000000">
            <w:pPr>
              <w:spacing w:after="0" w:line="259" w:lineRule="auto"/>
              <w:ind w:left="0" w:right="0" w:firstLine="0"/>
              <w:jc w:val="left"/>
            </w:pPr>
            <w:r>
              <w:rPr>
                <w:sz w:val="17"/>
              </w:rPr>
              <w:t>Yes</w:t>
            </w:r>
          </w:p>
        </w:tc>
        <w:tc>
          <w:tcPr>
            <w:tcW w:w="1289" w:type="dxa"/>
            <w:tcBorders>
              <w:top w:val="single" w:sz="3" w:space="0" w:color="000000"/>
              <w:left w:val="single" w:sz="3" w:space="0" w:color="000000"/>
              <w:bottom w:val="single" w:sz="3" w:space="0" w:color="000000"/>
              <w:right w:val="single" w:sz="3" w:space="0" w:color="000000"/>
            </w:tcBorders>
          </w:tcPr>
          <w:p w14:paraId="6B28FDBC" w14:textId="77777777" w:rsidR="00453D7A" w:rsidRDefault="00000000">
            <w:pPr>
              <w:spacing w:after="0" w:line="259" w:lineRule="auto"/>
              <w:ind w:left="0" w:right="0" w:firstLine="0"/>
              <w:jc w:val="left"/>
            </w:pPr>
            <w:r>
              <w:rPr>
                <w:sz w:val="17"/>
              </w:rPr>
              <w:t>9.41</w:t>
            </w:r>
          </w:p>
        </w:tc>
      </w:tr>
      <w:tr w:rsidR="00453D7A" w14:paraId="26130543" w14:textId="77777777">
        <w:trPr>
          <w:trHeight w:val="206"/>
        </w:trPr>
        <w:tc>
          <w:tcPr>
            <w:tcW w:w="1984" w:type="dxa"/>
            <w:tcBorders>
              <w:top w:val="single" w:sz="3" w:space="0" w:color="000000"/>
              <w:left w:val="single" w:sz="3" w:space="0" w:color="000000"/>
              <w:bottom w:val="single" w:sz="3" w:space="0" w:color="000000"/>
              <w:right w:val="single" w:sz="3" w:space="0" w:color="000000"/>
            </w:tcBorders>
          </w:tcPr>
          <w:p w14:paraId="3D7AEDEC" w14:textId="77777777" w:rsidR="00453D7A" w:rsidRDefault="00000000">
            <w:pPr>
              <w:spacing w:after="0" w:line="259" w:lineRule="auto"/>
              <w:ind w:left="0" w:right="0" w:firstLine="0"/>
              <w:jc w:val="left"/>
            </w:pPr>
            <w:r>
              <w:rPr>
                <w:sz w:val="17"/>
              </w:rPr>
              <w:t>SAML-D</w:t>
            </w:r>
          </w:p>
        </w:tc>
        <w:tc>
          <w:tcPr>
            <w:tcW w:w="660" w:type="dxa"/>
            <w:tcBorders>
              <w:top w:val="single" w:sz="3" w:space="0" w:color="000000"/>
              <w:left w:val="single" w:sz="3" w:space="0" w:color="000000"/>
              <w:bottom w:val="single" w:sz="3" w:space="0" w:color="000000"/>
              <w:right w:val="single" w:sz="3" w:space="0" w:color="000000"/>
            </w:tcBorders>
          </w:tcPr>
          <w:p w14:paraId="300644F6" w14:textId="77777777" w:rsidR="00453D7A" w:rsidRDefault="00000000">
            <w:pPr>
              <w:spacing w:after="0" w:line="259" w:lineRule="auto"/>
              <w:ind w:left="55" w:right="0" w:firstLine="0"/>
              <w:jc w:val="left"/>
            </w:pPr>
            <w:r>
              <w:rPr>
                <w:sz w:val="17"/>
              </w:rPr>
              <w:t>9.5M</w:t>
            </w:r>
          </w:p>
        </w:tc>
        <w:tc>
          <w:tcPr>
            <w:tcW w:w="906" w:type="dxa"/>
            <w:tcBorders>
              <w:top w:val="single" w:sz="3" w:space="0" w:color="000000"/>
              <w:left w:val="single" w:sz="3" w:space="0" w:color="000000"/>
              <w:bottom w:val="single" w:sz="3" w:space="0" w:color="000000"/>
              <w:right w:val="single" w:sz="3" w:space="0" w:color="000000"/>
            </w:tcBorders>
          </w:tcPr>
          <w:p w14:paraId="7B905D1E" w14:textId="77777777" w:rsidR="00453D7A" w:rsidRDefault="00000000">
            <w:pPr>
              <w:spacing w:after="0" w:line="259" w:lineRule="auto"/>
              <w:ind w:left="0" w:right="0" w:firstLine="0"/>
              <w:jc w:val="left"/>
            </w:pPr>
            <w:r>
              <w:rPr>
                <w:sz w:val="17"/>
              </w:rPr>
              <w:t>12</w:t>
            </w:r>
          </w:p>
        </w:tc>
        <w:tc>
          <w:tcPr>
            <w:tcW w:w="882" w:type="dxa"/>
            <w:tcBorders>
              <w:top w:val="single" w:sz="3" w:space="0" w:color="000000"/>
              <w:left w:val="single" w:sz="3" w:space="0" w:color="000000"/>
              <w:bottom w:val="single" w:sz="3" w:space="0" w:color="000000"/>
              <w:right w:val="single" w:sz="3" w:space="0" w:color="000000"/>
            </w:tcBorders>
          </w:tcPr>
          <w:p w14:paraId="6C513A3D" w14:textId="77777777" w:rsidR="00453D7A" w:rsidRDefault="00000000">
            <w:pPr>
              <w:spacing w:after="0" w:line="259" w:lineRule="auto"/>
              <w:ind w:left="0" w:right="0" w:firstLine="0"/>
              <w:jc w:val="left"/>
            </w:pPr>
            <w:r>
              <w:rPr>
                <w:sz w:val="17"/>
              </w:rPr>
              <w:t>Synthetic</w:t>
            </w:r>
          </w:p>
        </w:tc>
        <w:tc>
          <w:tcPr>
            <w:tcW w:w="734" w:type="dxa"/>
            <w:tcBorders>
              <w:top w:val="single" w:sz="3" w:space="0" w:color="000000"/>
              <w:left w:val="single" w:sz="3" w:space="0" w:color="000000"/>
              <w:bottom w:val="single" w:sz="3" w:space="0" w:color="000000"/>
              <w:right w:val="single" w:sz="3" w:space="0" w:color="000000"/>
            </w:tcBorders>
          </w:tcPr>
          <w:p w14:paraId="0334170C" w14:textId="77777777" w:rsidR="00453D7A" w:rsidRDefault="00000000">
            <w:pPr>
              <w:spacing w:after="0" w:line="259" w:lineRule="auto"/>
              <w:ind w:left="0" w:right="0" w:firstLine="0"/>
              <w:jc w:val="left"/>
            </w:pPr>
            <w:r>
              <w:rPr>
                <w:sz w:val="17"/>
              </w:rPr>
              <w:t>Yes</w:t>
            </w:r>
          </w:p>
        </w:tc>
        <w:tc>
          <w:tcPr>
            <w:tcW w:w="864" w:type="dxa"/>
            <w:tcBorders>
              <w:top w:val="single" w:sz="3" w:space="0" w:color="000000"/>
              <w:left w:val="single" w:sz="3" w:space="0" w:color="000000"/>
              <w:bottom w:val="single" w:sz="3" w:space="0" w:color="000000"/>
              <w:right w:val="single" w:sz="3" w:space="0" w:color="000000"/>
            </w:tcBorders>
          </w:tcPr>
          <w:p w14:paraId="0064D598" w14:textId="77777777" w:rsidR="00453D7A" w:rsidRDefault="00000000">
            <w:pPr>
              <w:spacing w:after="0" w:line="259" w:lineRule="auto"/>
              <w:ind w:left="0" w:right="0" w:firstLine="0"/>
              <w:jc w:val="left"/>
            </w:pPr>
            <w:r>
              <w:rPr>
                <w:sz w:val="17"/>
              </w:rPr>
              <w:t>0.104%</w:t>
            </w:r>
          </w:p>
        </w:tc>
        <w:tc>
          <w:tcPr>
            <w:tcW w:w="1520" w:type="dxa"/>
            <w:tcBorders>
              <w:top w:val="single" w:sz="3" w:space="0" w:color="000000"/>
              <w:left w:val="single" w:sz="3" w:space="0" w:color="000000"/>
              <w:bottom w:val="single" w:sz="3" w:space="0" w:color="000000"/>
              <w:right w:val="single" w:sz="3" w:space="0" w:color="000000"/>
            </w:tcBorders>
          </w:tcPr>
          <w:p w14:paraId="3762DE78" w14:textId="77777777" w:rsidR="00453D7A" w:rsidRDefault="00000000">
            <w:pPr>
              <w:spacing w:after="0" w:line="259" w:lineRule="auto"/>
              <w:ind w:left="0" w:right="0" w:firstLine="0"/>
              <w:jc w:val="left"/>
            </w:pPr>
            <w:r>
              <w:rPr>
                <w:sz w:val="17"/>
              </w:rPr>
              <w:t>Yes</w:t>
            </w:r>
          </w:p>
        </w:tc>
        <w:tc>
          <w:tcPr>
            <w:tcW w:w="1289" w:type="dxa"/>
            <w:tcBorders>
              <w:top w:val="single" w:sz="3" w:space="0" w:color="000000"/>
              <w:left w:val="single" w:sz="3" w:space="0" w:color="000000"/>
              <w:bottom w:val="single" w:sz="3" w:space="0" w:color="000000"/>
              <w:right w:val="single" w:sz="3" w:space="0" w:color="000000"/>
            </w:tcBorders>
          </w:tcPr>
          <w:p w14:paraId="66FD7F8C" w14:textId="77777777" w:rsidR="00453D7A" w:rsidRDefault="00000000">
            <w:pPr>
              <w:spacing w:after="0" w:line="259" w:lineRule="auto"/>
              <w:ind w:left="0" w:right="0" w:firstLine="0"/>
              <w:jc w:val="left"/>
            </w:pPr>
            <w:r>
              <w:rPr>
                <w:sz w:val="17"/>
              </w:rPr>
              <w:t>10.00</w:t>
            </w:r>
          </w:p>
        </w:tc>
      </w:tr>
      <w:tr w:rsidR="00453D7A" w14:paraId="1EECD896" w14:textId="77777777">
        <w:trPr>
          <w:trHeight w:val="206"/>
        </w:trPr>
        <w:tc>
          <w:tcPr>
            <w:tcW w:w="1984" w:type="dxa"/>
            <w:tcBorders>
              <w:top w:val="single" w:sz="3" w:space="0" w:color="000000"/>
              <w:left w:val="single" w:sz="3" w:space="0" w:color="000000"/>
              <w:bottom w:val="single" w:sz="3" w:space="0" w:color="000000"/>
              <w:right w:val="single" w:sz="3" w:space="0" w:color="000000"/>
            </w:tcBorders>
          </w:tcPr>
          <w:p w14:paraId="42BDA84B" w14:textId="77777777" w:rsidR="00453D7A" w:rsidRDefault="00000000">
            <w:pPr>
              <w:spacing w:after="0" w:line="259" w:lineRule="auto"/>
              <w:ind w:left="0" w:right="0" w:firstLine="0"/>
              <w:jc w:val="left"/>
            </w:pPr>
            <w:r>
              <w:rPr>
                <w:sz w:val="17"/>
              </w:rPr>
              <w:t>SynthAML</w:t>
            </w:r>
          </w:p>
        </w:tc>
        <w:tc>
          <w:tcPr>
            <w:tcW w:w="660" w:type="dxa"/>
            <w:tcBorders>
              <w:top w:val="single" w:sz="3" w:space="0" w:color="000000"/>
              <w:left w:val="single" w:sz="3" w:space="0" w:color="000000"/>
              <w:bottom w:val="single" w:sz="3" w:space="0" w:color="000000"/>
              <w:right w:val="single" w:sz="3" w:space="0" w:color="000000"/>
            </w:tcBorders>
          </w:tcPr>
          <w:p w14:paraId="00EE0DA2" w14:textId="77777777" w:rsidR="00453D7A" w:rsidRDefault="00000000">
            <w:pPr>
              <w:spacing w:after="0" w:line="259" w:lineRule="auto"/>
              <w:ind w:left="0" w:right="0" w:firstLine="0"/>
              <w:jc w:val="left"/>
            </w:pPr>
            <w:r>
              <w:rPr>
                <w:sz w:val="17"/>
              </w:rPr>
              <w:t>20,000</w:t>
            </w:r>
          </w:p>
        </w:tc>
        <w:tc>
          <w:tcPr>
            <w:tcW w:w="906" w:type="dxa"/>
            <w:tcBorders>
              <w:top w:val="single" w:sz="3" w:space="0" w:color="000000"/>
              <w:left w:val="single" w:sz="3" w:space="0" w:color="000000"/>
              <w:bottom w:val="single" w:sz="3" w:space="0" w:color="000000"/>
              <w:right w:val="single" w:sz="3" w:space="0" w:color="000000"/>
            </w:tcBorders>
          </w:tcPr>
          <w:p w14:paraId="478D9ECC" w14:textId="77777777" w:rsidR="00453D7A" w:rsidRDefault="00000000">
            <w:pPr>
              <w:spacing w:after="0" w:line="259" w:lineRule="auto"/>
              <w:ind w:left="0" w:right="0" w:firstLine="0"/>
              <w:jc w:val="left"/>
            </w:pPr>
            <w:r>
              <w:rPr>
                <w:sz w:val="17"/>
              </w:rPr>
              <w:t>2</w:t>
            </w:r>
          </w:p>
        </w:tc>
        <w:tc>
          <w:tcPr>
            <w:tcW w:w="882" w:type="dxa"/>
            <w:tcBorders>
              <w:top w:val="single" w:sz="3" w:space="0" w:color="000000"/>
              <w:left w:val="single" w:sz="3" w:space="0" w:color="000000"/>
              <w:bottom w:val="single" w:sz="3" w:space="0" w:color="000000"/>
              <w:right w:val="single" w:sz="3" w:space="0" w:color="000000"/>
            </w:tcBorders>
          </w:tcPr>
          <w:p w14:paraId="1F11D2A0" w14:textId="77777777" w:rsidR="00453D7A" w:rsidRDefault="00000000">
            <w:pPr>
              <w:spacing w:after="0" w:line="259" w:lineRule="auto"/>
              <w:ind w:left="0" w:right="0" w:firstLine="0"/>
              <w:jc w:val="left"/>
            </w:pPr>
            <w:r>
              <w:rPr>
                <w:sz w:val="17"/>
              </w:rPr>
              <w:t>Synthetic</w:t>
            </w:r>
          </w:p>
        </w:tc>
        <w:tc>
          <w:tcPr>
            <w:tcW w:w="734" w:type="dxa"/>
            <w:tcBorders>
              <w:top w:val="single" w:sz="3" w:space="0" w:color="000000"/>
              <w:left w:val="single" w:sz="3" w:space="0" w:color="000000"/>
              <w:bottom w:val="single" w:sz="3" w:space="0" w:color="000000"/>
              <w:right w:val="single" w:sz="3" w:space="0" w:color="000000"/>
            </w:tcBorders>
          </w:tcPr>
          <w:p w14:paraId="09CA1341" w14:textId="77777777" w:rsidR="00453D7A" w:rsidRDefault="00000000">
            <w:pPr>
              <w:spacing w:after="0" w:line="259" w:lineRule="auto"/>
              <w:ind w:left="0" w:right="0" w:firstLine="0"/>
              <w:jc w:val="left"/>
            </w:pPr>
            <w:r>
              <w:rPr>
                <w:sz w:val="17"/>
              </w:rPr>
              <w:t>Yes</w:t>
            </w:r>
          </w:p>
        </w:tc>
        <w:tc>
          <w:tcPr>
            <w:tcW w:w="864" w:type="dxa"/>
            <w:tcBorders>
              <w:top w:val="single" w:sz="3" w:space="0" w:color="000000"/>
              <w:left w:val="single" w:sz="3" w:space="0" w:color="000000"/>
              <w:bottom w:val="single" w:sz="3" w:space="0" w:color="000000"/>
              <w:right w:val="single" w:sz="3" w:space="0" w:color="000000"/>
            </w:tcBorders>
          </w:tcPr>
          <w:p w14:paraId="285150E6" w14:textId="77777777" w:rsidR="00453D7A" w:rsidRDefault="00000000">
            <w:pPr>
              <w:spacing w:after="0" w:line="259" w:lineRule="auto"/>
              <w:ind w:left="0" w:right="0" w:firstLine="0"/>
              <w:jc w:val="left"/>
            </w:pPr>
            <w:r>
              <w:rPr>
                <w:sz w:val="17"/>
              </w:rPr>
              <w:t>17.175%</w:t>
            </w:r>
          </w:p>
        </w:tc>
        <w:tc>
          <w:tcPr>
            <w:tcW w:w="1520" w:type="dxa"/>
            <w:tcBorders>
              <w:top w:val="single" w:sz="3" w:space="0" w:color="000000"/>
              <w:left w:val="single" w:sz="3" w:space="0" w:color="000000"/>
              <w:bottom w:val="single" w:sz="3" w:space="0" w:color="000000"/>
              <w:right w:val="single" w:sz="3" w:space="0" w:color="000000"/>
            </w:tcBorders>
          </w:tcPr>
          <w:p w14:paraId="52994871" w14:textId="77777777" w:rsidR="00453D7A" w:rsidRDefault="00000000">
            <w:pPr>
              <w:spacing w:after="0" w:line="259" w:lineRule="auto"/>
              <w:ind w:left="0" w:right="0" w:firstLine="0"/>
              <w:jc w:val="left"/>
            </w:pPr>
            <w:r>
              <w:rPr>
                <w:sz w:val="17"/>
              </w:rPr>
              <w:t>No</w:t>
            </w:r>
          </w:p>
        </w:tc>
        <w:tc>
          <w:tcPr>
            <w:tcW w:w="1289" w:type="dxa"/>
            <w:tcBorders>
              <w:top w:val="single" w:sz="3" w:space="0" w:color="000000"/>
              <w:left w:val="single" w:sz="3" w:space="0" w:color="000000"/>
              <w:bottom w:val="single" w:sz="3" w:space="0" w:color="000000"/>
              <w:right w:val="single" w:sz="3" w:space="0" w:color="000000"/>
            </w:tcBorders>
          </w:tcPr>
          <w:p w14:paraId="5D7CFC6D" w14:textId="77777777" w:rsidR="00453D7A" w:rsidRDefault="00000000">
            <w:pPr>
              <w:spacing w:after="0" w:line="259" w:lineRule="auto"/>
              <w:ind w:left="0" w:right="0" w:firstLine="0"/>
              <w:jc w:val="left"/>
            </w:pPr>
            <w:r>
              <w:rPr>
                <w:sz w:val="17"/>
              </w:rPr>
              <w:t>N/A</w:t>
            </w:r>
          </w:p>
        </w:tc>
      </w:tr>
      <w:tr w:rsidR="00453D7A" w14:paraId="2E345235" w14:textId="77777777">
        <w:trPr>
          <w:trHeight w:val="206"/>
        </w:trPr>
        <w:tc>
          <w:tcPr>
            <w:tcW w:w="1984" w:type="dxa"/>
            <w:tcBorders>
              <w:top w:val="single" w:sz="3" w:space="0" w:color="000000"/>
              <w:left w:val="single" w:sz="3" w:space="0" w:color="000000"/>
              <w:bottom w:val="single" w:sz="3" w:space="0" w:color="000000"/>
              <w:right w:val="single" w:sz="3" w:space="0" w:color="000000"/>
            </w:tcBorders>
          </w:tcPr>
          <w:p w14:paraId="7F3DB70C" w14:textId="77777777" w:rsidR="00453D7A" w:rsidRDefault="00000000">
            <w:pPr>
              <w:spacing w:after="0" w:line="259" w:lineRule="auto"/>
              <w:ind w:left="0" w:right="0" w:firstLine="0"/>
              <w:jc w:val="left"/>
            </w:pPr>
            <w:r>
              <w:rPr>
                <w:sz w:val="17"/>
              </w:rPr>
              <w:t>money laundering data</w:t>
            </w:r>
          </w:p>
        </w:tc>
        <w:tc>
          <w:tcPr>
            <w:tcW w:w="660" w:type="dxa"/>
            <w:tcBorders>
              <w:top w:val="single" w:sz="3" w:space="0" w:color="000000"/>
              <w:left w:val="single" w:sz="3" w:space="0" w:color="000000"/>
              <w:bottom w:val="single" w:sz="3" w:space="0" w:color="000000"/>
              <w:right w:val="single" w:sz="3" w:space="0" w:color="000000"/>
            </w:tcBorders>
          </w:tcPr>
          <w:p w14:paraId="7DA44F47" w14:textId="77777777" w:rsidR="00453D7A" w:rsidRDefault="00000000">
            <w:pPr>
              <w:spacing w:after="0" w:line="259" w:lineRule="auto"/>
              <w:ind w:left="0" w:right="0" w:firstLine="0"/>
              <w:jc w:val="left"/>
            </w:pPr>
            <w:r>
              <w:rPr>
                <w:sz w:val="17"/>
              </w:rPr>
              <w:t>2,340</w:t>
            </w:r>
          </w:p>
        </w:tc>
        <w:tc>
          <w:tcPr>
            <w:tcW w:w="906" w:type="dxa"/>
            <w:tcBorders>
              <w:top w:val="single" w:sz="3" w:space="0" w:color="000000"/>
              <w:left w:val="single" w:sz="3" w:space="0" w:color="000000"/>
              <w:bottom w:val="single" w:sz="3" w:space="0" w:color="000000"/>
              <w:right w:val="single" w:sz="3" w:space="0" w:color="000000"/>
            </w:tcBorders>
          </w:tcPr>
          <w:p w14:paraId="238243AA" w14:textId="77777777" w:rsidR="00453D7A" w:rsidRDefault="00000000">
            <w:pPr>
              <w:spacing w:after="0" w:line="259" w:lineRule="auto"/>
              <w:ind w:left="0" w:right="0" w:firstLine="0"/>
              <w:jc w:val="left"/>
            </w:pPr>
            <w:r>
              <w:rPr>
                <w:sz w:val="17"/>
              </w:rPr>
              <w:t>7</w:t>
            </w:r>
          </w:p>
        </w:tc>
        <w:tc>
          <w:tcPr>
            <w:tcW w:w="882" w:type="dxa"/>
            <w:tcBorders>
              <w:top w:val="single" w:sz="3" w:space="0" w:color="000000"/>
              <w:left w:val="single" w:sz="3" w:space="0" w:color="000000"/>
              <w:bottom w:val="single" w:sz="3" w:space="0" w:color="000000"/>
              <w:right w:val="single" w:sz="3" w:space="0" w:color="000000"/>
            </w:tcBorders>
          </w:tcPr>
          <w:p w14:paraId="576AA7C0" w14:textId="77777777" w:rsidR="00453D7A" w:rsidRDefault="00000000">
            <w:pPr>
              <w:spacing w:after="0" w:line="259" w:lineRule="auto"/>
              <w:ind w:left="0" w:right="0" w:firstLine="0"/>
              <w:jc w:val="left"/>
            </w:pPr>
            <w:r>
              <w:rPr>
                <w:sz w:val="17"/>
              </w:rPr>
              <w:t>Synthetic</w:t>
            </w:r>
          </w:p>
        </w:tc>
        <w:tc>
          <w:tcPr>
            <w:tcW w:w="734" w:type="dxa"/>
            <w:tcBorders>
              <w:top w:val="single" w:sz="3" w:space="0" w:color="000000"/>
              <w:left w:val="single" w:sz="3" w:space="0" w:color="000000"/>
              <w:bottom w:val="single" w:sz="3" w:space="0" w:color="000000"/>
              <w:right w:val="single" w:sz="3" w:space="0" w:color="000000"/>
            </w:tcBorders>
          </w:tcPr>
          <w:p w14:paraId="31B2462B" w14:textId="77777777" w:rsidR="00453D7A" w:rsidRDefault="00000000">
            <w:pPr>
              <w:spacing w:after="0" w:line="259" w:lineRule="auto"/>
              <w:ind w:left="0" w:right="0" w:firstLine="0"/>
              <w:jc w:val="left"/>
            </w:pPr>
            <w:r>
              <w:rPr>
                <w:sz w:val="17"/>
              </w:rPr>
              <w:t>Yes</w:t>
            </w:r>
          </w:p>
        </w:tc>
        <w:tc>
          <w:tcPr>
            <w:tcW w:w="864" w:type="dxa"/>
            <w:tcBorders>
              <w:top w:val="single" w:sz="3" w:space="0" w:color="000000"/>
              <w:left w:val="single" w:sz="3" w:space="0" w:color="000000"/>
              <w:bottom w:val="single" w:sz="3" w:space="0" w:color="000000"/>
              <w:right w:val="single" w:sz="3" w:space="0" w:color="000000"/>
            </w:tcBorders>
          </w:tcPr>
          <w:p w14:paraId="1F3ABC29" w14:textId="77777777" w:rsidR="00453D7A" w:rsidRDefault="00000000">
            <w:pPr>
              <w:spacing w:after="0" w:line="259" w:lineRule="auto"/>
              <w:ind w:left="0" w:right="0" w:firstLine="0"/>
              <w:jc w:val="left"/>
            </w:pPr>
            <w:r>
              <w:rPr>
                <w:sz w:val="17"/>
              </w:rPr>
              <w:t>59.786%</w:t>
            </w:r>
          </w:p>
        </w:tc>
        <w:tc>
          <w:tcPr>
            <w:tcW w:w="1520" w:type="dxa"/>
            <w:tcBorders>
              <w:top w:val="single" w:sz="3" w:space="0" w:color="000000"/>
              <w:left w:val="single" w:sz="3" w:space="0" w:color="000000"/>
              <w:bottom w:val="single" w:sz="3" w:space="0" w:color="000000"/>
              <w:right w:val="single" w:sz="3" w:space="0" w:color="000000"/>
            </w:tcBorders>
          </w:tcPr>
          <w:p w14:paraId="2B5130E3" w14:textId="77777777" w:rsidR="00453D7A" w:rsidRDefault="00000000">
            <w:pPr>
              <w:spacing w:after="0" w:line="259" w:lineRule="auto"/>
              <w:ind w:left="0" w:right="0" w:firstLine="0"/>
              <w:jc w:val="left"/>
            </w:pPr>
            <w:r>
              <w:rPr>
                <w:sz w:val="17"/>
              </w:rPr>
              <w:t>Yes</w:t>
            </w:r>
          </w:p>
        </w:tc>
        <w:tc>
          <w:tcPr>
            <w:tcW w:w="1289" w:type="dxa"/>
            <w:tcBorders>
              <w:top w:val="single" w:sz="3" w:space="0" w:color="000000"/>
              <w:left w:val="single" w:sz="3" w:space="0" w:color="000000"/>
              <w:bottom w:val="single" w:sz="3" w:space="0" w:color="000000"/>
              <w:right w:val="single" w:sz="3" w:space="0" w:color="000000"/>
            </w:tcBorders>
          </w:tcPr>
          <w:p w14:paraId="64CD2C96" w14:textId="77777777" w:rsidR="00453D7A" w:rsidRDefault="00000000">
            <w:pPr>
              <w:spacing w:after="0" w:line="259" w:lineRule="auto"/>
              <w:ind w:left="0" w:right="0" w:firstLine="0"/>
              <w:jc w:val="left"/>
            </w:pPr>
            <w:r>
              <w:rPr>
                <w:sz w:val="17"/>
              </w:rPr>
              <w:t>7.65</w:t>
            </w:r>
          </w:p>
        </w:tc>
      </w:tr>
    </w:tbl>
    <w:p w14:paraId="28427B52" w14:textId="77777777" w:rsidR="00453D7A" w:rsidRDefault="00000000">
      <w:pPr>
        <w:pStyle w:val="Heading2"/>
        <w:ind w:left="598" w:hanging="613"/>
      </w:pPr>
      <w:r>
        <w:t>Data Characteristics</w:t>
      </w:r>
    </w:p>
    <w:p w14:paraId="1981B7E2" w14:textId="77777777" w:rsidR="00453D7A" w:rsidRDefault="00000000">
      <w:pPr>
        <w:spacing w:after="291"/>
        <w:ind w:left="-5" w:right="900"/>
      </w:pPr>
      <w:r>
        <w:t xml:space="preserve">The SAML-D dataset </w:t>
      </w:r>
      <w:r>
        <w:rPr>
          <w:color w:val="0000FF"/>
        </w:rPr>
        <w:t xml:space="preserve">Oztas et al. </w:t>
      </w:r>
      <w:r>
        <w:t>(</w:t>
      </w:r>
      <w:r>
        <w:rPr>
          <w:color w:val="0000FF"/>
        </w:rPr>
        <w:t>2023</w:t>
      </w:r>
      <w:r>
        <w:t xml:space="preserve">) is a tabular dataset consisting of 9,504,852 transactions across 12 features, stored in CSV format. The target column </w:t>
      </w:r>
      <w:r>
        <w:rPr>
          <w:rFonts w:ascii="Calibri" w:eastAsia="Calibri" w:hAnsi="Calibri" w:cs="Calibri"/>
        </w:rPr>
        <w:t xml:space="preserve">Is laundering </w:t>
      </w:r>
      <w:r>
        <w:t>is a binary indicator distinguishing normal from suspicious transactions.</w:t>
      </w:r>
    </w:p>
    <w:p w14:paraId="20780A55" w14:textId="77777777" w:rsidR="00453D7A" w:rsidRDefault="00000000">
      <w:pPr>
        <w:pStyle w:val="Heading3"/>
        <w:ind w:left="685" w:right="900" w:hanging="700"/>
      </w:pPr>
      <w:r>
        <w:t>Features</w:t>
      </w:r>
    </w:p>
    <w:p w14:paraId="38311F51" w14:textId="77777777" w:rsidR="00453D7A" w:rsidRDefault="00000000">
      <w:pPr>
        <w:ind w:left="-5" w:right="900"/>
      </w:pPr>
      <w:r>
        <w:t>The dataset contains the following features, divided into transaction features and label features:</w:t>
      </w:r>
    </w:p>
    <w:p w14:paraId="4F8B485B" w14:textId="77777777" w:rsidR="00453D7A" w:rsidRDefault="00000000">
      <w:pPr>
        <w:spacing w:after="0" w:line="265" w:lineRule="auto"/>
        <w:ind w:right="915"/>
        <w:jc w:val="center"/>
      </w:pPr>
      <w:r>
        <w:t>Table 6: SAML-D Feature Overview</w:t>
      </w:r>
    </w:p>
    <w:tbl>
      <w:tblPr>
        <w:tblStyle w:val="TableGrid"/>
        <w:tblW w:w="9323" w:type="dxa"/>
        <w:tblInd w:w="0" w:type="dxa"/>
        <w:tblCellMar>
          <w:top w:w="28" w:type="dxa"/>
          <w:left w:w="120" w:type="dxa"/>
          <w:bottom w:w="0" w:type="dxa"/>
          <w:right w:w="115" w:type="dxa"/>
        </w:tblCellMar>
        <w:tblLook w:val="04A0" w:firstRow="1" w:lastRow="0" w:firstColumn="1" w:lastColumn="0" w:noHBand="0" w:noVBand="1"/>
      </w:tblPr>
      <w:tblGrid>
        <w:gridCol w:w="2066"/>
        <w:gridCol w:w="2482"/>
        <w:gridCol w:w="4775"/>
      </w:tblGrid>
      <w:tr w:rsidR="00453D7A" w14:paraId="6E39FE10" w14:textId="77777777">
        <w:trPr>
          <w:trHeight w:val="247"/>
        </w:trPr>
        <w:tc>
          <w:tcPr>
            <w:tcW w:w="2066" w:type="dxa"/>
            <w:tcBorders>
              <w:top w:val="single" w:sz="3" w:space="0" w:color="000000"/>
              <w:left w:val="single" w:sz="3" w:space="0" w:color="000000"/>
              <w:bottom w:val="single" w:sz="3" w:space="0" w:color="000000"/>
              <w:right w:val="single" w:sz="3" w:space="0" w:color="000000"/>
            </w:tcBorders>
          </w:tcPr>
          <w:p w14:paraId="2D63B469" w14:textId="77777777" w:rsidR="00453D7A" w:rsidRDefault="00000000">
            <w:pPr>
              <w:spacing w:after="0" w:line="259" w:lineRule="auto"/>
              <w:ind w:left="0" w:right="0" w:firstLine="0"/>
              <w:jc w:val="left"/>
            </w:pPr>
            <w:r>
              <w:rPr>
                <w:b/>
              </w:rPr>
              <w:t>Category</w:t>
            </w:r>
          </w:p>
        </w:tc>
        <w:tc>
          <w:tcPr>
            <w:tcW w:w="2482" w:type="dxa"/>
            <w:tcBorders>
              <w:top w:val="single" w:sz="3" w:space="0" w:color="000000"/>
              <w:left w:val="single" w:sz="3" w:space="0" w:color="000000"/>
              <w:bottom w:val="single" w:sz="3" w:space="0" w:color="000000"/>
              <w:right w:val="single" w:sz="3" w:space="0" w:color="000000"/>
            </w:tcBorders>
          </w:tcPr>
          <w:p w14:paraId="650CE274" w14:textId="77777777" w:rsidR="00453D7A" w:rsidRDefault="00000000">
            <w:pPr>
              <w:spacing w:after="0" w:line="259" w:lineRule="auto"/>
              <w:ind w:left="0" w:right="0" w:firstLine="0"/>
              <w:jc w:val="left"/>
            </w:pPr>
            <w:r>
              <w:rPr>
                <w:b/>
              </w:rPr>
              <w:t>Feature</w:t>
            </w:r>
          </w:p>
        </w:tc>
        <w:tc>
          <w:tcPr>
            <w:tcW w:w="4775" w:type="dxa"/>
            <w:tcBorders>
              <w:top w:val="single" w:sz="3" w:space="0" w:color="000000"/>
              <w:left w:val="single" w:sz="3" w:space="0" w:color="000000"/>
              <w:bottom w:val="single" w:sz="3" w:space="0" w:color="000000"/>
              <w:right w:val="single" w:sz="3" w:space="0" w:color="000000"/>
            </w:tcBorders>
          </w:tcPr>
          <w:p w14:paraId="3A5872D4" w14:textId="77777777" w:rsidR="00453D7A" w:rsidRDefault="00000000">
            <w:pPr>
              <w:spacing w:after="0" w:line="259" w:lineRule="auto"/>
              <w:ind w:left="0" w:right="0" w:firstLine="0"/>
              <w:jc w:val="left"/>
            </w:pPr>
            <w:r>
              <w:rPr>
                <w:b/>
              </w:rPr>
              <w:t>Description</w:t>
            </w:r>
          </w:p>
        </w:tc>
      </w:tr>
      <w:tr w:rsidR="00453D7A" w14:paraId="4DAC815B" w14:textId="77777777">
        <w:trPr>
          <w:trHeight w:val="244"/>
        </w:trPr>
        <w:tc>
          <w:tcPr>
            <w:tcW w:w="2066" w:type="dxa"/>
            <w:tcBorders>
              <w:top w:val="single" w:sz="3" w:space="0" w:color="000000"/>
              <w:left w:val="single" w:sz="3" w:space="0" w:color="000000"/>
              <w:bottom w:val="nil"/>
              <w:right w:val="single" w:sz="3" w:space="0" w:color="000000"/>
            </w:tcBorders>
          </w:tcPr>
          <w:p w14:paraId="41D49DDB" w14:textId="77777777" w:rsidR="00453D7A" w:rsidRDefault="00000000">
            <w:pPr>
              <w:spacing w:after="0" w:line="259" w:lineRule="auto"/>
              <w:ind w:left="0" w:right="0" w:firstLine="0"/>
              <w:jc w:val="left"/>
            </w:pPr>
            <w:r>
              <w:t>Transaction Features</w:t>
            </w:r>
          </w:p>
        </w:tc>
        <w:tc>
          <w:tcPr>
            <w:tcW w:w="2482" w:type="dxa"/>
            <w:tcBorders>
              <w:top w:val="single" w:sz="3" w:space="0" w:color="000000"/>
              <w:left w:val="single" w:sz="3" w:space="0" w:color="000000"/>
              <w:bottom w:val="nil"/>
              <w:right w:val="single" w:sz="3" w:space="0" w:color="000000"/>
            </w:tcBorders>
          </w:tcPr>
          <w:p w14:paraId="14B89F92" w14:textId="77777777" w:rsidR="00453D7A" w:rsidRDefault="00000000">
            <w:pPr>
              <w:spacing w:after="0" w:line="259" w:lineRule="auto"/>
              <w:ind w:left="0" w:right="0" w:firstLine="0"/>
              <w:jc w:val="left"/>
            </w:pPr>
            <w:r>
              <w:rPr>
                <w:rFonts w:ascii="Calibri" w:eastAsia="Calibri" w:hAnsi="Calibri" w:cs="Calibri"/>
              </w:rPr>
              <w:t>Time</w:t>
            </w:r>
          </w:p>
        </w:tc>
        <w:tc>
          <w:tcPr>
            <w:tcW w:w="4775" w:type="dxa"/>
            <w:tcBorders>
              <w:top w:val="single" w:sz="3" w:space="0" w:color="000000"/>
              <w:left w:val="single" w:sz="3" w:space="0" w:color="000000"/>
              <w:bottom w:val="nil"/>
              <w:right w:val="single" w:sz="3" w:space="0" w:color="000000"/>
            </w:tcBorders>
          </w:tcPr>
          <w:p w14:paraId="09CE62AF" w14:textId="77777777" w:rsidR="00453D7A" w:rsidRDefault="00000000">
            <w:pPr>
              <w:spacing w:after="0" w:line="259" w:lineRule="auto"/>
              <w:ind w:left="0" w:right="0" w:firstLine="0"/>
              <w:jc w:val="left"/>
            </w:pPr>
            <w:r>
              <w:t>Time of transaction (hh:mm:ss)</w:t>
            </w:r>
          </w:p>
        </w:tc>
      </w:tr>
      <w:tr w:rsidR="00453D7A" w14:paraId="1CE7BB37" w14:textId="77777777">
        <w:trPr>
          <w:trHeight w:val="239"/>
        </w:trPr>
        <w:tc>
          <w:tcPr>
            <w:tcW w:w="2066" w:type="dxa"/>
            <w:tcBorders>
              <w:top w:val="nil"/>
              <w:left w:val="single" w:sz="3" w:space="0" w:color="000000"/>
              <w:bottom w:val="nil"/>
              <w:right w:val="single" w:sz="3" w:space="0" w:color="000000"/>
            </w:tcBorders>
          </w:tcPr>
          <w:p w14:paraId="6DEB5939" w14:textId="77777777" w:rsidR="00453D7A" w:rsidRDefault="00453D7A">
            <w:pPr>
              <w:spacing w:after="160" w:line="259" w:lineRule="auto"/>
              <w:ind w:left="0" w:right="0" w:firstLine="0"/>
              <w:jc w:val="left"/>
            </w:pPr>
          </w:p>
        </w:tc>
        <w:tc>
          <w:tcPr>
            <w:tcW w:w="2482" w:type="dxa"/>
            <w:tcBorders>
              <w:top w:val="nil"/>
              <w:left w:val="single" w:sz="3" w:space="0" w:color="000000"/>
              <w:bottom w:val="nil"/>
              <w:right w:val="single" w:sz="3" w:space="0" w:color="000000"/>
            </w:tcBorders>
          </w:tcPr>
          <w:p w14:paraId="78CABF63" w14:textId="77777777" w:rsidR="00453D7A" w:rsidRDefault="00000000">
            <w:pPr>
              <w:spacing w:after="0" w:line="259" w:lineRule="auto"/>
              <w:ind w:left="0" w:right="0" w:firstLine="0"/>
              <w:jc w:val="left"/>
            </w:pPr>
            <w:r>
              <w:rPr>
                <w:rFonts w:ascii="Calibri" w:eastAsia="Calibri" w:hAnsi="Calibri" w:cs="Calibri"/>
              </w:rPr>
              <w:t>Date</w:t>
            </w:r>
          </w:p>
        </w:tc>
        <w:tc>
          <w:tcPr>
            <w:tcW w:w="4775" w:type="dxa"/>
            <w:tcBorders>
              <w:top w:val="nil"/>
              <w:left w:val="single" w:sz="3" w:space="0" w:color="000000"/>
              <w:bottom w:val="nil"/>
              <w:right w:val="single" w:sz="3" w:space="0" w:color="000000"/>
            </w:tcBorders>
          </w:tcPr>
          <w:p w14:paraId="151D3786" w14:textId="77777777" w:rsidR="00453D7A" w:rsidRDefault="00000000">
            <w:pPr>
              <w:spacing w:after="0" w:line="259" w:lineRule="auto"/>
              <w:ind w:left="0" w:right="0" w:firstLine="0"/>
              <w:jc w:val="left"/>
            </w:pPr>
            <w:r>
              <w:t>Date of transaction (yy-mm-dd)</w:t>
            </w:r>
          </w:p>
        </w:tc>
      </w:tr>
      <w:tr w:rsidR="00453D7A" w14:paraId="737698B4" w14:textId="77777777">
        <w:trPr>
          <w:trHeight w:val="239"/>
        </w:trPr>
        <w:tc>
          <w:tcPr>
            <w:tcW w:w="2066" w:type="dxa"/>
            <w:tcBorders>
              <w:top w:val="nil"/>
              <w:left w:val="single" w:sz="3" w:space="0" w:color="000000"/>
              <w:bottom w:val="nil"/>
              <w:right w:val="single" w:sz="3" w:space="0" w:color="000000"/>
            </w:tcBorders>
          </w:tcPr>
          <w:p w14:paraId="0105F4EA" w14:textId="77777777" w:rsidR="00453D7A" w:rsidRDefault="00453D7A">
            <w:pPr>
              <w:spacing w:after="160" w:line="259" w:lineRule="auto"/>
              <w:ind w:left="0" w:right="0" w:firstLine="0"/>
              <w:jc w:val="left"/>
            </w:pPr>
          </w:p>
        </w:tc>
        <w:tc>
          <w:tcPr>
            <w:tcW w:w="2482" w:type="dxa"/>
            <w:tcBorders>
              <w:top w:val="nil"/>
              <w:left w:val="single" w:sz="3" w:space="0" w:color="000000"/>
              <w:bottom w:val="nil"/>
              <w:right w:val="single" w:sz="3" w:space="0" w:color="000000"/>
            </w:tcBorders>
          </w:tcPr>
          <w:p w14:paraId="5C9176DE" w14:textId="77777777" w:rsidR="00453D7A" w:rsidRDefault="00000000">
            <w:pPr>
              <w:spacing w:after="0" w:line="259" w:lineRule="auto"/>
              <w:ind w:left="0" w:right="0" w:firstLine="0"/>
              <w:jc w:val="left"/>
            </w:pPr>
            <w:r>
              <w:rPr>
                <w:rFonts w:ascii="Calibri" w:eastAsia="Calibri" w:hAnsi="Calibri" w:cs="Calibri"/>
              </w:rPr>
              <w:t>Sender account</w:t>
            </w:r>
          </w:p>
        </w:tc>
        <w:tc>
          <w:tcPr>
            <w:tcW w:w="4775" w:type="dxa"/>
            <w:tcBorders>
              <w:top w:val="nil"/>
              <w:left w:val="single" w:sz="3" w:space="0" w:color="000000"/>
              <w:bottom w:val="nil"/>
              <w:right w:val="single" w:sz="3" w:space="0" w:color="000000"/>
            </w:tcBorders>
          </w:tcPr>
          <w:p w14:paraId="538A15E3" w14:textId="77777777" w:rsidR="00453D7A" w:rsidRDefault="00000000">
            <w:pPr>
              <w:spacing w:after="0" w:line="259" w:lineRule="auto"/>
              <w:ind w:left="0" w:right="0" w:firstLine="0"/>
              <w:jc w:val="left"/>
            </w:pPr>
            <w:r>
              <w:t>Sender bank account ID</w:t>
            </w:r>
          </w:p>
        </w:tc>
      </w:tr>
      <w:tr w:rsidR="00453D7A" w14:paraId="274E3B5D" w14:textId="77777777">
        <w:trPr>
          <w:trHeight w:val="239"/>
        </w:trPr>
        <w:tc>
          <w:tcPr>
            <w:tcW w:w="2066" w:type="dxa"/>
            <w:tcBorders>
              <w:top w:val="nil"/>
              <w:left w:val="single" w:sz="3" w:space="0" w:color="000000"/>
              <w:bottom w:val="nil"/>
              <w:right w:val="single" w:sz="3" w:space="0" w:color="000000"/>
            </w:tcBorders>
          </w:tcPr>
          <w:p w14:paraId="27CD192B" w14:textId="77777777" w:rsidR="00453D7A" w:rsidRDefault="00453D7A">
            <w:pPr>
              <w:spacing w:after="160" w:line="259" w:lineRule="auto"/>
              <w:ind w:left="0" w:right="0" w:firstLine="0"/>
              <w:jc w:val="left"/>
            </w:pPr>
          </w:p>
        </w:tc>
        <w:tc>
          <w:tcPr>
            <w:tcW w:w="2482" w:type="dxa"/>
            <w:tcBorders>
              <w:top w:val="nil"/>
              <w:left w:val="single" w:sz="3" w:space="0" w:color="000000"/>
              <w:bottom w:val="nil"/>
              <w:right w:val="single" w:sz="3" w:space="0" w:color="000000"/>
            </w:tcBorders>
          </w:tcPr>
          <w:p w14:paraId="024B5021" w14:textId="77777777" w:rsidR="00453D7A" w:rsidRDefault="00000000">
            <w:pPr>
              <w:spacing w:after="0" w:line="259" w:lineRule="auto"/>
              <w:ind w:left="0" w:right="0" w:firstLine="0"/>
              <w:jc w:val="left"/>
            </w:pPr>
            <w:r>
              <w:rPr>
                <w:rFonts w:ascii="Calibri" w:eastAsia="Calibri" w:hAnsi="Calibri" w:cs="Calibri"/>
              </w:rPr>
              <w:t>Receiver account</w:t>
            </w:r>
          </w:p>
        </w:tc>
        <w:tc>
          <w:tcPr>
            <w:tcW w:w="4775" w:type="dxa"/>
            <w:tcBorders>
              <w:top w:val="nil"/>
              <w:left w:val="single" w:sz="3" w:space="0" w:color="000000"/>
              <w:bottom w:val="nil"/>
              <w:right w:val="single" w:sz="3" w:space="0" w:color="000000"/>
            </w:tcBorders>
          </w:tcPr>
          <w:p w14:paraId="1E4DBCBC" w14:textId="77777777" w:rsidR="00453D7A" w:rsidRDefault="00000000">
            <w:pPr>
              <w:spacing w:after="0" w:line="259" w:lineRule="auto"/>
              <w:ind w:left="0" w:right="0" w:firstLine="0"/>
              <w:jc w:val="left"/>
            </w:pPr>
            <w:r>
              <w:t>Receiver bank account ID</w:t>
            </w:r>
          </w:p>
        </w:tc>
      </w:tr>
      <w:tr w:rsidR="00453D7A" w14:paraId="6DB5E058" w14:textId="77777777">
        <w:trPr>
          <w:trHeight w:val="239"/>
        </w:trPr>
        <w:tc>
          <w:tcPr>
            <w:tcW w:w="2066" w:type="dxa"/>
            <w:tcBorders>
              <w:top w:val="nil"/>
              <w:left w:val="single" w:sz="3" w:space="0" w:color="000000"/>
              <w:bottom w:val="nil"/>
              <w:right w:val="single" w:sz="3" w:space="0" w:color="000000"/>
            </w:tcBorders>
          </w:tcPr>
          <w:p w14:paraId="7F4818B4" w14:textId="77777777" w:rsidR="00453D7A" w:rsidRDefault="00453D7A">
            <w:pPr>
              <w:spacing w:after="160" w:line="259" w:lineRule="auto"/>
              <w:ind w:left="0" w:right="0" w:firstLine="0"/>
              <w:jc w:val="left"/>
            </w:pPr>
          </w:p>
        </w:tc>
        <w:tc>
          <w:tcPr>
            <w:tcW w:w="2482" w:type="dxa"/>
            <w:tcBorders>
              <w:top w:val="nil"/>
              <w:left w:val="single" w:sz="3" w:space="0" w:color="000000"/>
              <w:bottom w:val="nil"/>
              <w:right w:val="single" w:sz="3" w:space="0" w:color="000000"/>
            </w:tcBorders>
          </w:tcPr>
          <w:p w14:paraId="0BE89AE5" w14:textId="77777777" w:rsidR="00453D7A" w:rsidRDefault="00000000">
            <w:pPr>
              <w:spacing w:after="0" w:line="259" w:lineRule="auto"/>
              <w:ind w:left="0" w:right="0" w:firstLine="0"/>
              <w:jc w:val="left"/>
            </w:pPr>
            <w:r>
              <w:rPr>
                <w:rFonts w:ascii="Calibri" w:eastAsia="Calibri" w:hAnsi="Calibri" w:cs="Calibri"/>
              </w:rPr>
              <w:t>Amount</w:t>
            </w:r>
          </w:p>
        </w:tc>
        <w:tc>
          <w:tcPr>
            <w:tcW w:w="4775" w:type="dxa"/>
            <w:tcBorders>
              <w:top w:val="nil"/>
              <w:left w:val="single" w:sz="3" w:space="0" w:color="000000"/>
              <w:bottom w:val="nil"/>
              <w:right w:val="single" w:sz="3" w:space="0" w:color="000000"/>
            </w:tcBorders>
          </w:tcPr>
          <w:p w14:paraId="758AED13" w14:textId="77777777" w:rsidR="00453D7A" w:rsidRDefault="00000000">
            <w:pPr>
              <w:spacing w:after="0" w:line="259" w:lineRule="auto"/>
              <w:ind w:left="0" w:right="0" w:firstLine="0"/>
              <w:jc w:val="left"/>
            </w:pPr>
            <w:r>
              <w:t>Transaction amount (decimal)</w:t>
            </w:r>
          </w:p>
        </w:tc>
      </w:tr>
      <w:tr w:rsidR="00453D7A" w14:paraId="0A89BB0E" w14:textId="77777777">
        <w:trPr>
          <w:trHeight w:val="239"/>
        </w:trPr>
        <w:tc>
          <w:tcPr>
            <w:tcW w:w="2066" w:type="dxa"/>
            <w:tcBorders>
              <w:top w:val="nil"/>
              <w:left w:val="single" w:sz="3" w:space="0" w:color="000000"/>
              <w:bottom w:val="nil"/>
              <w:right w:val="single" w:sz="3" w:space="0" w:color="000000"/>
            </w:tcBorders>
          </w:tcPr>
          <w:p w14:paraId="756C8621" w14:textId="77777777" w:rsidR="00453D7A" w:rsidRDefault="00453D7A">
            <w:pPr>
              <w:spacing w:after="160" w:line="259" w:lineRule="auto"/>
              <w:ind w:left="0" w:right="0" w:firstLine="0"/>
              <w:jc w:val="left"/>
            </w:pPr>
          </w:p>
        </w:tc>
        <w:tc>
          <w:tcPr>
            <w:tcW w:w="2482" w:type="dxa"/>
            <w:tcBorders>
              <w:top w:val="nil"/>
              <w:left w:val="single" w:sz="3" w:space="0" w:color="000000"/>
              <w:bottom w:val="nil"/>
              <w:right w:val="single" w:sz="3" w:space="0" w:color="000000"/>
            </w:tcBorders>
          </w:tcPr>
          <w:p w14:paraId="5F628B0F" w14:textId="77777777" w:rsidR="00453D7A" w:rsidRDefault="00000000">
            <w:pPr>
              <w:spacing w:after="0" w:line="259" w:lineRule="auto"/>
              <w:ind w:left="0" w:right="0" w:firstLine="0"/>
              <w:jc w:val="left"/>
            </w:pPr>
            <w:r>
              <w:rPr>
                <w:rFonts w:ascii="Calibri" w:eastAsia="Calibri" w:hAnsi="Calibri" w:cs="Calibri"/>
              </w:rPr>
              <w:t>Payment type</w:t>
            </w:r>
          </w:p>
        </w:tc>
        <w:tc>
          <w:tcPr>
            <w:tcW w:w="4775" w:type="dxa"/>
            <w:tcBorders>
              <w:top w:val="nil"/>
              <w:left w:val="single" w:sz="3" w:space="0" w:color="000000"/>
              <w:bottom w:val="nil"/>
              <w:right w:val="single" w:sz="3" w:space="0" w:color="000000"/>
            </w:tcBorders>
          </w:tcPr>
          <w:p w14:paraId="627DAE04" w14:textId="77777777" w:rsidR="00453D7A" w:rsidRDefault="00000000">
            <w:pPr>
              <w:spacing w:after="0" w:line="259" w:lineRule="auto"/>
              <w:ind w:left="0" w:right="0" w:firstLine="0"/>
              <w:jc w:val="left"/>
            </w:pPr>
            <w:r>
              <w:t>Payment type (e.g. Cash Deposit, Cheque)</w:t>
            </w:r>
          </w:p>
        </w:tc>
      </w:tr>
      <w:tr w:rsidR="00453D7A" w14:paraId="179C1462" w14:textId="77777777">
        <w:trPr>
          <w:trHeight w:val="239"/>
        </w:trPr>
        <w:tc>
          <w:tcPr>
            <w:tcW w:w="2066" w:type="dxa"/>
            <w:tcBorders>
              <w:top w:val="nil"/>
              <w:left w:val="single" w:sz="3" w:space="0" w:color="000000"/>
              <w:bottom w:val="nil"/>
              <w:right w:val="single" w:sz="3" w:space="0" w:color="000000"/>
            </w:tcBorders>
          </w:tcPr>
          <w:p w14:paraId="60D9B544" w14:textId="77777777" w:rsidR="00453D7A" w:rsidRDefault="00453D7A">
            <w:pPr>
              <w:spacing w:after="160" w:line="259" w:lineRule="auto"/>
              <w:ind w:left="0" w:right="0" w:firstLine="0"/>
              <w:jc w:val="left"/>
            </w:pPr>
          </w:p>
        </w:tc>
        <w:tc>
          <w:tcPr>
            <w:tcW w:w="2482" w:type="dxa"/>
            <w:tcBorders>
              <w:top w:val="nil"/>
              <w:left w:val="single" w:sz="3" w:space="0" w:color="000000"/>
              <w:bottom w:val="nil"/>
              <w:right w:val="single" w:sz="3" w:space="0" w:color="000000"/>
            </w:tcBorders>
          </w:tcPr>
          <w:p w14:paraId="1B0BDFDA" w14:textId="77777777" w:rsidR="00453D7A" w:rsidRDefault="00000000">
            <w:pPr>
              <w:spacing w:after="0" w:line="259" w:lineRule="auto"/>
              <w:ind w:left="0" w:right="0" w:firstLine="0"/>
              <w:jc w:val="left"/>
            </w:pPr>
            <w:r>
              <w:rPr>
                <w:rFonts w:ascii="Calibri" w:eastAsia="Calibri" w:hAnsi="Calibri" w:cs="Calibri"/>
              </w:rPr>
              <w:t>Payment currency</w:t>
            </w:r>
          </w:p>
        </w:tc>
        <w:tc>
          <w:tcPr>
            <w:tcW w:w="4775" w:type="dxa"/>
            <w:tcBorders>
              <w:top w:val="nil"/>
              <w:left w:val="single" w:sz="3" w:space="0" w:color="000000"/>
              <w:bottom w:val="nil"/>
              <w:right w:val="single" w:sz="3" w:space="0" w:color="000000"/>
            </w:tcBorders>
          </w:tcPr>
          <w:p w14:paraId="3197621F" w14:textId="77777777" w:rsidR="00453D7A" w:rsidRDefault="00000000">
            <w:pPr>
              <w:spacing w:after="0" w:line="259" w:lineRule="auto"/>
              <w:ind w:left="0" w:right="0" w:firstLine="0"/>
              <w:jc w:val="left"/>
            </w:pPr>
            <w:r>
              <w:t>Sender account currency (e.g. UK Pounds, Euro)</w:t>
            </w:r>
          </w:p>
        </w:tc>
      </w:tr>
      <w:tr w:rsidR="00453D7A" w14:paraId="338942AE" w14:textId="77777777">
        <w:trPr>
          <w:trHeight w:val="239"/>
        </w:trPr>
        <w:tc>
          <w:tcPr>
            <w:tcW w:w="2066" w:type="dxa"/>
            <w:tcBorders>
              <w:top w:val="nil"/>
              <w:left w:val="single" w:sz="3" w:space="0" w:color="000000"/>
              <w:bottom w:val="nil"/>
              <w:right w:val="single" w:sz="3" w:space="0" w:color="000000"/>
            </w:tcBorders>
          </w:tcPr>
          <w:p w14:paraId="59C6B443" w14:textId="77777777" w:rsidR="00453D7A" w:rsidRDefault="00453D7A">
            <w:pPr>
              <w:spacing w:after="160" w:line="259" w:lineRule="auto"/>
              <w:ind w:left="0" w:right="0" w:firstLine="0"/>
              <w:jc w:val="left"/>
            </w:pPr>
          </w:p>
        </w:tc>
        <w:tc>
          <w:tcPr>
            <w:tcW w:w="2482" w:type="dxa"/>
            <w:tcBorders>
              <w:top w:val="nil"/>
              <w:left w:val="single" w:sz="3" w:space="0" w:color="000000"/>
              <w:bottom w:val="nil"/>
              <w:right w:val="single" w:sz="3" w:space="0" w:color="000000"/>
            </w:tcBorders>
          </w:tcPr>
          <w:p w14:paraId="36FE652D" w14:textId="77777777" w:rsidR="00453D7A" w:rsidRDefault="00000000">
            <w:pPr>
              <w:spacing w:after="0" w:line="259" w:lineRule="auto"/>
              <w:ind w:left="0" w:right="0" w:firstLine="0"/>
              <w:jc w:val="left"/>
            </w:pPr>
            <w:r>
              <w:rPr>
                <w:rFonts w:ascii="Calibri" w:eastAsia="Calibri" w:hAnsi="Calibri" w:cs="Calibri"/>
              </w:rPr>
              <w:t>Received currency</w:t>
            </w:r>
          </w:p>
        </w:tc>
        <w:tc>
          <w:tcPr>
            <w:tcW w:w="4775" w:type="dxa"/>
            <w:tcBorders>
              <w:top w:val="nil"/>
              <w:left w:val="single" w:sz="3" w:space="0" w:color="000000"/>
              <w:bottom w:val="nil"/>
              <w:right w:val="single" w:sz="3" w:space="0" w:color="000000"/>
            </w:tcBorders>
          </w:tcPr>
          <w:p w14:paraId="587C4C55" w14:textId="77777777" w:rsidR="00453D7A" w:rsidRDefault="00000000">
            <w:pPr>
              <w:spacing w:after="0" w:line="259" w:lineRule="auto"/>
              <w:ind w:left="0" w:right="0" w:firstLine="0"/>
              <w:jc w:val="left"/>
            </w:pPr>
            <w:r>
              <w:t>Receiver account currency (e.g. UK Pounds, Euro)</w:t>
            </w:r>
          </w:p>
        </w:tc>
      </w:tr>
      <w:tr w:rsidR="00453D7A" w14:paraId="5D91F083" w14:textId="77777777">
        <w:trPr>
          <w:trHeight w:val="239"/>
        </w:trPr>
        <w:tc>
          <w:tcPr>
            <w:tcW w:w="2066" w:type="dxa"/>
            <w:tcBorders>
              <w:top w:val="nil"/>
              <w:left w:val="single" w:sz="3" w:space="0" w:color="000000"/>
              <w:bottom w:val="nil"/>
              <w:right w:val="single" w:sz="3" w:space="0" w:color="000000"/>
            </w:tcBorders>
          </w:tcPr>
          <w:p w14:paraId="33CFD2F8" w14:textId="77777777" w:rsidR="00453D7A" w:rsidRDefault="00453D7A">
            <w:pPr>
              <w:spacing w:after="160" w:line="259" w:lineRule="auto"/>
              <w:ind w:left="0" w:right="0" w:firstLine="0"/>
              <w:jc w:val="left"/>
            </w:pPr>
          </w:p>
        </w:tc>
        <w:tc>
          <w:tcPr>
            <w:tcW w:w="2482" w:type="dxa"/>
            <w:tcBorders>
              <w:top w:val="nil"/>
              <w:left w:val="single" w:sz="3" w:space="0" w:color="000000"/>
              <w:bottom w:val="nil"/>
              <w:right w:val="single" w:sz="3" w:space="0" w:color="000000"/>
            </w:tcBorders>
          </w:tcPr>
          <w:p w14:paraId="46DD520E" w14:textId="77777777" w:rsidR="00453D7A" w:rsidRDefault="00000000">
            <w:pPr>
              <w:spacing w:after="0" w:line="259" w:lineRule="auto"/>
              <w:ind w:left="0" w:right="0" w:firstLine="0"/>
              <w:jc w:val="left"/>
            </w:pPr>
            <w:r>
              <w:rPr>
                <w:rFonts w:ascii="Calibri" w:eastAsia="Calibri" w:hAnsi="Calibri" w:cs="Calibri"/>
              </w:rPr>
              <w:t>Sender bank location</w:t>
            </w:r>
          </w:p>
        </w:tc>
        <w:tc>
          <w:tcPr>
            <w:tcW w:w="4775" w:type="dxa"/>
            <w:tcBorders>
              <w:top w:val="nil"/>
              <w:left w:val="single" w:sz="3" w:space="0" w:color="000000"/>
              <w:bottom w:val="nil"/>
              <w:right w:val="single" w:sz="3" w:space="0" w:color="000000"/>
            </w:tcBorders>
          </w:tcPr>
          <w:p w14:paraId="33A1B462" w14:textId="77777777" w:rsidR="00453D7A" w:rsidRDefault="00000000">
            <w:pPr>
              <w:spacing w:after="0" w:line="259" w:lineRule="auto"/>
              <w:ind w:left="0" w:right="0" w:firstLine="0"/>
              <w:jc w:val="left"/>
            </w:pPr>
            <w:r>
              <w:t>Sender bank location (e.g. UK, Spain)</w:t>
            </w:r>
          </w:p>
        </w:tc>
      </w:tr>
      <w:tr w:rsidR="00453D7A" w14:paraId="49621D15" w14:textId="77777777">
        <w:trPr>
          <w:trHeight w:val="242"/>
        </w:trPr>
        <w:tc>
          <w:tcPr>
            <w:tcW w:w="2066" w:type="dxa"/>
            <w:tcBorders>
              <w:top w:val="nil"/>
              <w:left w:val="single" w:sz="3" w:space="0" w:color="000000"/>
              <w:bottom w:val="single" w:sz="3" w:space="0" w:color="000000"/>
              <w:right w:val="single" w:sz="3" w:space="0" w:color="000000"/>
            </w:tcBorders>
          </w:tcPr>
          <w:p w14:paraId="42C4B46C" w14:textId="77777777" w:rsidR="00453D7A" w:rsidRDefault="00453D7A">
            <w:pPr>
              <w:spacing w:after="160" w:line="259" w:lineRule="auto"/>
              <w:ind w:left="0" w:right="0" w:firstLine="0"/>
              <w:jc w:val="left"/>
            </w:pPr>
          </w:p>
        </w:tc>
        <w:tc>
          <w:tcPr>
            <w:tcW w:w="2482" w:type="dxa"/>
            <w:tcBorders>
              <w:top w:val="nil"/>
              <w:left w:val="single" w:sz="3" w:space="0" w:color="000000"/>
              <w:bottom w:val="single" w:sz="3" w:space="0" w:color="000000"/>
              <w:right w:val="single" w:sz="3" w:space="0" w:color="000000"/>
            </w:tcBorders>
          </w:tcPr>
          <w:p w14:paraId="0F4A5D1E" w14:textId="77777777" w:rsidR="00453D7A" w:rsidRDefault="00000000">
            <w:pPr>
              <w:spacing w:after="0" w:line="259" w:lineRule="auto"/>
              <w:ind w:left="0" w:right="0" w:firstLine="0"/>
              <w:jc w:val="left"/>
            </w:pPr>
            <w:r>
              <w:rPr>
                <w:rFonts w:ascii="Calibri" w:eastAsia="Calibri" w:hAnsi="Calibri" w:cs="Calibri"/>
              </w:rPr>
              <w:t>Receiver bank location</w:t>
            </w:r>
          </w:p>
        </w:tc>
        <w:tc>
          <w:tcPr>
            <w:tcW w:w="4775" w:type="dxa"/>
            <w:tcBorders>
              <w:top w:val="nil"/>
              <w:left w:val="single" w:sz="3" w:space="0" w:color="000000"/>
              <w:bottom w:val="single" w:sz="3" w:space="0" w:color="000000"/>
              <w:right w:val="single" w:sz="3" w:space="0" w:color="000000"/>
            </w:tcBorders>
          </w:tcPr>
          <w:p w14:paraId="32E2FF1F" w14:textId="77777777" w:rsidR="00453D7A" w:rsidRDefault="00000000">
            <w:pPr>
              <w:spacing w:after="0" w:line="259" w:lineRule="auto"/>
              <w:ind w:left="0" w:right="0" w:firstLine="0"/>
              <w:jc w:val="left"/>
            </w:pPr>
            <w:r>
              <w:t>Receiver bank location (e.g. UK, Spain)</w:t>
            </w:r>
          </w:p>
        </w:tc>
      </w:tr>
      <w:tr w:rsidR="00453D7A" w14:paraId="09523E48" w14:textId="77777777">
        <w:trPr>
          <w:trHeight w:val="244"/>
        </w:trPr>
        <w:tc>
          <w:tcPr>
            <w:tcW w:w="2066" w:type="dxa"/>
            <w:tcBorders>
              <w:top w:val="single" w:sz="3" w:space="0" w:color="000000"/>
              <w:left w:val="single" w:sz="3" w:space="0" w:color="000000"/>
              <w:bottom w:val="nil"/>
              <w:right w:val="single" w:sz="3" w:space="0" w:color="000000"/>
            </w:tcBorders>
          </w:tcPr>
          <w:p w14:paraId="540279C8" w14:textId="77777777" w:rsidR="00453D7A" w:rsidRDefault="00000000">
            <w:pPr>
              <w:spacing w:after="0" w:line="259" w:lineRule="auto"/>
              <w:ind w:left="0" w:right="0" w:firstLine="0"/>
              <w:jc w:val="left"/>
            </w:pPr>
            <w:r>
              <w:t>Label Features</w:t>
            </w:r>
          </w:p>
        </w:tc>
        <w:tc>
          <w:tcPr>
            <w:tcW w:w="2482" w:type="dxa"/>
            <w:tcBorders>
              <w:top w:val="single" w:sz="3" w:space="0" w:color="000000"/>
              <w:left w:val="single" w:sz="3" w:space="0" w:color="000000"/>
              <w:bottom w:val="nil"/>
              <w:right w:val="single" w:sz="3" w:space="0" w:color="000000"/>
            </w:tcBorders>
          </w:tcPr>
          <w:p w14:paraId="7E06CE9C" w14:textId="77777777" w:rsidR="00453D7A" w:rsidRDefault="00000000">
            <w:pPr>
              <w:spacing w:after="0" w:line="259" w:lineRule="auto"/>
              <w:ind w:left="0" w:right="0" w:firstLine="0"/>
              <w:jc w:val="left"/>
            </w:pPr>
            <w:r>
              <w:rPr>
                <w:rFonts w:ascii="Calibri" w:eastAsia="Calibri" w:hAnsi="Calibri" w:cs="Calibri"/>
              </w:rPr>
              <w:t xml:space="preserve">Is </w:t>
            </w:r>
            <w:r>
              <w:rPr>
                <w:rFonts w:ascii="Calibri" w:eastAsia="Calibri" w:hAnsi="Calibri" w:cs="Calibri"/>
                <w:noProof/>
                <w:sz w:val="22"/>
              </w:rPr>
              <mc:AlternateContent>
                <mc:Choice Requires="wpg">
                  <w:drawing>
                    <wp:inline distT="0" distB="0" distL="0" distR="0" wp14:anchorId="492357CC" wp14:editId="6BEBFE67">
                      <wp:extent cx="39853" cy="5055"/>
                      <wp:effectExtent l="0" t="0" r="0" b="0"/>
                      <wp:docPr id="40960" name="Group 40960"/>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1818" name="Shape 1818"/>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960" style="width:3.138pt;height:0.398pt;mso-position-horizontal-relative:char;mso-position-vertical-relative:line" coordsize="398,50">
                      <v:shape id="Shape 1818"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laundering</w:t>
            </w:r>
          </w:p>
        </w:tc>
        <w:tc>
          <w:tcPr>
            <w:tcW w:w="4775" w:type="dxa"/>
            <w:tcBorders>
              <w:top w:val="single" w:sz="3" w:space="0" w:color="000000"/>
              <w:left w:val="single" w:sz="3" w:space="0" w:color="000000"/>
              <w:bottom w:val="nil"/>
              <w:right w:val="single" w:sz="3" w:space="0" w:color="000000"/>
            </w:tcBorders>
          </w:tcPr>
          <w:p w14:paraId="66313885" w14:textId="77777777" w:rsidR="00453D7A" w:rsidRDefault="00000000">
            <w:pPr>
              <w:spacing w:after="0" w:line="259" w:lineRule="auto"/>
              <w:ind w:left="0" w:right="0" w:firstLine="0"/>
              <w:jc w:val="left"/>
            </w:pPr>
            <w:r>
              <w:t>Binary indicator of laundering activity</w:t>
            </w:r>
          </w:p>
        </w:tc>
      </w:tr>
      <w:tr w:rsidR="00453D7A" w14:paraId="01C62A6E" w14:textId="77777777">
        <w:trPr>
          <w:trHeight w:val="481"/>
        </w:trPr>
        <w:tc>
          <w:tcPr>
            <w:tcW w:w="2066" w:type="dxa"/>
            <w:tcBorders>
              <w:top w:val="nil"/>
              <w:left w:val="single" w:sz="3" w:space="0" w:color="000000"/>
              <w:bottom w:val="single" w:sz="3" w:space="0" w:color="000000"/>
              <w:right w:val="single" w:sz="3" w:space="0" w:color="000000"/>
            </w:tcBorders>
          </w:tcPr>
          <w:p w14:paraId="332BFC37" w14:textId="77777777" w:rsidR="00453D7A" w:rsidRDefault="00453D7A">
            <w:pPr>
              <w:spacing w:after="160" w:line="259" w:lineRule="auto"/>
              <w:ind w:left="0" w:right="0" w:firstLine="0"/>
              <w:jc w:val="left"/>
            </w:pPr>
          </w:p>
        </w:tc>
        <w:tc>
          <w:tcPr>
            <w:tcW w:w="2482" w:type="dxa"/>
            <w:tcBorders>
              <w:top w:val="nil"/>
              <w:left w:val="single" w:sz="3" w:space="0" w:color="000000"/>
              <w:bottom w:val="single" w:sz="3" w:space="0" w:color="000000"/>
              <w:right w:val="single" w:sz="3" w:space="0" w:color="000000"/>
            </w:tcBorders>
          </w:tcPr>
          <w:p w14:paraId="39779C54" w14:textId="77777777" w:rsidR="00453D7A" w:rsidRDefault="00000000">
            <w:pPr>
              <w:spacing w:after="0" w:line="259" w:lineRule="auto"/>
              <w:ind w:left="0" w:right="0" w:firstLine="0"/>
              <w:jc w:val="left"/>
            </w:pPr>
            <w:r>
              <w:rPr>
                <w:rFonts w:ascii="Calibri" w:eastAsia="Calibri" w:hAnsi="Calibri" w:cs="Calibri"/>
              </w:rPr>
              <w:t>Laundering type</w:t>
            </w:r>
          </w:p>
        </w:tc>
        <w:tc>
          <w:tcPr>
            <w:tcW w:w="4775" w:type="dxa"/>
            <w:tcBorders>
              <w:top w:val="nil"/>
              <w:left w:val="single" w:sz="3" w:space="0" w:color="000000"/>
              <w:bottom w:val="single" w:sz="3" w:space="0" w:color="000000"/>
              <w:right w:val="single" w:sz="3" w:space="0" w:color="000000"/>
            </w:tcBorders>
          </w:tcPr>
          <w:p w14:paraId="3CB50DE5" w14:textId="77777777" w:rsidR="00453D7A" w:rsidRDefault="00000000">
            <w:pPr>
              <w:tabs>
                <w:tab w:val="right" w:pos="4540"/>
              </w:tabs>
              <w:spacing w:after="0" w:line="259" w:lineRule="auto"/>
              <w:ind w:left="0" w:right="0" w:firstLine="0"/>
              <w:jc w:val="left"/>
            </w:pPr>
            <w:r>
              <w:t>Type of laundering pattern (e.g.</w:t>
            </w:r>
            <w:r>
              <w:tab/>
              <w:t>Smurfing, Over-</w:t>
            </w:r>
          </w:p>
          <w:p w14:paraId="08E2D9B2" w14:textId="77777777" w:rsidR="00453D7A" w:rsidRDefault="00000000">
            <w:pPr>
              <w:spacing w:after="0" w:line="259" w:lineRule="auto"/>
              <w:ind w:left="0" w:right="0" w:firstLine="0"/>
              <w:jc w:val="left"/>
            </w:pPr>
            <w:r>
              <w:t>Invoicing)</w:t>
            </w:r>
          </w:p>
        </w:tc>
      </w:tr>
    </w:tbl>
    <w:p w14:paraId="2A566A3F" w14:textId="77777777" w:rsidR="00453D7A" w:rsidRDefault="00000000">
      <w:pPr>
        <w:pStyle w:val="Heading3"/>
        <w:ind w:left="685" w:right="900" w:hanging="700"/>
      </w:pPr>
      <w:r>
        <w:t>Class Imbalance</w:t>
      </w:r>
    </w:p>
    <w:p w14:paraId="5036B3C7" w14:textId="77777777" w:rsidR="00453D7A" w:rsidRDefault="00000000">
      <w:pPr>
        <w:spacing w:after="292"/>
        <w:ind w:left="-5" w:right="900"/>
      </w:pPr>
      <w:r>
        <w:t xml:space="preserve">The dataset is highly imbalanced, with only 0.104% of transactions labelled as laundering. This reflects the nature of real-world AML data, where fraudulent activity represents a small fraction of all transactions. To account for this imbalance during model evaluation, AUPRC was used as the primary metric </w:t>
      </w:r>
      <w:r>
        <w:rPr>
          <w:color w:val="0000FF"/>
        </w:rPr>
        <w:t xml:space="preserve">Attard and de Bruijn </w:t>
      </w:r>
      <w:r>
        <w:t>(</w:t>
      </w:r>
      <w:r>
        <w:rPr>
          <w:color w:val="0000FF"/>
        </w:rPr>
        <w:t>2026</w:t>
      </w:r>
      <w:r>
        <w:t xml:space="preserve">); </w:t>
      </w:r>
      <w:r>
        <w:rPr>
          <w:color w:val="0000FF"/>
        </w:rPr>
        <w:t xml:space="preserve">Menon and Nguyen </w:t>
      </w:r>
      <w:r>
        <w:t>(</w:t>
      </w:r>
      <w:r>
        <w:rPr>
          <w:color w:val="0000FF"/>
        </w:rPr>
        <w:t>2026</w:t>
      </w:r>
      <w:r>
        <w:t>), as it evaluates performance specifically on the minority class across all classification thresholds.</w:t>
      </w:r>
    </w:p>
    <w:p w14:paraId="5D9BAF4F" w14:textId="77777777" w:rsidR="00453D7A" w:rsidRDefault="00000000">
      <w:pPr>
        <w:pStyle w:val="Heading3"/>
        <w:ind w:left="685" w:right="900" w:hanging="700"/>
      </w:pPr>
      <w:r>
        <w:t>Train/Test Split</w:t>
      </w:r>
    </w:p>
    <w:p w14:paraId="38A1579F" w14:textId="77777777" w:rsidR="00453D7A" w:rsidRDefault="00000000">
      <w:pPr>
        <w:spacing w:after="337"/>
        <w:ind w:left="-5" w:right="900"/>
      </w:pPr>
      <w:r>
        <w:t xml:space="preserve">The dataset was split chronologically into a training set (70%), validation set (15%), and test set (15%), inspired by the 70/30 split used by FraudGNN-RL </w:t>
      </w:r>
      <w:r>
        <w:rPr>
          <w:color w:val="0000FF"/>
        </w:rPr>
        <w:t xml:space="preserve">Cui et al. </w:t>
      </w:r>
      <w:r>
        <w:t>(</w:t>
      </w:r>
      <w:r>
        <w:rPr>
          <w:color w:val="0000FF"/>
        </w:rPr>
        <w:t>2025</w:t>
      </w:r>
      <w:r>
        <w:t>), with the held-out 30% divided equally between validation and test to allow for hyperparameter tuning without leaking the final evaluation set. The chronological split ensured the model was always trained on past transactions and evaluated on future ones, preventing data leakage and reflecting real-world deployment conditions where a model must generalize to transactions it has never seen before.</w:t>
      </w:r>
    </w:p>
    <w:p w14:paraId="20AB3426" w14:textId="77777777" w:rsidR="00453D7A" w:rsidRDefault="00000000">
      <w:pPr>
        <w:pStyle w:val="Heading2"/>
        <w:ind w:left="598" w:hanging="613"/>
      </w:pPr>
      <w:r>
        <w:t>Preprocessing</w:t>
      </w:r>
    </w:p>
    <w:p w14:paraId="62FC50EC" w14:textId="77777777" w:rsidR="00453D7A" w:rsidRDefault="00000000">
      <w:pPr>
        <w:ind w:left="-5" w:right="900"/>
      </w:pPr>
      <w:r>
        <w:t>Before training, several preprocessing steps were applied to prepare the dataset for both models.</w:t>
      </w:r>
    </w:p>
    <w:p w14:paraId="04B953A4" w14:textId="77777777" w:rsidR="00453D7A" w:rsidRDefault="00000000">
      <w:pPr>
        <w:ind w:left="-15" w:right="900" w:firstLine="299"/>
      </w:pPr>
      <w:r>
        <w:rPr>
          <w:b/>
        </w:rPr>
        <w:t xml:space="preserve">Feature engineering. </w:t>
      </w:r>
      <w:r>
        <w:t xml:space="preserve">For each bank account in the training set, a statistical profile was constructed from its transaction history. These profiles were then joined onto the validation and test sets by account ID, ensuring no data leakage. This approach follows </w:t>
      </w:r>
      <w:r>
        <w:rPr>
          <w:color w:val="0000FF"/>
        </w:rPr>
        <w:t xml:space="preserve">Harris et al. </w:t>
      </w:r>
      <w:r>
        <w:t>(</w:t>
      </w:r>
      <w:r>
        <w:rPr>
          <w:color w:val="0000FF"/>
        </w:rPr>
        <w:t>2021</w:t>
      </w:r>
      <w:r>
        <w:t xml:space="preserve">), who demonstrated that adding account-level aggregates improves money laundering detection performance. Accounts not seen during training received a value of 0 for all profile features, indicating no known history. The </w:t>
      </w:r>
      <w:r>
        <w:rPr>
          <w:rFonts w:ascii="Calibri" w:eastAsia="Calibri" w:hAnsi="Calibri" w:cs="Calibri"/>
        </w:rPr>
        <w:t xml:space="preserve">Laundering </w:t>
      </w:r>
      <w:r>
        <w:rPr>
          <w:rFonts w:ascii="Calibri" w:eastAsia="Calibri" w:hAnsi="Calibri" w:cs="Calibri"/>
          <w:noProof/>
          <w:sz w:val="22"/>
        </w:rPr>
        <mc:AlternateContent>
          <mc:Choice Requires="wpg">
            <w:drawing>
              <wp:inline distT="0" distB="0" distL="0" distR="0" wp14:anchorId="578BB8B1" wp14:editId="26394122">
                <wp:extent cx="39853" cy="5055"/>
                <wp:effectExtent l="0" t="0" r="0" b="0"/>
                <wp:docPr id="43371" name="Group 43371"/>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1871" name="Shape 1871"/>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371" style="width:3.138pt;height:0.398pt;mso-position-horizontal-relative:char;mso-position-vertical-relative:line" coordsize="398,50">
                <v:shape id="Shape 1871"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 xml:space="preserve">type </w:t>
      </w:r>
      <w:r>
        <w:t>column was excluded from the feature set as it would constitute label leakage, though it was retained in the saved splits for post-hoc per-pattern SHAP analysis.</w:t>
      </w:r>
    </w:p>
    <w:p w14:paraId="54CA6F40" w14:textId="77777777" w:rsidR="00453D7A" w:rsidRDefault="00000000">
      <w:pPr>
        <w:spacing w:after="385"/>
        <w:ind w:left="-15" w:right="900" w:firstLine="299"/>
      </w:pPr>
      <w:r>
        <w:t>The effect of feature engineering is illustrated below. Two transactions from the same sender account are shown before and after the engineered features are appended:</w:t>
      </w:r>
    </w:p>
    <w:p w14:paraId="751ADEB0" w14:textId="77777777" w:rsidR="00453D7A" w:rsidRDefault="00000000">
      <w:pPr>
        <w:spacing w:after="0" w:line="265" w:lineRule="auto"/>
        <w:ind w:right="915"/>
        <w:jc w:val="center"/>
      </w:pPr>
      <w:r>
        <w:t>Table 7: Two transactions before feature engineering</w:t>
      </w:r>
    </w:p>
    <w:tbl>
      <w:tblPr>
        <w:tblStyle w:val="TableGrid"/>
        <w:tblW w:w="8839" w:type="dxa"/>
        <w:tblInd w:w="0" w:type="dxa"/>
        <w:tblCellMar>
          <w:top w:w="40" w:type="dxa"/>
          <w:left w:w="155" w:type="dxa"/>
          <w:bottom w:w="0" w:type="dxa"/>
          <w:right w:w="154" w:type="dxa"/>
        </w:tblCellMar>
        <w:tblLook w:val="04A0" w:firstRow="1" w:lastRow="0" w:firstColumn="1" w:lastColumn="0" w:noHBand="0" w:noVBand="1"/>
      </w:tblPr>
      <w:tblGrid>
        <w:gridCol w:w="1481"/>
        <w:gridCol w:w="1310"/>
        <w:gridCol w:w="1194"/>
        <w:gridCol w:w="1417"/>
        <w:gridCol w:w="1359"/>
        <w:gridCol w:w="2078"/>
      </w:tblGrid>
      <w:tr w:rsidR="00453D7A" w14:paraId="51486AFA" w14:textId="77777777">
        <w:trPr>
          <w:trHeight w:val="319"/>
        </w:trPr>
        <w:tc>
          <w:tcPr>
            <w:tcW w:w="1511" w:type="dxa"/>
            <w:tcBorders>
              <w:top w:val="single" w:sz="4" w:space="0" w:color="000000"/>
              <w:left w:val="single" w:sz="4" w:space="0" w:color="000000"/>
              <w:bottom w:val="single" w:sz="4" w:space="0" w:color="000000"/>
              <w:right w:val="single" w:sz="4" w:space="0" w:color="000000"/>
            </w:tcBorders>
          </w:tcPr>
          <w:p w14:paraId="22DDEA1E" w14:textId="77777777" w:rsidR="00453D7A" w:rsidRDefault="00000000">
            <w:pPr>
              <w:spacing w:after="0" w:line="259" w:lineRule="auto"/>
              <w:ind w:left="0" w:right="0" w:firstLine="0"/>
              <w:jc w:val="left"/>
            </w:pPr>
            <w:r>
              <w:rPr>
                <w:b/>
                <w:sz w:val="26"/>
              </w:rPr>
              <w:t>Date</w:t>
            </w:r>
          </w:p>
        </w:tc>
        <w:tc>
          <w:tcPr>
            <w:tcW w:w="1225" w:type="dxa"/>
            <w:tcBorders>
              <w:top w:val="single" w:sz="4" w:space="0" w:color="000000"/>
              <w:left w:val="single" w:sz="4" w:space="0" w:color="000000"/>
              <w:bottom w:val="single" w:sz="4" w:space="0" w:color="000000"/>
              <w:right w:val="single" w:sz="4" w:space="0" w:color="000000"/>
            </w:tcBorders>
          </w:tcPr>
          <w:p w14:paraId="366B5532" w14:textId="77777777" w:rsidR="00453D7A" w:rsidRDefault="00000000">
            <w:pPr>
              <w:spacing w:after="0" w:line="259" w:lineRule="auto"/>
              <w:ind w:left="0" w:right="0" w:firstLine="0"/>
              <w:jc w:val="left"/>
            </w:pPr>
            <w:r>
              <w:rPr>
                <w:b/>
                <w:sz w:val="26"/>
              </w:rPr>
              <w:t>Time</w:t>
            </w:r>
          </w:p>
        </w:tc>
        <w:tc>
          <w:tcPr>
            <w:tcW w:w="1196" w:type="dxa"/>
            <w:tcBorders>
              <w:top w:val="single" w:sz="4" w:space="0" w:color="000000"/>
              <w:left w:val="single" w:sz="4" w:space="0" w:color="000000"/>
              <w:bottom w:val="single" w:sz="4" w:space="0" w:color="000000"/>
              <w:right w:val="single" w:sz="4" w:space="0" w:color="000000"/>
            </w:tcBorders>
          </w:tcPr>
          <w:p w14:paraId="4EB01FE7" w14:textId="77777777" w:rsidR="00453D7A" w:rsidRDefault="00000000">
            <w:pPr>
              <w:spacing w:after="0" w:line="259" w:lineRule="auto"/>
              <w:ind w:left="0" w:right="0" w:firstLine="0"/>
              <w:jc w:val="left"/>
            </w:pPr>
            <w:r>
              <w:rPr>
                <w:b/>
                <w:sz w:val="26"/>
              </w:rPr>
              <w:t>Sender</w:t>
            </w:r>
          </w:p>
        </w:tc>
        <w:tc>
          <w:tcPr>
            <w:tcW w:w="1422" w:type="dxa"/>
            <w:tcBorders>
              <w:top w:val="single" w:sz="4" w:space="0" w:color="000000"/>
              <w:left w:val="single" w:sz="4" w:space="0" w:color="000000"/>
              <w:bottom w:val="single" w:sz="4" w:space="0" w:color="000000"/>
              <w:right w:val="single" w:sz="4" w:space="0" w:color="000000"/>
            </w:tcBorders>
          </w:tcPr>
          <w:p w14:paraId="55C4B85C" w14:textId="77777777" w:rsidR="00453D7A" w:rsidRDefault="00000000">
            <w:pPr>
              <w:spacing w:after="0" w:line="259" w:lineRule="auto"/>
              <w:ind w:left="0" w:right="0" w:firstLine="0"/>
              <w:jc w:val="left"/>
            </w:pPr>
            <w:r>
              <w:rPr>
                <w:b/>
                <w:sz w:val="26"/>
              </w:rPr>
              <w:t>Receiver</w:t>
            </w:r>
          </w:p>
        </w:tc>
        <w:tc>
          <w:tcPr>
            <w:tcW w:w="1364" w:type="dxa"/>
            <w:tcBorders>
              <w:top w:val="single" w:sz="4" w:space="0" w:color="000000"/>
              <w:left w:val="single" w:sz="4" w:space="0" w:color="000000"/>
              <w:bottom w:val="single" w:sz="4" w:space="0" w:color="000000"/>
              <w:right w:val="single" w:sz="4" w:space="0" w:color="000000"/>
            </w:tcBorders>
          </w:tcPr>
          <w:p w14:paraId="76E17A49" w14:textId="77777777" w:rsidR="00453D7A" w:rsidRDefault="00000000">
            <w:pPr>
              <w:spacing w:after="0" w:line="259" w:lineRule="auto"/>
              <w:ind w:left="0" w:right="0" w:firstLine="0"/>
            </w:pPr>
            <w:r>
              <w:rPr>
                <w:b/>
                <w:sz w:val="26"/>
              </w:rPr>
              <w:t>Amount</w:t>
            </w:r>
          </w:p>
        </w:tc>
        <w:tc>
          <w:tcPr>
            <w:tcW w:w="2120" w:type="dxa"/>
            <w:tcBorders>
              <w:top w:val="single" w:sz="4" w:space="0" w:color="000000"/>
              <w:left w:val="single" w:sz="4" w:space="0" w:color="000000"/>
              <w:bottom w:val="single" w:sz="4" w:space="0" w:color="000000"/>
              <w:right w:val="single" w:sz="4" w:space="0" w:color="000000"/>
            </w:tcBorders>
          </w:tcPr>
          <w:p w14:paraId="431D2CB1" w14:textId="77777777" w:rsidR="00453D7A" w:rsidRDefault="00000000">
            <w:pPr>
              <w:spacing w:after="0" w:line="259" w:lineRule="auto"/>
              <w:ind w:left="0" w:right="0" w:firstLine="0"/>
            </w:pPr>
            <w:r>
              <w:rPr>
                <w:b/>
                <w:sz w:val="26"/>
              </w:rPr>
              <w:t>Payment type</w:t>
            </w:r>
          </w:p>
        </w:tc>
      </w:tr>
      <w:tr w:rsidR="00453D7A" w14:paraId="3D6E9722" w14:textId="77777777">
        <w:trPr>
          <w:trHeight w:val="312"/>
        </w:trPr>
        <w:tc>
          <w:tcPr>
            <w:tcW w:w="1511" w:type="dxa"/>
            <w:tcBorders>
              <w:top w:val="single" w:sz="4" w:space="0" w:color="000000"/>
              <w:left w:val="single" w:sz="4" w:space="0" w:color="000000"/>
              <w:bottom w:val="nil"/>
              <w:right w:val="single" w:sz="4" w:space="0" w:color="000000"/>
            </w:tcBorders>
          </w:tcPr>
          <w:p w14:paraId="623CC924" w14:textId="77777777" w:rsidR="00453D7A" w:rsidRDefault="00000000">
            <w:pPr>
              <w:spacing w:after="0" w:line="259" w:lineRule="auto"/>
              <w:ind w:left="0" w:right="0" w:firstLine="0"/>
              <w:jc w:val="left"/>
            </w:pPr>
            <w:r>
              <w:rPr>
                <w:sz w:val="26"/>
              </w:rPr>
              <w:t>2022-03-14</w:t>
            </w:r>
          </w:p>
        </w:tc>
        <w:tc>
          <w:tcPr>
            <w:tcW w:w="1225" w:type="dxa"/>
            <w:tcBorders>
              <w:top w:val="single" w:sz="4" w:space="0" w:color="000000"/>
              <w:left w:val="single" w:sz="4" w:space="0" w:color="000000"/>
              <w:bottom w:val="nil"/>
              <w:right w:val="single" w:sz="4" w:space="0" w:color="000000"/>
            </w:tcBorders>
          </w:tcPr>
          <w:p w14:paraId="50FD5F7D" w14:textId="77777777" w:rsidR="00453D7A" w:rsidRDefault="00000000">
            <w:pPr>
              <w:spacing w:after="0" w:line="259" w:lineRule="auto"/>
              <w:ind w:left="0" w:right="0" w:firstLine="0"/>
              <w:jc w:val="left"/>
            </w:pPr>
            <w:r>
              <w:rPr>
                <w:sz w:val="26"/>
              </w:rPr>
              <w:t>09:32:11</w:t>
            </w:r>
          </w:p>
        </w:tc>
        <w:tc>
          <w:tcPr>
            <w:tcW w:w="1196" w:type="dxa"/>
            <w:tcBorders>
              <w:top w:val="single" w:sz="4" w:space="0" w:color="000000"/>
              <w:left w:val="single" w:sz="4" w:space="0" w:color="000000"/>
              <w:bottom w:val="nil"/>
              <w:right w:val="single" w:sz="4" w:space="0" w:color="000000"/>
            </w:tcBorders>
          </w:tcPr>
          <w:p w14:paraId="23453074" w14:textId="77777777" w:rsidR="00453D7A" w:rsidRDefault="00000000">
            <w:pPr>
              <w:spacing w:after="0" w:line="259" w:lineRule="auto"/>
              <w:ind w:left="0" w:right="0" w:firstLine="0"/>
              <w:jc w:val="left"/>
            </w:pPr>
            <w:r>
              <w:rPr>
                <w:sz w:val="26"/>
              </w:rPr>
              <w:t>1</w:t>
            </w:r>
          </w:p>
        </w:tc>
        <w:tc>
          <w:tcPr>
            <w:tcW w:w="1422" w:type="dxa"/>
            <w:tcBorders>
              <w:top w:val="single" w:sz="4" w:space="0" w:color="000000"/>
              <w:left w:val="single" w:sz="4" w:space="0" w:color="000000"/>
              <w:bottom w:val="nil"/>
              <w:right w:val="single" w:sz="4" w:space="0" w:color="000000"/>
            </w:tcBorders>
          </w:tcPr>
          <w:p w14:paraId="30609727" w14:textId="77777777" w:rsidR="00453D7A" w:rsidRDefault="00000000">
            <w:pPr>
              <w:spacing w:after="0" w:line="259" w:lineRule="auto"/>
              <w:ind w:left="0" w:right="0" w:firstLine="0"/>
              <w:jc w:val="left"/>
            </w:pPr>
            <w:r>
              <w:rPr>
                <w:sz w:val="26"/>
              </w:rPr>
              <w:t>67</w:t>
            </w:r>
          </w:p>
        </w:tc>
        <w:tc>
          <w:tcPr>
            <w:tcW w:w="1364" w:type="dxa"/>
            <w:tcBorders>
              <w:top w:val="single" w:sz="4" w:space="0" w:color="000000"/>
              <w:left w:val="single" w:sz="4" w:space="0" w:color="000000"/>
              <w:bottom w:val="nil"/>
              <w:right w:val="single" w:sz="4" w:space="0" w:color="000000"/>
            </w:tcBorders>
          </w:tcPr>
          <w:p w14:paraId="049371D0" w14:textId="77777777" w:rsidR="00453D7A" w:rsidRDefault="00000000">
            <w:pPr>
              <w:spacing w:after="0" w:line="259" w:lineRule="auto"/>
              <w:ind w:left="0" w:right="0" w:firstLine="0"/>
              <w:jc w:val="left"/>
            </w:pPr>
            <w:r>
              <w:rPr>
                <w:sz w:val="26"/>
              </w:rPr>
              <w:t>5,450</w:t>
            </w:r>
          </w:p>
        </w:tc>
        <w:tc>
          <w:tcPr>
            <w:tcW w:w="2120" w:type="dxa"/>
            <w:tcBorders>
              <w:top w:val="single" w:sz="4" w:space="0" w:color="000000"/>
              <w:left w:val="single" w:sz="4" w:space="0" w:color="000000"/>
              <w:bottom w:val="nil"/>
              <w:right w:val="single" w:sz="4" w:space="0" w:color="000000"/>
            </w:tcBorders>
          </w:tcPr>
          <w:p w14:paraId="2781E658" w14:textId="77777777" w:rsidR="00453D7A" w:rsidRDefault="00000000">
            <w:pPr>
              <w:spacing w:after="0" w:line="259" w:lineRule="auto"/>
              <w:ind w:left="0" w:right="0" w:firstLine="0"/>
              <w:jc w:val="left"/>
            </w:pPr>
            <w:r>
              <w:rPr>
                <w:sz w:val="26"/>
              </w:rPr>
              <w:t>Credit card</w:t>
            </w:r>
          </w:p>
        </w:tc>
      </w:tr>
      <w:tr w:rsidR="00453D7A" w14:paraId="6FCE6E13" w14:textId="77777777">
        <w:trPr>
          <w:trHeight w:val="317"/>
        </w:trPr>
        <w:tc>
          <w:tcPr>
            <w:tcW w:w="1511" w:type="dxa"/>
            <w:tcBorders>
              <w:top w:val="nil"/>
              <w:left w:val="single" w:sz="4" w:space="0" w:color="000000"/>
              <w:bottom w:val="single" w:sz="4" w:space="0" w:color="000000"/>
              <w:right w:val="single" w:sz="4" w:space="0" w:color="000000"/>
            </w:tcBorders>
          </w:tcPr>
          <w:p w14:paraId="56A8D309" w14:textId="77777777" w:rsidR="00453D7A" w:rsidRDefault="00000000">
            <w:pPr>
              <w:spacing w:after="0" w:line="259" w:lineRule="auto"/>
              <w:ind w:left="0" w:right="0" w:firstLine="0"/>
              <w:jc w:val="left"/>
            </w:pPr>
            <w:r>
              <w:rPr>
                <w:sz w:val="26"/>
              </w:rPr>
              <w:t>2022-03-14</w:t>
            </w:r>
          </w:p>
        </w:tc>
        <w:tc>
          <w:tcPr>
            <w:tcW w:w="1225" w:type="dxa"/>
            <w:tcBorders>
              <w:top w:val="nil"/>
              <w:left w:val="single" w:sz="4" w:space="0" w:color="000000"/>
              <w:bottom w:val="single" w:sz="4" w:space="0" w:color="000000"/>
              <w:right w:val="single" w:sz="4" w:space="0" w:color="000000"/>
            </w:tcBorders>
          </w:tcPr>
          <w:p w14:paraId="25B4D863" w14:textId="77777777" w:rsidR="00453D7A" w:rsidRDefault="00000000">
            <w:pPr>
              <w:spacing w:after="0" w:line="259" w:lineRule="auto"/>
              <w:ind w:left="0" w:right="0" w:firstLine="0"/>
              <w:jc w:val="left"/>
            </w:pPr>
            <w:r>
              <w:rPr>
                <w:sz w:val="26"/>
              </w:rPr>
              <w:t>11:15:44</w:t>
            </w:r>
          </w:p>
        </w:tc>
        <w:tc>
          <w:tcPr>
            <w:tcW w:w="1196" w:type="dxa"/>
            <w:tcBorders>
              <w:top w:val="nil"/>
              <w:left w:val="single" w:sz="4" w:space="0" w:color="000000"/>
              <w:bottom w:val="single" w:sz="4" w:space="0" w:color="000000"/>
              <w:right w:val="single" w:sz="4" w:space="0" w:color="000000"/>
            </w:tcBorders>
          </w:tcPr>
          <w:p w14:paraId="25DE18D2" w14:textId="77777777" w:rsidR="00453D7A" w:rsidRDefault="00000000">
            <w:pPr>
              <w:spacing w:after="0" w:line="259" w:lineRule="auto"/>
              <w:ind w:left="0" w:right="0" w:firstLine="0"/>
              <w:jc w:val="left"/>
            </w:pPr>
            <w:r>
              <w:rPr>
                <w:sz w:val="26"/>
              </w:rPr>
              <w:t>1</w:t>
            </w:r>
          </w:p>
        </w:tc>
        <w:tc>
          <w:tcPr>
            <w:tcW w:w="1422" w:type="dxa"/>
            <w:tcBorders>
              <w:top w:val="nil"/>
              <w:left w:val="single" w:sz="4" w:space="0" w:color="000000"/>
              <w:bottom w:val="single" w:sz="4" w:space="0" w:color="000000"/>
              <w:right w:val="single" w:sz="4" w:space="0" w:color="000000"/>
            </w:tcBorders>
          </w:tcPr>
          <w:p w14:paraId="546AF55F" w14:textId="77777777" w:rsidR="00453D7A" w:rsidRDefault="00000000">
            <w:pPr>
              <w:spacing w:after="0" w:line="259" w:lineRule="auto"/>
              <w:ind w:left="0" w:right="0" w:firstLine="0"/>
              <w:jc w:val="left"/>
            </w:pPr>
            <w:r>
              <w:rPr>
                <w:sz w:val="26"/>
              </w:rPr>
              <w:t>203</w:t>
            </w:r>
          </w:p>
        </w:tc>
        <w:tc>
          <w:tcPr>
            <w:tcW w:w="1364" w:type="dxa"/>
            <w:tcBorders>
              <w:top w:val="nil"/>
              <w:left w:val="single" w:sz="4" w:space="0" w:color="000000"/>
              <w:bottom w:val="single" w:sz="4" w:space="0" w:color="000000"/>
              <w:right w:val="single" w:sz="4" w:space="0" w:color="000000"/>
            </w:tcBorders>
          </w:tcPr>
          <w:p w14:paraId="2654297C" w14:textId="77777777" w:rsidR="00453D7A" w:rsidRDefault="00000000">
            <w:pPr>
              <w:spacing w:after="0" w:line="259" w:lineRule="auto"/>
              <w:ind w:left="0" w:right="0" w:firstLine="0"/>
              <w:jc w:val="left"/>
            </w:pPr>
            <w:r>
              <w:rPr>
                <w:sz w:val="26"/>
              </w:rPr>
              <w:t>6,100</w:t>
            </w:r>
          </w:p>
        </w:tc>
        <w:tc>
          <w:tcPr>
            <w:tcW w:w="2120" w:type="dxa"/>
            <w:tcBorders>
              <w:top w:val="nil"/>
              <w:left w:val="single" w:sz="4" w:space="0" w:color="000000"/>
              <w:bottom w:val="single" w:sz="4" w:space="0" w:color="000000"/>
              <w:right w:val="single" w:sz="4" w:space="0" w:color="000000"/>
            </w:tcBorders>
          </w:tcPr>
          <w:p w14:paraId="05C84A13" w14:textId="77777777" w:rsidR="00453D7A" w:rsidRDefault="00000000">
            <w:pPr>
              <w:spacing w:after="0" w:line="259" w:lineRule="auto"/>
              <w:ind w:left="0" w:right="0" w:firstLine="0"/>
              <w:jc w:val="left"/>
            </w:pPr>
            <w:r>
              <w:rPr>
                <w:sz w:val="26"/>
              </w:rPr>
              <w:t>Credit card</w:t>
            </w:r>
          </w:p>
        </w:tc>
      </w:tr>
    </w:tbl>
    <w:p w14:paraId="5D61D16D" w14:textId="77777777" w:rsidR="00453D7A" w:rsidRDefault="00000000">
      <w:pPr>
        <w:ind w:left="-5" w:right="900"/>
      </w:pPr>
      <w:r>
        <w:t xml:space="preserve">Table 8: Same transactions after feature engineering (many features left out, see Table </w:t>
      </w:r>
      <w:r>
        <w:rPr>
          <w:color w:val="0000FF"/>
        </w:rPr>
        <w:t xml:space="preserve">9 </w:t>
      </w:r>
      <w:r>
        <w:t>for all features)</w:t>
      </w:r>
    </w:p>
    <w:tbl>
      <w:tblPr>
        <w:tblStyle w:val="TableGrid"/>
        <w:tblW w:w="8838" w:type="dxa"/>
        <w:tblInd w:w="0" w:type="dxa"/>
        <w:tblCellMar>
          <w:top w:w="20" w:type="dxa"/>
          <w:left w:w="78" w:type="dxa"/>
          <w:bottom w:w="0" w:type="dxa"/>
          <w:right w:w="78" w:type="dxa"/>
        </w:tblCellMar>
        <w:tblLook w:val="04A0" w:firstRow="1" w:lastRow="0" w:firstColumn="1" w:lastColumn="0" w:noHBand="0" w:noVBand="1"/>
      </w:tblPr>
      <w:tblGrid>
        <w:gridCol w:w="758"/>
        <w:gridCol w:w="657"/>
        <w:gridCol w:w="602"/>
        <w:gridCol w:w="714"/>
        <w:gridCol w:w="685"/>
        <w:gridCol w:w="1061"/>
        <w:gridCol w:w="1173"/>
        <w:gridCol w:w="1511"/>
        <w:gridCol w:w="1677"/>
      </w:tblGrid>
      <w:tr w:rsidR="00453D7A" w14:paraId="0C387C79" w14:textId="77777777">
        <w:trPr>
          <w:trHeight w:val="135"/>
        </w:trPr>
        <w:tc>
          <w:tcPr>
            <w:tcW w:w="760" w:type="dxa"/>
            <w:tcBorders>
              <w:top w:val="single" w:sz="2" w:space="0" w:color="000000"/>
              <w:left w:val="single" w:sz="2" w:space="0" w:color="000000"/>
              <w:bottom w:val="single" w:sz="2" w:space="0" w:color="000000"/>
              <w:right w:val="single" w:sz="2" w:space="0" w:color="000000"/>
            </w:tcBorders>
          </w:tcPr>
          <w:p w14:paraId="0CAC2C7A" w14:textId="77777777" w:rsidR="00453D7A" w:rsidRDefault="00000000">
            <w:pPr>
              <w:spacing w:after="0" w:line="259" w:lineRule="auto"/>
              <w:ind w:left="0" w:right="0" w:firstLine="0"/>
              <w:jc w:val="left"/>
            </w:pPr>
            <w:r>
              <w:rPr>
                <w:b/>
                <w:sz w:val="13"/>
              </w:rPr>
              <w:t>Date</w:t>
            </w:r>
          </w:p>
        </w:tc>
        <w:tc>
          <w:tcPr>
            <w:tcW w:w="616" w:type="dxa"/>
            <w:tcBorders>
              <w:top w:val="single" w:sz="2" w:space="0" w:color="000000"/>
              <w:left w:val="single" w:sz="2" w:space="0" w:color="000000"/>
              <w:bottom w:val="single" w:sz="2" w:space="0" w:color="000000"/>
              <w:right w:val="single" w:sz="2" w:space="0" w:color="000000"/>
            </w:tcBorders>
          </w:tcPr>
          <w:p w14:paraId="4432EAAF" w14:textId="77777777" w:rsidR="00453D7A" w:rsidRDefault="00000000">
            <w:pPr>
              <w:spacing w:after="0" w:line="259" w:lineRule="auto"/>
              <w:ind w:left="0" w:right="0" w:firstLine="0"/>
              <w:jc w:val="left"/>
            </w:pPr>
            <w:r>
              <w:rPr>
                <w:b/>
                <w:sz w:val="13"/>
              </w:rPr>
              <w:t>Time</w:t>
            </w:r>
          </w:p>
        </w:tc>
        <w:tc>
          <w:tcPr>
            <w:tcW w:w="602" w:type="dxa"/>
            <w:tcBorders>
              <w:top w:val="single" w:sz="2" w:space="0" w:color="000000"/>
              <w:left w:val="single" w:sz="2" w:space="0" w:color="000000"/>
              <w:bottom w:val="single" w:sz="2" w:space="0" w:color="000000"/>
              <w:right w:val="single" w:sz="2" w:space="0" w:color="000000"/>
            </w:tcBorders>
          </w:tcPr>
          <w:p w14:paraId="70621569" w14:textId="77777777" w:rsidR="00453D7A" w:rsidRDefault="00000000">
            <w:pPr>
              <w:spacing w:after="0" w:line="259" w:lineRule="auto"/>
              <w:ind w:left="0" w:right="0" w:firstLine="0"/>
              <w:jc w:val="left"/>
            </w:pPr>
            <w:r>
              <w:rPr>
                <w:b/>
                <w:sz w:val="13"/>
              </w:rPr>
              <w:t>Sender</w:t>
            </w:r>
          </w:p>
        </w:tc>
        <w:tc>
          <w:tcPr>
            <w:tcW w:w="715" w:type="dxa"/>
            <w:tcBorders>
              <w:top w:val="single" w:sz="2" w:space="0" w:color="000000"/>
              <w:left w:val="single" w:sz="2" w:space="0" w:color="000000"/>
              <w:bottom w:val="single" w:sz="2" w:space="0" w:color="000000"/>
              <w:right w:val="single" w:sz="2" w:space="0" w:color="000000"/>
            </w:tcBorders>
          </w:tcPr>
          <w:p w14:paraId="7DDC552D" w14:textId="77777777" w:rsidR="00453D7A" w:rsidRDefault="00000000">
            <w:pPr>
              <w:spacing w:after="0" w:line="259" w:lineRule="auto"/>
              <w:ind w:left="0" w:right="0" w:firstLine="0"/>
              <w:jc w:val="left"/>
            </w:pPr>
            <w:r>
              <w:rPr>
                <w:b/>
                <w:sz w:val="13"/>
              </w:rPr>
              <w:t>Receiver</w:t>
            </w:r>
          </w:p>
        </w:tc>
        <w:tc>
          <w:tcPr>
            <w:tcW w:w="686" w:type="dxa"/>
            <w:tcBorders>
              <w:top w:val="single" w:sz="2" w:space="0" w:color="000000"/>
              <w:left w:val="single" w:sz="2" w:space="0" w:color="000000"/>
              <w:bottom w:val="single" w:sz="2" w:space="0" w:color="000000"/>
              <w:right w:val="single" w:sz="2" w:space="0" w:color="000000"/>
            </w:tcBorders>
          </w:tcPr>
          <w:p w14:paraId="08BC9F1B" w14:textId="77777777" w:rsidR="00453D7A" w:rsidRDefault="00000000">
            <w:pPr>
              <w:spacing w:after="0" w:line="259" w:lineRule="auto"/>
              <w:ind w:left="0" w:right="0" w:firstLine="0"/>
            </w:pPr>
            <w:r>
              <w:rPr>
                <w:b/>
                <w:sz w:val="13"/>
              </w:rPr>
              <w:t>Amount</w:t>
            </w:r>
          </w:p>
        </w:tc>
        <w:tc>
          <w:tcPr>
            <w:tcW w:w="1066" w:type="dxa"/>
            <w:tcBorders>
              <w:top w:val="single" w:sz="2" w:space="0" w:color="000000"/>
              <w:left w:val="single" w:sz="2" w:space="0" w:color="000000"/>
              <w:bottom w:val="single" w:sz="2" w:space="0" w:color="000000"/>
              <w:right w:val="single" w:sz="2" w:space="0" w:color="000000"/>
            </w:tcBorders>
          </w:tcPr>
          <w:p w14:paraId="473076BF" w14:textId="77777777" w:rsidR="00453D7A" w:rsidRDefault="00000000">
            <w:pPr>
              <w:spacing w:after="0" w:line="259" w:lineRule="auto"/>
              <w:ind w:left="0" w:right="0" w:firstLine="0"/>
            </w:pPr>
            <w:r>
              <w:rPr>
                <w:b/>
                <w:sz w:val="13"/>
              </w:rPr>
              <w:t>Payment type</w:t>
            </w:r>
          </w:p>
        </w:tc>
        <w:tc>
          <w:tcPr>
            <w:tcW w:w="1181" w:type="dxa"/>
            <w:tcBorders>
              <w:top w:val="single" w:sz="2" w:space="0" w:color="000000"/>
              <w:left w:val="single" w:sz="2" w:space="0" w:color="000000"/>
              <w:bottom w:val="single" w:sz="2" w:space="0" w:color="000000"/>
              <w:right w:val="single" w:sz="2" w:space="0" w:color="000000"/>
            </w:tcBorders>
          </w:tcPr>
          <w:p w14:paraId="2948501C" w14:textId="77777777" w:rsidR="00453D7A" w:rsidRDefault="00000000">
            <w:pPr>
              <w:spacing w:after="0" w:line="259" w:lineRule="auto"/>
              <w:ind w:left="0" w:right="0" w:firstLine="0"/>
              <w:jc w:val="left"/>
            </w:pPr>
            <w:r>
              <w:rPr>
                <w:b/>
                <w:sz w:val="13"/>
              </w:rPr>
              <w:t>sender tx count</w:t>
            </w:r>
          </w:p>
        </w:tc>
        <w:tc>
          <w:tcPr>
            <w:tcW w:w="1523" w:type="dxa"/>
            <w:tcBorders>
              <w:top w:val="single" w:sz="2" w:space="0" w:color="000000"/>
              <w:left w:val="single" w:sz="2" w:space="0" w:color="000000"/>
              <w:bottom w:val="single" w:sz="2" w:space="0" w:color="000000"/>
              <w:right w:val="single" w:sz="2" w:space="0" w:color="000000"/>
            </w:tcBorders>
          </w:tcPr>
          <w:p w14:paraId="56360A07" w14:textId="77777777" w:rsidR="00453D7A" w:rsidRDefault="00000000">
            <w:pPr>
              <w:spacing w:after="0" w:line="259" w:lineRule="auto"/>
              <w:ind w:left="0" w:right="0" w:firstLine="0"/>
            </w:pPr>
            <w:r>
              <w:rPr>
                <w:b/>
                <w:sz w:val="13"/>
              </w:rPr>
              <w:t>sender amount mean</w:t>
            </w:r>
          </w:p>
        </w:tc>
        <w:tc>
          <w:tcPr>
            <w:tcW w:w="1690" w:type="dxa"/>
            <w:tcBorders>
              <w:top w:val="single" w:sz="2" w:space="0" w:color="000000"/>
              <w:left w:val="single" w:sz="2" w:space="0" w:color="000000"/>
              <w:bottom w:val="single" w:sz="2" w:space="0" w:color="000000"/>
              <w:right w:val="single" w:sz="2" w:space="0" w:color="000000"/>
            </w:tcBorders>
          </w:tcPr>
          <w:p w14:paraId="722B8FCC" w14:textId="77777777" w:rsidR="00453D7A" w:rsidRDefault="00000000">
            <w:pPr>
              <w:spacing w:after="0" w:line="259" w:lineRule="auto"/>
              <w:ind w:left="0" w:right="0" w:firstLine="0"/>
              <w:jc w:val="left"/>
            </w:pPr>
            <w:r>
              <w:rPr>
                <w:b/>
                <w:sz w:val="13"/>
              </w:rPr>
              <w:t>sender unique receivers</w:t>
            </w:r>
          </w:p>
        </w:tc>
      </w:tr>
      <w:tr w:rsidR="00453D7A" w14:paraId="700DAE66" w14:textId="77777777">
        <w:trPr>
          <w:trHeight w:val="183"/>
        </w:trPr>
        <w:tc>
          <w:tcPr>
            <w:tcW w:w="760" w:type="dxa"/>
            <w:tcBorders>
              <w:top w:val="single" w:sz="2" w:space="0" w:color="000000"/>
              <w:left w:val="single" w:sz="2" w:space="0" w:color="000000"/>
              <w:bottom w:val="nil"/>
              <w:right w:val="single" w:sz="2" w:space="0" w:color="000000"/>
            </w:tcBorders>
          </w:tcPr>
          <w:p w14:paraId="6E0BEF11" w14:textId="77777777" w:rsidR="00453D7A" w:rsidRDefault="00000000">
            <w:pPr>
              <w:spacing w:after="0" w:line="259" w:lineRule="auto"/>
              <w:ind w:left="0" w:right="0" w:firstLine="0"/>
              <w:jc w:val="left"/>
            </w:pPr>
            <w:r>
              <w:rPr>
                <w:sz w:val="13"/>
              </w:rPr>
              <w:lastRenderedPageBreak/>
              <w:t>2022-03-14</w:t>
            </w:r>
          </w:p>
        </w:tc>
        <w:tc>
          <w:tcPr>
            <w:tcW w:w="616" w:type="dxa"/>
            <w:tcBorders>
              <w:top w:val="single" w:sz="2" w:space="0" w:color="000000"/>
              <w:left w:val="single" w:sz="2" w:space="0" w:color="000000"/>
              <w:bottom w:val="nil"/>
              <w:right w:val="single" w:sz="2" w:space="0" w:color="000000"/>
            </w:tcBorders>
          </w:tcPr>
          <w:p w14:paraId="5ADF5975" w14:textId="77777777" w:rsidR="00453D7A" w:rsidRDefault="00000000">
            <w:pPr>
              <w:spacing w:after="0" w:line="259" w:lineRule="auto"/>
              <w:ind w:left="0" w:right="0" w:firstLine="0"/>
              <w:jc w:val="left"/>
            </w:pPr>
            <w:r>
              <w:rPr>
                <w:sz w:val="13"/>
              </w:rPr>
              <w:t>09:32:11</w:t>
            </w:r>
          </w:p>
        </w:tc>
        <w:tc>
          <w:tcPr>
            <w:tcW w:w="602" w:type="dxa"/>
            <w:tcBorders>
              <w:top w:val="single" w:sz="2" w:space="0" w:color="000000"/>
              <w:left w:val="single" w:sz="2" w:space="0" w:color="000000"/>
              <w:bottom w:val="nil"/>
              <w:right w:val="single" w:sz="2" w:space="0" w:color="000000"/>
            </w:tcBorders>
          </w:tcPr>
          <w:p w14:paraId="4577C820" w14:textId="77777777" w:rsidR="00453D7A" w:rsidRDefault="00000000">
            <w:pPr>
              <w:spacing w:after="0" w:line="259" w:lineRule="auto"/>
              <w:ind w:left="0" w:right="0" w:firstLine="0"/>
              <w:jc w:val="left"/>
            </w:pPr>
            <w:r>
              <w:rPr>
                <w:sz w:val="13"/>
              </w:rPr>
              <w:t>1</w:t>
            </w:r>
          </w:p>
        </w:tc>
        <w:tc>
          <w:tcPr>
            <w:tcW w:w="715" w:type="dxa"/>
            <w:tcBorders>
              <w:top w:val="single" w:sz="2" w:space="0" w:color="000000"/>
              <w:left w:val="single" w:sz="2" w:space="0" w:color="000000"/>
              <w:bottom w:val="nil"/>
              <w:right w:val="single" w:sz="2" w:space="0" w:color="000000"/>
            </w:tcBorders>
          </w:tcPr>
          <w:p w14:paraId="1F455FAD" w14:textId="77777777" w:rsidR="00453D7A" w:rsidRDefault="00000000">
            <w:pPr>
              <w:spacing w:after="0" w:line="259" w:lineRule="auto"/>
              <w:ind w:left="0" w:right="0" w:firstLine="0"/>
              <w:jc w:val="left"/>
            </w:pPr>
            <w:r>
              <w:rPr>
                <w:sz w:val="13"/>
              </w:rPr>
              <w:t>67</w:t>
            </w:r>
          </w:p>
        </w:tc>
        <w:tc>
          <w:tcPr>
            <w:tcW w:w="686" w:type="dxa"/>
            <w:tcBorders>
              <w:top w:val="single" w:sz="2" w:space="0" w:color="000000"/>
              <w:left w:val="single" w:sz="2" w:space="0" w:color="000000"/>
              <w:bottom w:val="nil"/>
              <w:right w:val="single" w:sz="2" w:space="0" w:color="000000"/>
            </w:tcBorders>
          </w:tcPr>
          <w:p w14:paraId="4374207A" w14:textId="77777777" w:rsidR="00453D7A" w:rsidRDefault="00000000">
            <w:pPr>
              <w:spacing w:after="0" w:line="259" w:lineRule="auto"/>
              <w:ind w:left="0" w:right="0" w:firstLine="0"/>
              <w:jc w:val="left"/>
            </w:pPr>
            <w:r>
              <w:rPr>
                <w:sz w:val="13"/>
              </w:rPr>
              <w:t>5,450</w:t>
            </w:r>
          </w:p>
        </w:tc>
        <w:tc>
          <w:tcPr>
            <w:tcW w:w="1066" w:type="dxa"/>
            <w:tcBorders>
              <w:top w:val="single" w:sz="2" w:space="0" w:color="000000"/>
              <w:left w:val="single" w:sz="2" w:space="0" w:color="000000"/>
              <w:bottom w:val="nil"/>
              <w:right w:val="single" w:sz="2" w:space="0" w:color="000000"/>
            </w:tcBorders>
          </w:tcPr>
          <w:p w14:paraId="590EBDBD" w14:textId="77777777" w:rsidR="00453D7A" w:rsidRDefault="00000000">
            <w:pPr>
              <w:spacing w:after="0" w:line="259" w:lineRule="auto"/>
              <w:ind w:left="0" w:right="0" w:firstLine="0"/>
              <w:jc w:val="left"/>
            </w:pPr>
            <w:r>
              <w:rPr>
                <w:sz w:val="13"/>
              </w:rPr>
              <w:t>Credit card</w:t>
            </w:r>
          </w:p>
        </w:tc>
        <w:tc>
          <w:tcPr>
            <w:tcW w:w="1181" w:type="dxa"/>
            <w:tcBorders>
              <w:top w:val="single" w:sz="2" w:space="0" w:color="000000"/>
              <w:left w:val="single" w:sz="2" w:space="0" w:color="000000"/>
              <w:bottom w:val="nil"/>
              <w:right w:val="single" w:sz="2" w:space="0" w:color="000000"/>
            </w:tcBorders>
          </w:tcPr>
          <w:p w14:paraId="2591D833" w14:textId="77777777" w:rsidR="00453D7A" w:rsidRDefault="00000000">
            <w:pPr>
              <w:spacing w:after="0" w:line="259" w:lineRule="auto"/>
              <w:ind w:left="0" w:right="0" w:firstLine="0"/>
              <w:jc w:val="left"/>
            </w:pPr>
            <w:r>
              <w:rPr>
                <w:sz w:val="13"/>
              </w:rPr>
              <w:t>847</w:t>
            </w:r>
          </w:p>
        </w:tc>
        <w:tc>
          <w:tcPr>
            <w:tcW w:w="1523" w:type="dxa"/>
            <w:tcBorders>
              <w:top w:val="single" w:sz="2" w:space="0" w:color="000000"/>
              <w:left w:val="single" w:sz="2" w:space="0" w:color="000000"/>
              <w:bottom w:val="nil"/>
              <w:right w:val="single" w:sz="2" w:space="0" w:color="000000"/>
            </w:tcBorders>
          </w:tcPr>
          <w:p w14:paraId="671FDC84" w14:textId="77777777" w:rsidR="00453D7A" w:rsidRDefault="00000000">
            <w:pPr>
              <w:spacing w:after="0" w:line="259" w:lineRule="auto"/>
              <w:ind w:left="0" w:right="0" w:firstLine="0"/>
              <w:jc w:val="left"/>
            </w:pPr>
            <w:r>
              <w:rPr>
                <w:sz w:val="13"/>
              </w:rPr>
              <w:t>1,243</w:t>
            </w:r>
          </w:p>
        </w:tc>
        <w:tc>
          <w:tcPr>
            <w:tcW w:w="1690" w:type="dxa"/>
            <w:tcBorders>
              <w:top w:val="single" w:sz="2" w:space="0" w:color="000000"/>
              <w:left w:val="single" w:sz="2" w:space="0" w:color="000000"/>
              <w:bottom w:val="nil"/>
              <w:right w:val="single" w:sz="2" w:space="0" w:color="000000"/>
            </w:tcBorders>
          </w:tcPr>
          <w:p w14:paraId="4C5B9270" w14:textId="77777777" w:rsidR="00453D7A" w:rsidRDefault="00000000">
            <w:pPr>
              <w:spacing w:after="0" w:line="259" w:lineRule="auto"/>
              <w:ind w:left="0" w:right="0" w:firstLine="0"/>
              <w:jc w:val="left"/>
            </w:pPr>
            <w:r>
              <w:rPr>
                <w:sz w:val="13"/>
              </w:rPr>
              <w:t>312</w:t>
            </w:r>
          </w:p>
        </w:tc>
      </w:tr>
      <w:tr w:rsidR="00453D7A" w14:paraId="2A8BCA29" w14:textId="77777777">
        <w:trPr>
          <w:trHeight w:val="159"/>
        </w:trPr>
        <w:tc>
          <w:tcPr>
            <w:tcW w:w="760" w:type="dxa"/>
            <w:tcBorders>
              <w:top w:val="nil"/>
              <w:left w:val="single" w:sz="2" w:space="0" w:color="000000"/>
              <w:bottom w:val="single" w:sz="2" w:space="0" w:color="000000"/>
              <w:right w:val="single" w:sz="2" w:space="0" w:color="000000"/>
            </w:tcBorders>
          </w:tcPr>
          <w:p w14:paraId="57E8657B" w14:textId="77777777" w:rsidR="00453D7A" w:rsidRDefault="00000000">
            <w:pPr>
              <w:spacing w:after="0" w:line="259" w:lineRule="auto"/>
              <w:ind w:left="0" w:right="0" w:firstLine="0"/>
              <w:jc w:val="left"/>
            </w:pPr>
            <w:r>
              <w:rPr>
                <w:sz w:val="13"/>
              </w:rPr>
              <w:t>2022-03-14</w:t>
            </w:r>
          </w:p>
        </w:tc>
        <w:tc>
          <w:tcPr>
            <w:tcW w:w="616" w:type="dxa"/>
            <w:tcBorders>
              <w:top w:val="nil"/>
              <w:left w:val="single" w:sz="2" w:space="0" w:color="000000"/>
              <w:bottom w:val="single" w:sz="2" w:space="0" w:color="000000"/>
              <w:right w:val="single" w:sz="2" w:space="0" w:color="000000"/>
            </w:tcBorders>
          </w:tcPr>
          <w:p w14:paraId="098A0537" w14:textId="77777777" w:rsidR="00453D7A" w:rsidRDefault="00000000">
            <w:pPr>
              <w:spacing w:after="0" w:line="259" w:lineRule="auto"/>
              <w:ind w:left="0" w:right="0" w:firstLine="0"/>
              <w:jc w:val="left"/>
            </w:pPr>
            <w:r>
              <w:rPr>
                <w:sz w:val="13"/>
              </w:rPr>
              <w:t>11:15:44</w:t>
            </w:r>
          </w:p>
        </w:tc>
        <w:tc>
          <w:tcPr>
            <w:tcW w:w="602" w:type="dxa"/>
            <w:tcBorders>
              <w:top w:val="nil"/>
              <w:left w:val="single" w:sz="2" w:space="0" w:color="000000"/>
              <w:bottom w:val="single" w:sz="2" w:space="0" w:color="000000"/>
              <w:right w:val="single" w:sz="2" w:space="0" w:color="000000"/>
            </w:tcBorders>
          </w:tcPr>
          <w:p w14:paraId="0EF6C72E" w14:textId="77777777" w:rsidR="00453D7A" w:rsidRDefault="00000000">
            <w:pPr>
              <w:spacing w:after="0" w:line="259" w:lineRule="auto"/>
              <w:ind w:left="0" w:right="0" w:firstLine="0"/>
              <w:jc w:val="left"/>
            </w:pPr>
            <w:r>
              <w:rPr>
                <w:sz w:val="13"/>
              </w:rPr>
              <w:t>1</w:t>
            </w:r>
          </w:p>
        </w:tc>
        <w:tc>
          <w:tcPr>
            <w:tcW w:w="715" w:type="dxa"/>
            <w:tcBorders>
              <w:top w:val="nil"/>
              <w:left w:val="single" w:sz="2" w:space="0" w:color="000000"/>
              <w:bottom w:val="single" w:sz="2" w:space="0" w:color="000000"/>
              <w:right w:val="single" w:sz="2" w:space="0" w:color="000000"/>
            </w:tcBorders>
          </w:tcPr>
          <w:p w14:paraId="2C43EC08" w14:textId="77777777" w:rsidR="00453D7A" w:rsidRDefault="00000000">
            <w:pPr>
              <w:spacing w:after="0" w:line="259" w:lineRule="auto"/>
              <w:ind w:left="0" w:right="0" w:firstLine="0"/>
              <w:jc w:val="left"/>
            </w:pPr>
            <w:r>
              <w:rPr>
                <w:sz w:val="13"/>
              </w:rPr>
              <w:t>203</w:t>
            </w:r>
          </w:p>
        </w:tc>
        <w:tc>
          <w:tcPr>
            <w:tcW w:w="686" w:type="dxa"/>
            <w:tcBorders>
              <w:top w:val="nil"/>
              <w:left w:val="single" w:sz="2" w:space="0" w:color="000000"/>
              <w:bottom w:val="single" w:sz="2" w:space="0" w:color="000000"/>
              <w:right w:val="single" w:sz="2" w:space="0" w:color="000000"/>
            </w:tcBorders>
          </w:tcPr>
          <w:p w14:paraId="44C2AAD9" w14:textId="77777777" w:rsidR="00453D7A" w:rsidRDefault="00000000">
            <w:pPr>
              <w:spacing w:after="0" w:line="259" w:lineRule="auto"/>
              <w:ind w:left="0" w:right="0" w:firstLine="0"/>
              <w:jc w:val="left"/>
            </w:pPr>
            <w:r>
              <w:rPr>
                <w:sz w:val="13"/>
              </w:rPr>
              <w:t>6,100</w:t>
            </w:r>
          </w:p>
        </w:tc>
        <w:tc>
          <w:tcPr>
            <w:tcW w:w="1066" w:type="dxa"/>
            <w:tcBorders>
              <w:top w:val="nil"/>
              <w:left w:val="single" w:sz="2" w:space="0" w:color="000000"/>
              <w:bottom w:val="single" w:sz="2" w:space="0" w:color="000000"/>
              <w:right w:val="single" w:sz="2" w:space="0" w:color="000000"/>
            </w:tcBorders>
          </w:tcPr>
          <w:p w14:paraId="7B212CA8" w14:textId="77777777" w:rsidR="00453D7A" w:rsidRDefault="00000000">
            <w:pPr>
              <w:spacing w:after="0" w:line="259" w:lineRule="auto"/>
              <w:ind w:left="0" w:right="0" w:firstLine="0"/>
              <w:jc w:val="left"/>
            </w:pPr>
            <w:r>
              <w:rPr>
                <w:sz w:val="13"/>
              </w:rPr>
              <w:t>Credit card</w:t>
            </w:r>
          </w:p>
        </w:tc>
        <w:tc>
          <w:tcPr>
            <w:tcW w:w="1181" w:type="dxa"/>
            <w:tcBorders>
              <w:top w:val="nil"/>
              <w:left w:val="single" w:sz="2" w:space="0" w:color="000000"/>
              <w:bottom w:val="single" w:sz="2" w:space="0" w:color="000000"/>
              <w:right w:val="single" w:sz="2" w:space="0" w:color="000000"/>
            </w:tcBorders>
          </w:tcPr>
          <w:p w14:paraId="42BB2377" w14:textId="77777777" w:rsidR="00453D7A" w:rsidRDefault="00000000">
            <w:pPr>
              <w:spacing w:after="0" w:line="259" w:lineRule="auto"/>
              <w:ind w:left="0" w:right="0" w:firstLine="0"/>
              <w:jc w:val="left"/>
            </w:pPr>
            <w:r>
              <w:rPr>
                <w:sz w:val="13"/>
              </w:rPr>
              <w:t>847</w:t>
            </w:r>
          </w:p>
        </w:tc>
        <w:tc>
          <w:tcPr>
            <w:tcW w:w="1523" w:type="dxa"/>
            <w:tcBorders>
              <w:top w:val="nil"/>
              <w:left w:val="single" w:sz="2" w:space="0" w:color="000000"/>
              <w:bottom w:val="single" w:sz="2" w:space="0" w:color="000000"/>
              <w:right w:val="single" w:sz="2" w:space="0" w:color="000000"/>
            </w:tcBorders>
          </w:tcPr>
          <w:p w14:paraId="204C5E6E" w14:textId="77777777" w:rsidR="00453D7A" w:rsidRDefault="00000000">
            <w:pPr>
              <w:spacing w:after="0" w:line="259" w:lineRule="auto"/>
              <w:ind w:left="0" w:right="0" w:firstLine="0"/>
              <w:jc w:val="left"/>
            </w:pPr>
            <w:r>
              <w:rPr>
                <w:sz w:val="13"/>
              </w:rPr>
              <w:t>1,243</w:t>
            </w:r>
          </w:p>
        </w:tc>
        <w:tc>
          <w:tcPr>
            <w:tcW w:w="1690" w:type="dxa"/>
            <w:tcBorders>
              <w:top w:val="nil"/>
              <w:left w:val="single" w:sz="2" w:space="0" w:color="000000"/>
              <w:bottom w:val="single" w:sz="2" w:space="0" w:color="000000"/>
              <w:right w:val="single" w:sz="2" w:space="0" w:color="000000"/>
            </w:tcBorders>
          </w:tcPr>
          <w:p w14:paraId="2CCF5F67" w14:textId="77777777" w:rsidR="00453D7A" w:rsidRDefault="00000000">
            <w:pPr>
              <w:spacing w:after="0" w:line="259" w:lineRule="auto"/>
              <w:ind w:left="0" w:right="0" w:firstLine="0"/>
              <w:jc w:val="left"/>
            </w:pPr>
            <w:r>
              <w:rPr>
                <w:sz w:val="13"/>
              </w:rPr>
              <w:t>312</w:t>
            </w:r>
          </w:p>
        </w:tc>
      </w:tr>
    </w:tbl>
    <w:p w14:paraId="4FD75545" w14:textId="77777777" w:rsidR="00453D7A" w:rsidRDefault="00000000">
      <w:pPr>
        <w:ind w:left="-15" w:right="900" w:firstLine="299"/>
      </w:pPr>
      <w:r>
        <w:t>Notice that both transactions share identical engineered feature values, because they originate from the same sender account. The profile reflects the account’s entire training history rather than the individual transaction. A transaction from an account with 847 prior transactions sending to 312 unique receivers tells a very different story than the raw amount alone.</w:t>
      </w:r>
    </w:p>
    <w:p w14:paraId="12EF11C2" w14:textId="77777777" w:rsidR="00453D7A" w:rsidRDefault="00000000">
      <w:pPr>
        <w:spacing w:after="385"/>
        <w:ind w:left="-15" w:right="900" w:firstLine="299"/>
      </w:pPr>
      <w:r>
        <w:t xml:space="preserve">The SAML-D dataset contains 28 transaction typologies (11 normal and 17 suspicious) each representing a distinct money laundering or normal banking pattern. The engineered features are designed to capture as many of these typologies as possible using static account-level statistics. Table </w:t>
      </w:r>
      <w:r>
        <w:rPr>
          <w:color w:val="0000FF"/>
        </w:rPr>
        <w:t xml:space="preserve">9 </w:t>
      </w:r>
      <w:r>
        <w:t>shows which suspicious patterns each feature group targets.</w:t>
      </w:r>
    </w:p>
    <w:p w14:paraId="78890335" w14:textId="77777777" w:rsidR="00453D7A" w:rsidRDefault="00000000">
      <w:pPr>
        <w:spacing w:after="0" w:line="265" w:lineRule="auto"/>
        <w:ind w:right="915"/>
        <w:jc w:val="center"/>
      </w:pPr>
      <w:r>
        <w:t xml:space="preserve">Table 9: Engineered </w:t>
      </w:r>
      <w:commentRangeStart w:id="7"/>
      <w:r>
        <w:t>feature</w:t>
      </w:r>
      <w:commentRangeEnd w:id="7"/>
      <w:r w:rsidR="002E758F">
        <w:rPr>
          <w:rStyle w:val="CommentReference"/>
          <w:sz w:val="20"/>
          <w:szCs w:val="24"/>
        </w:rPr>
        <w:commentReference w:id="7"/>
      </w:r>
      <w:r>
        <w:t xml:space="preserve"> groups and the suspicious patterns they target</w:t>
      </w:r>
    </w:p>
    <w:tbl>
      <w:tblPr>
        <w:tblStyle w:val="TableGrid"/>
        <w:tblW w:w="7958" w:type="dxa"/>
        <w:tblInd w:w="440" w:type="dxa"/>
        <w:tblCellMar>
          <w:top w:w="33" w:type="dxa"/>
          <w:left w:w="0" w:type="dxa"/>
          <w:bottom w:w="0" w:type="dxa"/>
          <w:right w:w="0" w:type="dxa"/>
        </w:tblCellMar>
        <w:tblLook w:val="04A0" w:firstRow="1" w:lastRow="0" w:firstColumn="1" w:lastColumn="0" w:noHBand="0" w:noVBand="1"/>
      </w:tblPr>
      <w:tblGrid>
        <w:gridCol w:w="1810"/>
        <w:gridCol w:w="823"/>
        <w:gridCol w:w="209"/>
        <w:gridCol w:w="494"/>
        <w:gridCol w:w="1548"/>
        <w:gridCol w:w="3074"/>
      </w:tblGrid>
      <w:tr w:rsidR="00453D7A" w14:paraId="66FFCCDD" w14:textId="77777777">
        <w:trPr>
          <w:trHeight w:val="247"/>
        </w:trPr>
        <w:tc>
          <w:tcPr>
            <w:tcW w:w="1810" w:type="dxa"/>
            <w:tcBorders>
              <w:top w:val="single" w:sz="3" w:space="0" w:color="000000"/>
              <w:left w:val="single" w:sz="3" w:space="0" w:color="000000"/>
              <w:bottom w:val="single" w:sz="3" w:space="0" w:color="000000"/>
              <w:right w:val="single" w:sz="3" w:space="0" w:color="000000"/>
            </w:tcBorders>
          </w:tcPr>
          <w:p w14:paraId="3B4D1040" w14:textId="77777777" w:rsidR="00453D7A" w:rsidRDefault="00000000">
            <w:pPr>
              <w:spacing w:after="0" w:line="259" w:lineRule="auto"/>
              <w:ind w:left="120" w:right="0" w:firstLine="0"/>
              <w:jc w:val="left"/>
            </w:pPr>
            <w:r>
              <w:rPr>
                <w:b/>
              </w:rPr>
              <w:t>Feature Group</w:t>
            </w:r>
          </w:p>
        </w:tc>
        <w:tc>
          <w:tcPr>
            <w:tcW w:w="3074" w:type="dxa"/>
            <w:gridSpan w:val="4"/>
            <w:tcBorders>
              <w:top w:val="single" w:sz="3" w:space="0" w:color="000000"/>
              <w:left w:val="single" w:sz="3" w:space="0" w:color="000000"/>
              <w:bottom w:val="single" w:sz="3" w:space="0" w:color="000000"/>
              <w:right w:val="single" w:sz="3" w:space="0" w:color="000000"/>
            </w:tcBorders>
          </w:tcPr>
          <w:p w14:paraId="167534CE" w14:textId="77777777" w:rsidR="00453D7A" w:rsidRDefault="00000000">
            <w:pPr>
              <w:spacing w:after="0" w:line="259" w:lineRule="auto"/>
              <w:ind w:left="120" w:right="0" w:firstLine="0"/>
              <w:jc w:val="left"/>
            </w:pPr>
            <w:r>
              <w:rPr>
                <w:b/>
              </w:rPr>
              <w:t>Example Features</w:t>
            </w:r>
          </w:p>
        </w:tc>
        <w:tc>
          <w:tcPr>
            <w:tcW w:w="3074" w:type="dxa"/>
            <w:tcBorders>
              <w:top w:val="single" w:sz="3" w:space="0" w:color="000000"/>
              <w:left w:val="single" w:sz="3" w:space="0" w:color="000000"/>
              <w:bottom w:val="single" w:sz="3" w:space="0" w:color="000000"/>
              <w:right w:val="single" w:sz="3" w:space="0" w:color="000000"/>
            </w:tcBorders>
          </w:tcPr>
          <w:p w14:paraId="2977763D" w14:textId="77777777" w:rsidR="00453D7A" w:rsidRDefault="00000000">
            <w:pPr>
              <w:spacing w:after="0" w:line="259" w:lineRule="auto"/>
              <w:ind w:left="120" w:right="0" w:firstLine="0"/>
              <w:jc w:val="left"/>
            </w:pPr>
            <w:r>
              <w:rPr>
                <w:b/>
              </w:rPr>
              <w:t>Suspicious Patterns Covered</w:t>
            </w:r>
          </w:p>
        </w:tc>
      </w:tr>
      <w:tr w:rsidR="00453D7A" w14:paraId="4E7C3553" w14:textId="77777777">
        <w:trPr>
          <w:trHeight w:val="1204"/>
        </w:trPr>
        <w:tc>
          <w:tcPr>
            <w:tcW w:w="1810" w:type="dxa"/>
            <w:tcBorders>
              <w:top w:val="single" w:sz="3" w:space="0" w:color="000000"/>
              <w:left w:val="single" w:sz="3" w:space="0" w:color="000000"/>
              <w:bottom w:val="single" w:sz="3" w:space="0" w:color="000000"/>
              <w:right w:val="single" w:sz="3" w:space="0" w:color="000000"/>
            </w:tcBorders>
          </w:tcPr>
          <w:p w14:paraId="7E6317CB" w14:textId="77777777" w:rsidR="00453D7A" w:rsidRDefault="00000000">
            <w:pPr>
              <w:spacing w:after="0" w:line="259" w:lineRule="auto"/>
              <w:ind w:left="120" w:right="0" w:firstLine="0"/>
              <w:jc w:val="left"/>
            </w:pPr>
            <w:r>
              <w:t>Sender statistics</w:t>
            </w:r>
          </w:p>
        </w:tc>
        <w:tc>
          <w:tcPr>
            <w:tcW w:w="823" w:type="dxa"/>
            <w:tcBorders>
              <w:top w:val="single" w:sz="3" w:space="0" w:color="000000"/>
              <w:left w:val="single" w:sz="3" w:space="0" w:color="000000"/>
              <w:bottom w:val="single" w:sz="3" w:space="0" w:color="000000"/>
              <w:right w:val="nil"/>
            </w:tcBorders>
          </w:tcPr>
          <w:p w14:paraId="3A94BAF6" w14:textId="77777777" w:rsidR="00453D7A" w:rsidRDefault="00000000">
            <w:pPr>
              <w:spacing w:after="0" w:line="259" w:lineRule="auto"/>
              <w:ind w:left="0" w:right="0" w:firstLine="0"/>
              <w:jc w:val="center"/>
            </w:pPr>
            <w:r>
              <w:rPr>
                <w:rFonts w:ascii="Calibri" w:eastAsia="Calibri" w:hAnsi="Calibri" w:cs="Calibri"/>
              </w:rPr>
              <w:t>sender sender sender sender sender</w:t>
            </w:r>
          </w:p>
        </w:tc>
        <w:tc>
          <w:tcPr>
            <w:tcW w:w="703" w:type="dxa"/>
            <w:gridSpan w:val="2"/>
            <w:tcBorders>
              <w:top w:val="single" w:sz="3" w:space="0" w:color="000000"/>
              <w:left w:val="nil"/>
              <w:bottom w:val="single" w:sz="3" w:space="0" w:color="000000"/>
              <w:right w:val="nil"/>
            </w:tcBorders>
          </w:tcPr>
          <w:p w14:paraId="76D53EB7" w14:textId="77777777" w:rsidR="00453D7A" w:rsidRDefault="00000000">
            <w:pPr>
              <w:spacing w:after="0" w:line="259" w:lineRule="auto"/>
              <w:ind w:left="0" w:right="0" w:firstLine="0"/>
              <w:jc w:val="left"/>
            </w:pPr>
            <w:r>
              <w:rPr>
                <w:rFonts w:ascii="Calibri" w:eastAsia="Calibri" w:hAnsi="Calibri" w:cs="Calibri"/>
              </w:rPr>
              <w:t>tx coun amount amount amount amount</w:t>
            </w:r>
          </w:p>
        </w:tc>
        <w:tc>
          <w:tcPr>
            <w:tcW w:w="1548" w:type="dxa"/>
            <w:tcBorders>
              <w:top w:val="single" w:sz="3" w:space="0" w:color="000000"/>
              <w:left w:val="nil"/>
              <w:bottom w:val="single" w:sz="3" w:space="0" w:color="000000"/>
              <w:right w:val="single" w:sz="3" w:space="0" w:color="000000"/>
            </w:tcBorders>
          </w:tcPr>
          <w:p w14:paraId="6DD3DA07" w14:textId="77777777" w:rsidR="00453D7A" w:rsidRDefault="00000000">
            <w:pPr>
              <w:spacing w:after="0" w:line="259" w:lineRule="auto"/>
              <w:ind w:left="0" w:right="915" w:firstLine="0"/>
              <w:jc w:val="left"/>
            </w:pPr>
            <w:r>
              <w:rPr>
                <w:rFonts w:ascii="Calibri" w:eastAsia="Calibri" w:hAnsi="Calibri" w:cs="Calibri"/>
              </w:rPr>
              <w:t>t</w:t>
            </w:r>
            <w:r>
              <w:t xml:space="preserve">, </w:t>
            </w:r>
            <w:r>
              <w:rPr>
                <w:rFonts w:ascii="Calibri" w:eastAsia="Calibri" w:hAnsi="Calibri" w:cs="Calibri"/>
              </w:rPr>
              <w:t>mean</w:t>
            </w:r>
            <w:r>
              <w:t xml:space="preserve">, </w:t>
            </w:r>
            <w:r>
              <w:rPr>
                <w:rFonts w:ascii="Calibri" w:eastAsia="Calibri" w:hAnsi="Calibri" w:cs="Calibri"/>
              </w:rPr>
              <w:t>std</w:t>
            </w:r>
            <w:r>
              <w:t xml:space="preserve">, </w:t>
            </w:r>
            <w:r>
              <w:rPr>
                <w:rFonts w:ascii="Calibri" w:eastAsia="Calibri" w:hAnsi="Calibri" w:cs="Calibri"/>
              </w:rPr>
              <w:t>min</w:t>
            </w:r>
            <w:r>
              <w:t xml:space="preserve">, </w:t>
            </w:r>
            <w:r>
              <w:rPr>
                <w:rFonts w:ascii="Calibri" w:eastAsia="Calibri" w:hAnsi="Calibri" w:cs="Calibri"/>
              </w:rPr>
              <w:t>max</w:t>
            </w:r>
          </w:p>
        </w:tc>
        <w:tc>
          <w:tcPr>
            <w:tcW w:w="3074" w:type="dxa"/>
            <w:tcBorders>
              <w:top w:val="single" w:sz="3" w:space="0" w:color="000000"/>
              <w:left w:val="single" w:sz="3" w:space="0" w:color="000000"/>
              <w:bottom w:val="single" w:sz="3" w:space="0" w:color="000000"/>
              <w:right w:val="single" w:sz="3" w:space="0" w:color="000000"/>
            </w:tcBorders>
          </w:tcPr>
          <w:p w14:paraId="73603FCB" w14:textId="77777777" w:rsidR="00453D7A" w:rsidRDefault="00000000">
            <w:pPr>
              <w:spacing w:after="0" w:line="259" w:lineRule="auto"/>
              <w:ind w:left="120" w:right="0" w:firstLine="0"/>
            </w:pPr>
            <w:r>
              <w:t>Smurfing, Structuring, Single large, Behavioural Change</w:t>
            </w:r>
          </w:p>
        </w:tc>
      </w:tr>
      <w:tr w:rsidR="00453D7A" w14:paraId="3F2640BD" w14:textId="77777777">
        <w:trPr>
          <w:trHeight w:val="725"/>
        </w:trPr>
        <w:tc>
          <w:tcPr>
            <w:tcW w:w="1810" w:type="dxa"/>
            <w:tcBorders>
              <w:top w:val="single" w:sz="3" w:space="0" w:color="000000"/>
              <w:left w:val="single" w:sz="3" w:space="0" w:color="000000"/>
              <w:bottom w:val="single" w:sz="3" w:space="0" w:color="000000"/>
              <w:right w:val="single" w:sz="3" w:space="0" w:color="000000"/>
            </w:tcBorders>
          </w:tcPr>
          <w:p w14:paraId="0E167E42" w14:textId="77777777" w:rsidR="00453D7A" w:rsidRDefault="00000000">
            <w:pPr>
              <w:spacing w:after="0" w:line="259" w:lineRule="auto"/>
              <w:ind w:left="120" w:right="0" w:firstLine="0"/>
              <w:jc w:val="left"/>
            </w:pPr>
            <w:r>
              <w:t>Sender diversity</w:t>
            </w:r>
          </w:p>
        </w:tc>
        <w:tc>
          <w:tcPr>
            <w:tcW w:w="823" w:type="dxa"/>
            <w:tcBorders>
              <w:top w:val="single" w:sz="3" w:space="0" w:color="000000"/>
              <w:left w:val="single" w:sz="3" w:space="0" w:color="000000"/>
              <w:bottom w:val="single" w:sz="3" w:space="0" w:color="000000"/>
              <w:right w:val="nil"/>
            </w:tcBorders>
          </w:tcPr>
          <w:p w14:paraId="0FF659EF" w14:textId="77777777" w:rsidR="00453D7A" w:rsidRDefault="00000000">
            <w:pPr>
              <w:spacing w:after="0" w:line="259" w:lineRule="auto"/>
              <w:ind w:left="0" w:right="0" w:firstLine="0"/>
              <w:jc w:val="center"/>
            </w:pPr>
            <w:r>
              <w:rPr>
                <w:rFonts w:ascii="Calibri" w:eastAsia="Calibri" w:hAnsi="Calibri" w:cs="Calibri"/>
              </w:rPr>
              <w:t>sender sender sender</w:t>
            </w:r>
          </w:p>
        </w:tc>
        <w:tc>
          <w:tcPr>
            <w:tcW w:w="703" w:type="dxa"/>
            <w:gridSpan w:val="2"/>
            <w:tcBorders>
              <w:top w:val="single" w:sz="3" w:space="0" w:color="000000"/>
              <w:left w:val="nil"/>
              <w:bottom w:val="single" w:sz="3" w:space="0" w:color="000000"/>
              <w:right w:val="nil"/>
            </w:tcBorders>
          </w:tcPr>
          <w:p w14:paraId="78E4E2E3" w14:textId="77777777" w:rsidR="00453D7A" w:rsidRDefault="00000000">
            <w:pPr>
              <w:spacing w:after="0" w:line="259" w:lineRule="auto"/>
              <w:ind w:left="0" w:right="0" w:firstLine="0"/>
              <w:jc w:val="left"/>
            </w:pPr>
            <w:r>
              <w:rPr>
                <w:rFonts w:ascii="Calibri" w:eastAsia="Calibri" w:hAnsi="Calibri" w:cs="Calibri"/>
              </w:rPr>
              <w:t>unique unique unique</w:t>
            </w:r>
          </w:p>
        </w:tc>
        <w:tc>
          <w:tcPr>
            <w:tcW w:w="1548" w:type="dxa"/>
            <w:tcBorders>
              <w:top w:val="single" w:sz="3" w:space="0" w:color="000000"/>
              <w:left w:val="nil"/>
              <w:bottom w:val="single" w:sz="3" w:space="0" w:color="000000"/>
              <w:right w:val="single" w:sz="3" w:space="0" w:color="000000"/>
            </w:tcBorders>
          </w:tcPr>
          <w:p w14:paraId="7FE12016" w14:textId="77777777" w:rsidR="00453D7A" w:rsidRDefault="00000000">
            <w:pPr>
              <w:spacing w:after="0" w:line="259" w:lineRule="auto"/>
              <w:ind w:left="0" w:right="0" w:firstLine="0"/>
              <w:jc w:val="left"/>
            </w:pPr>
            <w:r>
              <w:rPr>
                <w:rFonts w:ascii="Calibri" w:eastAsia="Calibri" w:hAnsi="Calibri" w:cs="Calibri"/>
              </w:rPr>
              <w:t>receivers</w:t>
            </w:r>
            <w:r>
              <w:t xml:space="preserve">, </w:t>
            </w:r>
            <w:r>
              <w:rPr>
                <w:rFonts w:ascii="Calibri" w:eastAsia="Calibri" w:hAnsi="Calibri" w:cs="Calibri"/>
              </w:rPr>
              <w:t>currencies</w:t>
            </w:r>
            <w:r>
              <w:t xml:space="preserve">, </w:t>
            </w:r>
            <w:r>
              <w:rPr>
                <w:rFonts w:ascii="Calibri" w:eastAsia="Calibri" w:hAnsi="Calibri" w:cs="Calibri"/>
              </w:rPr>
              <w:t>locations</w:t>
            </w:r>
          </w:p>
        </w:tc>
        <w:tc>
          <w:tcPr>
            <w:tcW w:w="3074" w:type="dxa"/>
            <w:tcBorders>
              <w:top w:val="single" w:sz="3" w:space="0" w:color="000000"/>
              <w:left w:val="single" w:sz="3" w:space="0" w:color="000000"/>
              <w:bottom w:val="single" w:sz="3" w:space="0" w:color="000000"/>
              <w:right w:val="single" w:sz="3" w:space="0" w:color="000000"/>
            </w:tcBorders>
          </w:tcPr>
          <w:p w14:paraId="7A98F555" w14:textId="77777777" w:rsidR="00453D7A" w:rsidRDefault="00000000">
            <w:pPr>
              <w:tabs>
                <w:tab w:val="right" w:pos="3074"/>
              </w:tabs>
              <w:spacing w:after="0" w:line="259" w:lineRule="auto"/>
              <w:ind w:left="0" w:right="0" w:firstLine="0"/>
              <w:jc w:val="left"/>
            </w:pPr>
            <w:r>
              <w:t>Fan Out,</w:t>
            </w:r>
            <w:r>
              <w:tab/>
              <w:t>Layered Fan Out,</w:t>
            </w:r>
          </w:p>
          <w:p w14:paraId="5908BC22" w14:textId="77777777" w:rsidR="00453D7A" w:rsidRDefault="00000000">
            <w:pPr>
              <w:spacing w:after="0" w:line="259" w:lineRule="auto"/>
              <w:ind w:left="120" w:right="0" w:firstLine="0"/>
              <w:jc w:val="left"/>
            </w:pPr>
            <w:r>
              <w:t>Over-Invoicing</w:t>
            </w:r>
          </w:p>
        </w:tc>
      </w:tr>
      <w:tr w:rsidR="00453D7A" w14:paraId="1D505028" w14:textId="77777777">
        <w:trPr>
          <w:trHeight w:val="1203"/>
        </w:trPr>
        <w:tc>
          <w:tcPr>
            <w:tcW w:w="1810" w:type="dxa"/>
            <w:tcBorders>
              <w:top w:val="single" w:sz="3" w:space="0" w:color="000000"/>
              <w:left w:val="single" w:sz="3" w:space="0" w:color="000000"/>
              <w:bottom w:val="single" w:sz="3" w:space="0" w:color="000000"/>
              <w:right w:val="single" w:sz="3" w:space="0" w:color="000000"/>
            </w:tcBorders>
          </w:tcPr>
          <w:p w14:paraId="398E6B14" w14:textId="77777777" w:rsidR="00453D7A" w:rsidRDefault="00000000">
            <w:pPr>
              <w:spacing w:after="0" w:line="259" w:lineRule="auto"/>
              <w:ind w:left="120" w:right="0" w:firstLine="0"/>
              <w:jc w:val="left"/>
            </w:pPr>
            <w:r>
              <w:t>Receiver statistics</w:t>
            </w:r>
          </w:p>
        </w:tc>
        <w:tc>
          <w:tcPr>
            <w:tcW w:w="1032" w:type="dxa"/>
            <w:gridSpan w:val="2"/>
            <w:tcBorders>
              <w:top w:val="single" w:sz="3" w:space="0" w:color="000000"/>
              <w:left w:val="single" w:sz="3" w:space="0" w:color="000000"/>
              <w:bottom w:val="single" w:sz="3" w:space="0" w:color="000000"/>
              <w:right w:val="nil"/>
            </w:tcBorders>
          </w:tcPr>
          <w:p w14:paraId="27AE9EA1" w14:textId="77777777" w:rsidR="00453D7A" w:rsidRDefault="00000000">
            <w:pPr>
              <w:spacing w:after="0" w:line="259" w:lineRule="auto"/>
              <w:ind w:left="0" w:righ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D847F3A" wp14:editId="5F11D804">
                      <wp:simplePos x="0" y="0"/>
                      <wp:positionH relativeFrom="column">
                        <wp:posOffset>615290</wp:posOffset>
                      </wp:positionH>
                      <wp:positionV relativeFrom="paragraph">
                        <wp:posOffset>74780</wp:posOffset>
                      </wp:positionV>
                      <wp:extent cx="39853" cy="607327"/>
                      <wp:effectExtent l="0" t="0" r="0" b="0"/>
                      <wp:wrapSquare wrapText="bothSides"/>
                      <wp:docPr id="47420" name="Group 47420"/>
                      <wp:cNvGraphicFramePr/>
                      <a:graphic xmlns:a="http://schemas.openxmlformats.org/drawingml/2006/main">
                        <a:graphicData uri="http://schemas.microsoft.com/office/word/2010/wordprocessingGroup">
                          <wpg:wgp>
                            <wpg:cNvGrpSpPr/>
                            <wpg:grpSpPr>
                              <a:xfrm>
                                <a:off x="0" y="0"/>
                                <a:ext cx="39853" cy="607327"/>
                                <a:chOff x="0" y="0"/>
                                <a:chExt cx="39853" cy="607327"/>
                              </a:xfrm>
                            </wpg:grpSpPr>
                            <wps:wsp>
                              <wps:cNvPr id="2118" name="Shape 2118"/>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24" name="Shape 2124"/>
                              <wps:cNvSpPr/>
                              <wps:spPr>
                                <a:xfrm>
                                  <a:off x="0" y="151829"/>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30" name="Shape 2130"/>
                              <wps:cNvSpPr/>
                              <wps:spPr>
                                <a:xfrm>
                                  <a:off x="0" y="303657"/>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36" name="Shape 2136"/>
                              <wps:cNvSpPr/>
                              <wps:spPr>
                                <a:xfrm>
                                  <a:off x="0" y="455498"/>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42" name="Shape 2142"/>
                              <wps:cNvSpPr/>
                              <wps:spPr>
                                <a:xfrm>
                                  <a:off x="0" y="607327"/>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420" style="width:3.138pt;height:47.821pt;position:absolute;mso-position-horizontal-relative:text;mso-position-horizontal:absolute;margin-left:48.448pt;mso-position-vertical-relative:text;margin-top:5.88815pt;" coordsize="398,6073">
                      <v:shape id="Shape 2118" style="position:absolute;width:398;height:0;left:0;top:0;" coordsize="39853,0" path="m0,0l39853,0">
                        <v:stroke weight="0.398pt" endcap="flat" joinstyle="miter" miterlimit="10" on="true" color="#000000"/>
                        <v:fill on="false" color="#000000" opacity="0"/>
                      </v:shape>
                      <v:shape id="Shape 2124" style="position:absolute;width:398;height:0;left:0;top:1518;" coordsize="39853,0" path="m0,0l39853,0">
                        <v:stroke weight="0.398pt" endcap="flat" joinstyle="miter" miterlimit="10" on="true" color="#000000"/>
                        <v:fill on="false" color="#000000" opacity="0"/>
                      </v:shape>
                      <v:shape id="Shape 2130" style="position:absolute;width:398;height:0;left:0;top:3036;" coordsize="39853,0" path="m0,0l39853,0">
                        <v:stroke weight="0.398pt" endcap="flat" joinstyle="miter" miterlimit="10" on="true" color="#000000"/>
                        <v:fill on="false" color="#000000" opacity="0"/>
                      </v:shape>
                      <v:shape id="Shape 2136" style="position:absolute;width:398;height:0;left:0;top:4554;" coordsize="39853,0" path="m0,0l39853,0">
                        <v:stroke weight="0.398pt" endcap="flat" joinstyle="miter" miterlimit="10" on="true" color="#000000"/>
                        <v:fill on="false" color="#000000" opacity="0"/>
                      </v:shape>
                      <v:shape id="Shape 2142" style="position:absolute;width:398;height:0;left:0;top:6073;" coordsize="39853,0" path="m0,0l39853,0">
                        <v:stroke weight="0.398pt" endcap="flat" joinstyle="miter" miterlimit="10" on="true" color="#000000"/>
                        <v:fill on="false" color="#000000" opacity="0"/>
                      </v:shape>
                      <w10:wrap type="square"/>
                    </v:group>
                  </w:pict>
                </mc:Fallback>
              </mc:AlternateContent>
            </w:r>
            <w:r>
              <w:rPr>
                <w:rFonts w:ascii="Calibri" w:eastAsia="Calibri" w:hAnsi="Calibri" w:cs="Calibri"/>
              </w:rPr>
              <w:t>receiver receiver receiver receiver receiver</w:t>
            </w:r>
          </w:p>
        </w:tc>
        <w:tc>
          <w:tcPr>
            <w:tcW w:w="2042" w:type="dxa"/>
            <w:gridSpan w:val="2"/>
            <w:tcBorders>
              <w:top w:val="single" w:sz="3" w:space="0" w:color="000000"/>
              <w:left w:val="nil"/>
              <w:bottom w:val="single" w:sz="3" w:space="0" w:color="000000"/>
              <w:right w:val="single" w:sz="3" w:space="0" w:color="000000"/>
            </w:tcBorders>
          </w:tcPr>
          <w:p w14:paraId="71086173" w14:textId="77777777" w:rsidR="00453D7A" w:rsidRDefault="00000000">
            <w:pPr>
              <w:spacing w:after="0" w:line="259" w:lineRule="auto"/>
              <w:ind w:left="0" w:right="238" w:firstLine="0"/>
              <w:jc w:val="left"/>
            </w:pPr>
            <w:r>
              <w:rPr>
                <w:rFonts w:ascii="Calibri" w:eastAsia="Calibri" w:hAnsi="Calibri" w:cs="Calibri"/>
              </w:rPr>
              <w:t>tx count</w:t>
            </w:r>
            <w:r>
              <w:t xml:space="preserve">, </w:t>
            </w:r>
            <w:r>
              <w:rPr>
                <w:rFonts w:ascii="Calibri" w:eastAsia="Calibri" w:hAnsi="Calibri" w:cs="Calibri"/>
              </w:rPr>
              <w:t>amount mean</w:t>
            </w:r>
            <w:r>
              <w:t xml:space="preserve">, </w:t>
            </w:r>
            <w:r>
              <w:rPr>
                <w:rFonts w:ascii="Calibri" w:eastAsia="Calibri" w:hAnsi="Calibri" w:cs="Calibri"/>
              </w:rPr>
              <w:t>unique senders</w:t>
            </w:r>
            <w:r>
              <w:t xml:space="preserve">, </w:t>
            </w:r>
            <w:r>
              <w:rPr>
                <w:rFonts w:ascii="Calibri" w:eastAsia="Calibri" w:hAnsi="Calibri" w:cs="Calibri"/>
              </w:rPr>
              <w:t>unique currencies</w:t>
            </w:r>
            <w:r>
              <w:t xml:space="preserve">, </w:t>
            </w:r>
            <w:r>
              <w:rPr>
                <w:rFonts w:ascii="Calibri" w:eastAsia="Calibri" w:hAnsi="Calibri" w:cs="Calibri"/>
              </w:rPr>
              <w:t>unique locations</w:t>
            </w:r>
          </w:p>
        </w:tc>
        <w:tc>
          <w:tcPr>
            <w:tcW w:w="3074" w:type="dxa"/>
            <w:tcBorders>
              <w:top w:val="single" w:sz="3" w:space="0" w:color="000000"/>
              <w:left w:val="single" w:sz="3" w:space="0" w:color="000000"/>
              <w:bottom w:val="single" w:sz="3" w:space="0" w:color="000000"/>
              <w:right w:val="single" w:sz="3" w:space="0" w:color="000000"/>
            </w:tcBorders>
          </w:tcPr>
          <w:p w14:paraId="698F663F" w14:textId="77777777" w:rsidR="00453D7A" w:rsidRDefault="00000000">
            <w:pPr>
              <w:spacing w:after="0" w:line="259" w:lineRule="auto"/>
              <w:ind w:left="120" w:right="0" w:firstLine="0"/>
              <w:jc w:val="left"/>
            </w:pPr>
            <w:r>
              <w:t>Fan In, Layered Fan In, Gather-</w:t>
            </w:r>
          </w:p>
          <w:p w14:paraId="3D526743" w14:textId="77777777" w:rsidR="00453D7A" w:rsidRDefault="00000000">
            <w:pPr>
              <w:spacing w:after="0" w:line="259" w:lineRule="auto"/>
              <w:ind w:left="120" w:right="0" w:firstLine="0"/>
              <w:jc w:val="left"/>
            </w:pPr>
            <w:r>
              <w:t>Scatter</w:t>
            </w:r>
          </w:p>
        </w:tc>
      </w:tr>
      <w:tr w:rsidR="00453D7A" w:rsidRPr="009132E9" w14:paraId="27507060" w14:textId="77777777">
        <w:trPr>
          <w:trHeight w:val="486"/>
        </w:trPr>
        <w:tc>
          <w:tcPr>
            <w:tcW w:w="1810" w:type="dxa"/>
            <w:tcBorders>
              <w:top w:val="single" w:sz="3" w:space="0" w:color="000000"/>
              <w:left w:val="single" w:sz="3" w:space="0" w:color="000000"/>
              <w:bottom w:val="single" w:sz="3" w:space="0" w:color="000000"/>
              <w:right w:val="single" w:sz="3" w:space="0" w:color="000000"/>
            </w:tcBorders>
          </w:tcPr>
          <w:p w14:paraId="2D1FC7B4" w14:textId="77777777" w:rsidR="00453D7A" w:rsidRDefault="00000000">
            <w:pPr>
              <w:spacing w:after="0" w:line="259" w:lineRule="auto"/>
              <w:ind w:left="120" w:right="0" w:firstLine="0"/>
              <w:jc w:val="left"/>
            </w:pPr>
            <w:r>
              <w:t>Fan ratios</w:t>
            </w:r>
          </w:p>
        </w:tc>
        <w:tc>
          <w:tcPr>
            <w:tcW w:w="3074" w:type="dxa"/>
            <w:gridSpan w:val="4"/>
            <w:tcBorders>
              <w:top w:val="single" w:sz="3" w:space="0" w:color="000000"/>
              <w:left w:val="single" w:sz="3" w:space="0" w:color="000000"/>
              <w:bottom w:val="single" w:sz="3" w:space="0" w:color="000000"/>
              <w:right w:val="single" w:sz="3" w:space="0" w:color="000000"/>
            </w:tcBorders>
          </w:tcPr>
          <w:p w14:paraId="373D0E92" w14:textId="77777777" w:rsidR="00453D7A" w:rsidRDefault="00000000">
            <w:pPr>
              <w:spacing w:after="0" w:line="259" w:lineRule="auto"/>
              <w:ind w:left="120" w:right="0" w:firstLine="0"/>
              <w:jc w:val="left"/>
            </w:pPr>
            <w:r>
              <w:rPr>
                <w:rFonts w:ascii="Calibri" w:eastAsia="Calibri" w:hAnsi="Calibri" w:cs="Calibri"/>
              </w:rPr>
              <w:t>fan out ratio</w:t>
            </w:r>
            <w:r>
              <w:t xml:space="preserve">, </w:t>
            </w:r>
            <w:r>
              <w:rPr>
                <w:rFonts w:ascii="Calibri" w:eastAsia="Calibri" w:hAnsi="Calibri" w:cs="Calibri"/>
              </w:rPr>
              <w:t xml:space="preserve">fan </w:t>
            </w:r>
            <w:r>
              <w:rPr>
                <w:rFonts w:ascii="Calibri" w:eastAsia="Calibri" w:hAnsi="Calibri" w:cs="Calibri"/>
                <w:noProof/>
                <w:sz w:val="22"/>
              </w:rPr>
              <mc:AlternateContent>
                <mc:Choice Requires="wpg">
                  <w:drawing>
                    <wp:inline distT="0" distB="0" distL="0" distR="0" wp14:anchorId="4A990CB6" wp14:editId="6C89743C">
                      <wp:extent cx="39853" cy="5055"/>
                      <wp:effectExtent l="0" t="0" r="0" b="0"/>
                      <wp:docPr id="47536" name="Group 47536"/>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2167" name="Shape 2167"/>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536" style="width:3.138pt;height:0.398pt;mso-position-horizontal-relative:char;mso-position-vertical-relative:line" coordsize="398,50">
                      <v:shape id="Shape 2167"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in ratio</w:t>
            </w:r>
          </w:p>
        </w:tc>
        <w:tc>
          <w:tcPr>
            <w:tcW w:w="3074" w:type="dxa"/>
            <w:tcBorders>
              <w:top w:val="single" w:sz="3" w:space="0" w:color="000000"/>
              <w:left w:val="single" w:sz="3" w:space="0" w:color="000000"/>
              <w:bottom w:val="single" w:sz="3" w:space="0" w:color="000000"/>
              <w:right w:val="single" w:sz="3" w:space="0" w:color="000000"/>
            </w:tcBorders>
          </w:tcPr>
          <w:p w14:paraId="3C64CA23" w14:textId="77777777" w:rsidR="00453D7A" w:rsidRPr="009132E9" w:rsidRDefault="00000000">
            <w:pPr>
              <w:tabs>
                <w:tab w:val="right" w:pos="3074"/>
              </w:tabs>
              <w:spacing w:after="0" w:line="259" w:lineRule="auto"/>
              <w:ind w:left="0" w:right="0" w:firstLine="0"/>
              <w:jc w:val="left"/>
              <w:rPr>
                <w:lang w:val="it-IT"/>
              </w:rPr>
            </w:pPr>
            <w:r w:rsidRPr="009132E9">
              <w:rPr>
                <w:lang w:val="it-IT"/>
              </w:rPr>
              <w:t>Bipartite,</w:t>
            </w:r>
            <w:r w:rsidRPr="009132E9">
              <w:rPr>
                <w:lang w:val="it-IT"/>
              </w:rPr>
              <w:tab/>
              <w:t>Stacked Bipartite,</w:t>
            </w:r>
          </w:p>
          <w:p w14:paraId="01AB650E" w14:textId="77777777" w:rsidR="00453D7A" w:rsidRPr="009132E9" w:rsidRDefault="00000000">
            <w:pPr>
              <w:spacing w:after="0" w:line="259" w:lineRule="auto"/>
              <w:ind w:left="120" w:right="0" w:firstLine="0"/>
              <w:jc w:val="left"/>
              <w:rPr>
                <w:lang w:val="it-IT"/>
              </w:rPr>
            </w:pPr>
            <w:r w:rsidRPr="009132E9">
              <w:rPr>
                <w:lang w:val="it-IT"/>
              </w:rPr>
              <w:t>Scatter-Gather</w:t>
            </w:r>
          </w:p>
        </w:tc>
      </w:tr>
      <w:tr w:rsidR="00453D7A" w14:paraId="752C2208" w14:textId="77777777">
        <w:trPr>
          <w:trHeight w:val="486"/>
        </w:trPr>
        <w:tc>
          <w:tcPr>
            <w:tcW w:w="1810" w:type="dxa"/>
            <w:tcBorders>
              <w:top w:val="single" w:sz="3" w:space="0" w:color="000000"/>
              <w:left w:val="single" w:sz="3" w:space="0" w:color="000000"/>
              <w:bottom w:val="single" w:sz="3" w:space="0" w:color="000000"/>
              <w:right w:val="single" w:sz="3" w:space="0" w:color="000000"/>
            </w:tcBorders>
          </w:tcPr>
          <w:p w14:paraId="53F3E5BF" w14:textId="77777777" w:rsidR="00453D7A" w:rsidRDefault="00000000">
            <w:pPr>
              <w:spacing w:after="0" w:line="259" w:lineRule="auto"/>
              <w:ind w:left="120" w:right="0" w:firstLine="0"/>
              <w:jc w:val="left"/>
            </w:pPr>
            <w:r>
              <w:t>Cross-border flags</w:t>
            </w:r>
          </w:p>
        </w:tc>
        <w:tc>
          <w:tcPr>
            <w:tcW w:w="3074" w:type="dxa"/>
            <w:gridSpan w:val="4"/>
            <w:tcBorders>
              <w:top w:val="single" w:sz="3" w:space="0" w:color="000000"/>
              <w:left w:val="single" w:sz="3" w:space="0" w:color="000000"/>
              <w:bottom w:val="single" w:sz="3" w:space="0" w:color="000000"/>
              <w:right w:val="single" w:sz="3" w:space="0" w:color="000000"/>
            </w:tcBorders>
          </w:tcPr>
          <w:p w14:paraId="4EC1BD2F" w14:textId="77777777" w:rsidR="00453D7A" w:rsidRDefault="00000000">
            <w:pPr>
              <w:spacing w:after="0" w:line="259" w:lineRule="auto"/>
              <w:ind w:left="120" w:right="97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03D24FE" wp14:editId="74C12692">
                      <wp:simplePos x="0" y="0"/>
                      <wp:positionH relativeFrom="column">
                        <wp:posOffset>216738</wp:posOffset>
                      </wp:positionH>
                      <wp:positionV relativeFrom="paragraph">
                        <wp:posOffset>75124</wp:posOffset>
                      </wp:positionV>
                      <wp:extent cx="39853" cy="151829"/>
                      <wp:effectExtent l="0" t="0" r="0" b="0"/>
                      <wp:wrapSquare wrapText="bothSides"/>
                      <wp:docPr id="47579" name="Group 47579"/>
                      <wp:cNvGraphicFramePr/>
                      <a:graphic xmlns:a="http://schemas.openxmlformats.org/drawingml/2006/main">
                        <a:graphicData uri="http://schemas.microsoft.com/office/word/2010/wordprocessingGroup">
                          <wpg:wgp>
                            <wpg:cNvGrpSpPr/>
                            <wpg:grpSpPr>
                              <a:xfrm>
                                <a:off x="0" y="0"/>
                                <a:ext cx="39853" cy="151829"/>
                                <a:chOff x="0" y="0"/>
                                <a:chExt cx="39853" cy="151829"/>
                              </a:xfrm>
                            </wpg:grpSpPr>
                            <wps:wsp>
                              <wps:cNvPr id="2182" name="Shape 2182"/>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188" name="Shape 2188"/>
                              <wps:cNvSpPr/>
                              <wps:spPr>
                                <a:xfrm>
                                  <a:off x="0" y="151829"/>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579" style="width:3.138pt;height:11.955pt;position:absolute;mso-position-horizontal-relative:text;mso-position-horizontal:absolute;margin-left:17.066pt;mso-position-vertical-relative:text;margin-top:5.91531pt;" coordsize="398,1518">
                      <v:shape id="Shape 2182" style="position:absolute;width:398;height:0;left:0;top:0;" coordsize="39853,0" path="m0,0l39853,0">
                        <v:stroke weight="0.398pt" endcap="flat" joinstyle="miter" miterlimit="10" on="true" color="#000000"/>
                        <v:fill on="false" color="#000000" opacity="0"/>
                      </v:shape>
                      <v:shape id="Shape 2188" style="position:absolute;width:398;height:0;left:0;top:1518;" coordsize="39853,0" path="m0,0l39853,0">
                        <v:stroke weight="0.398pt" endcap="flat" joinstyle="miter" miterlimit="10" on="true" color="#000000"/>
                        <v:fill on="false" color="#000000" opacity="0"/>
                      </v:shape>
                      <w10:wrap type="square"/>
                    </v:group>
                  </w:pict>
                </mc:Fallback>
              </mc:AlternateContent>
            </w:r>
            <w:r>
              <w:rPr>
                <w:rFonts w:ascii="Calibri" w:eastAsia="Calibri" w:hAnsi="Calibri" w:cs="Calibri"/>
              </w:rPr>
              <w:t>iscross currency</w:t>
            </w:r>
            <w:r>
              <w:t xml:space="preserve">, </w:t>
            </w:r>
            <w:r>
              <w:rPr>
                <w:rFonts w:ascii="Calibri" w:eastAsia="Calibri" w:hAnsi="Calibri" w:cs="Calibri"/>
              </w:rPr>
              <w:t>iscross border</w:t>
            </w:r>
          </w:p>
        </w:tc>
        <w:tc>
          <w:tcPr>
            <w:tcW w:w="3074" w:type="dxa"/>
            <w:tcBorders>
              <w:top w:val="single" w:sz="3" w:space="0" w:color="000000"/>
              <w:left w:val="single" w:sz="3" w:space="0" w:color="000000"/>
              <w:bottom w:val="single" w:sz="3" w:space="0" w:color="000000"/>
              <w:right w:val="single" w:sz="3" w:space="0" w:color="000000"/>
            </w:tcBorders>
          </w:tcPr>
          <w:p w14:paraId="79838405" w14:textId="77777777" w:rsidR="00453D7A" w:rsidRDefault="00000000">
            <w:pPr>
              <w:tabs>
                <w:tab w:val="right" w:pos="3074"/>
              </w:tabs>
              <w:spacing w:after="19" w:line="259" w:lineRule="auto"/>
              <w:ind w:left="0" w:right="0" w:firstLine="0"/>
              <w:jc w:val="left"/>
            </w:pPr>
            <w:r>
              <w:t>Over-Invoicing,</w:t>
            </w:r>
            <w:r>
              <w:tab/>
              <w:t>Lay-</w:t>
            </w:r>
          </w:p>
          <w:p w14:paraId="456CACC0" w14:textId="77777777" w:rsidR="00453D7A" w:rsidRDefault="00000000">
            <w:pPr>
              <w:spacing w:after="0" w:line="259" w:lineRule="auto"/>
              <w:ind w:left="120" w:right="0" w:firstLine="0"/>
              <w:jc w:val="left"/>
            </w:pPr>
            <w:r>
              <w:t>ered Fan Out, Layered Fan In</w:t>
            </w:r>
          </w:p>
        </w:tc>
      </w:tr>
    </w:tbl>
    <w:p w14:paraId="39227668" w14:textId="77777777" w:rsidR="00453D7A" w:rsidRDefault="00000000">
      <w:pPr>
        <w:ind w:left="-15" w:right="900" w:firstLine="299"/>
      </w:pPr>
      <w:r>
        <w:t xml:space="preserve">Three suspicious typologies could not be captured by this feature set. </w:t>
      </w:r>
      <w:r>
        <w:rPr>
          <w:rFonts w:ascii="Calibri" w:eastAsia="Calibri" w:hAnsi="Calibri" w:cs="Calibri"/>
        </w:rPr>
        <w:t xml:space="preserve">Cycle </w:t>
      </w:r>
      <w:r>
        <w:t xml:space="preserve">requires graph traversal to detect money moving in a circular chain back to the origin account, which static account-level aggregates cannot capture. </w:t>
      </w:r>
      <w:r>
        <w:rPr>
          <w:rFonts w:ascii="Calibri" w:eastAsia="Calibri" w:hAnsi="Calibri" w:cs="Calibri"/>
        </w:rPr>
        <w:t xml:space="preserve">Deposit-Send </w:t>
      </w:r>
      <w:r>
        <w:t xml:space="preserve">and </w:t>
      </w:r>
      <w:r>
        <w:rPr>
          <w:rFonts w:ascii="Calibri" w:eastAsia="Calibri" w:hAnsi="Calibri" w:cs="Calibri"/>
        </w:rPr>
        <w:t xml:space="preserve">Cash Withdrawal </w:t>
      </w:r>
      <w:r>
        <w:t>both rely on detecting activity within a short time window, for example, whether an account deposited cash and sent it onwards within minutes. In principle, this could be tracked by storing the timestamp of the last deposit in the account profile. However, since profiles are built exclusively from the training set, any deposit occurring after the training cutoff is never recorded. By the time a validation or test transaction is scored, the stored timestamp may be months old, making a feature designed to detect activity within minutes effectively meaningless. These features were therefore not included in the final feature set. This problem is also referred to as the rolling time window.</w:t>
      </w:r>
    </w:p>
    <w:p w14:paraId="7A254407" w14:textId="77777777" w:rsidR="00453D7A" w:rsidRDefault="00000000">
      <w:pPr>
        <w:ind w:left="-15" w:right="900" w:firstLine="299"/>
      </w:pPr>
      <w:r>
        <w:rPr>
          <w:b/>
        </w:rPr>
        <w:t xml:space="preserve">Encoding. </w:t>
      </w:r>
      <w:r>
        <w:t>XGBoost handles categorical features natively as category types, requiring no encoding. The DQN, however, requires fully numeric input. Therefore, the five categorical features (payment type, payment currency, received currency, sender bank location, and receiver bank location) were one-hot encoded for the DQN, expanding the feature set from 26 to 90 features.</w:t>
      </w:r>
    </w:p>
    <w:p w14:paraId="02AFAEFE" w14:textId="77777777" w:rsidR="00453D7A" w:rsidRDefault="00000000">
      <w:pPr>
        <w:ind w:left="-15" w:right="900" w:firstLine="299"/>
      </w:pPr>
      <w:r>
        <w:rPr>
          <w:b/>
        </w:rPr>
        <w:t xml:space="preserve">Scaling. </w:t>
      </w:r>
      <w:r>
        <w:t xml:space="preserve">XGBoost does not require scaling by design. The DQN, by contrast, is a neural network whose gradient updates are sensitive to feature scale. Features on very different scales can cause gradients to become unstable during training, leading to poor convergence. To prevent this, all numeric features were standardised using a </w:t>
      </w:r>
      <w:r>
        <w:rPr>
          <w:rFonts w:ascii="Calibri" w:eastAsia="Calibri" w:hAnsi="Calibri" w:cs="Calibri"/>
        </w:rPr>
        <w:t xml:space="preserve">StandardScaler </w:t>
      </w:r>
      <w:r>
        <w:t>fitted on the training set only and subsequently applied to the validation and test sets, ensuring no information from outside the training period influenced the scaling.</w:t>
      </w:r>
    </w:p>
    <w:p w14:paraId="28D8EFB6" w14:textId="77777777" w:rsidR="00453D7A" w:rsidRDefault="00000000">
      <w:pPr>
        <w:pStyle w:val="Heading2"/>
        <w:ind w:left="598" w:hanging="613"/>
      </w:pPr>
      <w:r>
        <w:lastRenderedPageBreak/>
        <w:t>Data Risks</w:t>
      </w:r>
    </w:p>
    <w:p w14:paraId="2570DDC1" w14:textId="77777777" w:rsidR="00453D7A" w:rsidRDefault="00000000">
      <w:pPr>
        <w:ind w:left="-5" w:right="900"/>
      </w:pPr>
      <w:r>
        <w:t>Several risks associated with the SAML-D dataset are acknowledged and should be considered when interpreting the results of this research.</w:t>
      </w:r>
    </w:p>
    <w:p w14:paraId="75F80E46" w14:textId="77777777" w:rsidR="00453D7A" w:rsidRDefault="00000000">
      <w:pPr>
        <w:ind w:left="-15" w:right="900" w:firstLine="299"/>
      </w:pPr>
      <w:r>
        <w:rPr>
          <w:b/>
        </w:rPr>
        <w:t xml:space="preserve">Synthetic data limitations. </w:t>
      </w:r>
      <w:r>
        <w:t xml:space="preserve">Although SAML-D is based on realistic AML patterns developed in consultation with AML specialists </w:t>
      </w:r>
      <w:r>
        <w:rPr>
          <w:color w:val="0000FF"/>
        </w:rPr>
        <w:t xml:space="preserve">Oztas et al. </w:t>
      </w:r>
      <w:r>
        <w:t>(</w:t>
      </w:r>
      <w:r>
        <w:rPr>
          <w:color w:val="0000FF"/>
        </w:rPr>
        <w:t>2023</w:t>
      </w:r>
      <w:r>
        <w:t>), it remains a synthetic dataset. Patterns present in real banking transactions may not be fully captured, and the model may not perform equally well when applied to real-world data.</w:t>
      </w:r>
    </w:p>
    <w:p w14:paraId="4848997A" w14:textId="77777777" w:rsidR="00453D7A" w:rsidRDefault="00000000">
      <w:pPr>
        <w:spacing w:after="336"/>
        <w:ind w:left="-15" w:right="900" w:firstLine="299"/>
      </w:pPr>
      <w:r>
        <w:rPr>
          <w:b/>
        </w:rPr>
        <w:t xml:space="preserve">Imbalance ratio. </w:t>
      </w:r>
      <w:r>
        <w:t xml:space="preserve">The class imbalance of 0.104% is notably low. ING reported that approximately 1–2% of transactions are flagged as potentially suspicious </w:t>
      </w:r>
      <w:r>
        <w:rPr>
          <w:color w:val="0000FF"/>
        </w:rPr>
        <w:t xml:space="preserve">Attard and de Bruijn </w:t>
      </w:r>
      <w:r>
        <w:t>(</w:t>
      </w:r>
      <w:r>
        <w:rPr>
          <w:color w:val="0000FF"/>
        </w:rPr>
        <w:t>2026</w:t>
      </w:r>
      <w:r>
        <w:t>), though it is important to note that not all flagged transactions are confirmed laundering cases. Regardless, the dataset imbalance may still under-represent suspicious activity compared to real banking environments, which could affect model performance.</w:t>
      </w:r>
    </w:p>
    <w:p w14:paraId="2434B583" w14:textId="77777777" w:rsidR="00453D7A" w:rsidRDefault="00000000">
      <w:pPr>
        <w:pStyle w:val="Heading2"/>
        <w:ind w:left="598" w:hanging="613"/>
      </w:pPr>
      <w:r>
        <w:t>Bias Consideration</w:t>
      </w:r>
    </w:p>
    <w:p w14:paraId="1524346A" w14:textId="77777777" w:rsidR="00453D7A" w:rsidRDefault="00000000">
      <w:pPr>
        <w:ind w:left="-5" w:right="900"/>
      </w:pPr>
      <w:r>
        <w:t>Several sources of bias are relevant to this research and must be acknowledged.</w:t>
      </w:r>
    </w:p>
    <w:p w14:paraId="28FB8779" w14:textId="77777777" w:rsidR="00453D7A" w:rsidRDefault="00000000">
      <w:pPr>
        <w:ind w:left="-15" w:right="900" w:firstLine="299"/>
      </w:pPr>
      <w:r>
        <w:rPr>
          <w:b/>
        </w:rPr>
        <w:t xml:space="preserve">Labeling bias. </w:t>
      </w:r>
      <w:r>
        <w:t xml:space="preserve">The labels in SAML-D are assigned based on predefined patterns developed in consultation with AML specialists </w:t>
      </w:r>
      <w:r>
        <w:rPr>
          <w:color w:val="0000FF"/>
        </w:rPr>
        <w:t xml:space="preserve">Oztas et al. </w:t>
      </w:r>
      <w:r>
        <w:t>(</w:t>
      </w:r>
      <w:r>
        <w:rPr>
          <w:color w:val="0000FF"/>
        </w:rPr>
        <w:t>2023</w:t>
      </w:r>
      <w:r>
        <w:t xml:space="preserve">), rather than verified real-world financial crime cases. This means the model may learn to detect the specific patterns encoded in the dataset rather than true laundering behaviour. Notably, this is not unique to synthetic datasets, as both ING and ABN AMRO acknowledged their labels are also derived from rule-based systems and human investigators, a process that is inherently error-prone </w:t>
      </w:r>
      <w:r>
        <w:rPr>
          <w:color w:val="0000FF"/>
        </w:rPr>
        <w:t xml:space="preserve">Attard and de Bruijn </w:t>
      </w:r>
      <w:r>
        <w:t>(</w:t>
      </w:r>
      <w:r>
        <w:rPr>
          <w:color w:val="0000FF"/>
        </w:rPr>
        <w:t>2026</w:t>
      </w:r>
      <w:r>
        <w:t xml:space="preserve">); </w:t>
      </w:r>
      <w:r>
        <w:rPr>
          <w:color w:val="0000FF"/>
        </w:rPr>
        <w:t xml:space="preserve">Menon and Nguyen </w:t>
      </w:r>
      <w:r>
        <w:t>(</w:t>
      </w:r>
      <w:r>
        <w:rPr>
          <w:color w:val="0000FF"/>
        </w:rPr>
        <w:t>2026</w:t>
      </w:r>
      <w:r>
        <w:t>).</w:t>
      </w:r>
    </w:p>
    <w:p w14:paraId="5488F2F0" w14:textId="77777777" w:rsidR="00453D7A" w:rsidRDefault="00000000">
      <w:pPr>
        <w:ind w:left="-15" w:right="900" w:firstLine="299"/>
      </w:pPr>
      <w:r>
        <w:rPr>
          <w:b/>
        </w:rPr>
        <w:t xml:space="preserve">Historical bias. </w:t>
      </w:r>
      <w:r>
        <w:t>By training on past transaction patterns, the model may learn to replicate the flagging decisions encoded in the simulator rather than generalizing to new or unseen laundering strategies. As launderers continuously adapt their methods, a model trained on a fixed set of patterns may struggle to detect previously unseen patterns.</w:t>
      </w:r>
    </w:p>
    <w:p w14:paraId="24DCD40E" w14:textId="77777777" w:rsidR="00453D7A" w:rsidRDefault="00000000">
      <w:pPr>
        <w:ind w:left="-15" w:right="900" w:firstLine="299"/>
      </w:pPr>
      <w:r>
        <w:rPr>
          <w:b/>
        </w:rPr>
        <w:t xml:space="preserve">Class imbalance bias. </w:t>
      </w:r>
      <w:r>
        <w:t>With only 0.104% of transactions labelled as laundering, the model risks being biased towards predicting the majority class. This is distinct from the imbalance ratio risk above: where that risk concerns how well the dataset represents reality, this bias concerns how the model learns from it. It is mitigated by using AUPRC as the primary evaluation metric and by applying threshold-based classification, allowing the decision boundary to be adjusted to improve recall at the cost of precision where necessary.</w:t>
      </w:r>
    </w:p>
    <w:p w14:paraId="46BFE205" w14:textId="77777777" w:rsidR="00453D7A" w:rsidRDefault="00000000">
      <w:pPr>
        <w:spacing w:after="443"/>
        <w:ind w:left="309" w:right="900"/>
      </w:pPr>
      <w:r>
        <w:t>[]</w:t>
      </w:r>
    </w:p>
    <w:p w14:paraId="4A4EB7DA" w14:textId="77777777" w:rsidR="00453D7A" w:rsidRDefault="00000000">
      <w:pPr>
        <w:pStyle w:val="Heading1"/>
        <w:ind w:left="469" w:hanging="484"/>
      </w:pPr>
      <w:r>
        <w:t>Model &amp; Architecture</w:t>
      </w:r>
    </w:p>
    <w:p w14:paraId="48EFFE76" w14:textId="77777777" w:rsidR="00453D7A" w:rsidRDefault="00000000">
      <w:pPr>
        <w:spacing w:after="338"/>
        <w:ind w:left="-5" w:right="900"/>
      </w:pPr>
      <w:r>
        <w:t>This chapter describes the model selection process, the architecture and tuning of both models, and the trade-offs observed during experimentation.</w:t>
      </w:r>
    </w:p>
    <w:p w14:paraId="3A01CDA8" w14:textId="77777777" w:rsidR="00453D7A" w:rsidRDefault="00000000">
      <w:pPr>
        <w:pStyle w:val="Heading2"/>
        <w:ind w:left="598" w:hanging="613"/>
      </w:pPr>
      <w:r>
        <w:t>Model Selection</w:t>
      </w:r>
    </w:p>
    <w:p w14:paraId="723B893C" w14:textId="77777777" w:rsidR="00453D7A" w:rsidRDefault="00000000">
      <w:pPr>
        <w:pStyle w:val="Heading3"/>
        <w:ind w:left="685" w:right="900" w:hanging="700"/>
      </w:pPr>
      <w:r>
        <w:t>Baseline: XGBoost</w:t>
      </w:r>
    </w:p>
    <w:p w14:paraId="710CAF84" w14:textId="77777777" w:rsidR="00453D7A" w:rsidRDefault="00000000">
      <w:pPr>
        <w:spacing w:after="289"/>
        <w:ind w:left="-5" w:right="900"/>
      </w:pPr>
      <w:r>
        <w:t xml:space="preserve">XGBoost was selected as the supervised learning baseline for three reasons. First, it is the most frequently used method in the AML literature, appearing in four of the studies surveyed by </w:t>
      </w:r>
      <w:r>
        <w:rPr>
          <w:color w:val="0000FF"/>
        </w:rPr>
        <w:t xml:space="preserve">Youssef et al. </w:t>
      </w:r>
      <w:r>
        <w:t>(</w:t>
      </w:r>
      <w:r>
        <w:rPr>
          <w:color w:val="0000FF"/>
        </w:rPr>
        <w:t>2023</w:t>
      </w:r>
      <w:r>
        <w:t xml:space="preserve">). Second, it is the primary model used in production at both ING and ABN AMRO </w:t>
      </w:r>
      <w:r>
        <w:rPr>
          <w:color w:val="0000FF"/>
        </w:rPr>
        <w:t xml:space="preserve">Attard and de Bruijn </w:t>
      </w:r>
      <w:r>
        <w:t>(</w:t>
      </w:r>
      <w:r>
        <w:rPr>
          <w:color w:val="0000FF"/>
        </w:rPr>
        <w:t>2026</w:t>
      </w:r>
      <w:r>
        <w:t xml:space="preserve">); </w:t>
      </w:r>
      <w:r>
        <w:rPr>
          <w:color w:val="0000FF"/>
        </w:rPr>
        <w:t xml:space="preserve">Menon and Nguyen </w:t>
      </w:r>
      <w:r>
        <w:t>(</w:t>
      </w:r>
      <w:r>
        <w:rPr>
          <w:color w:val="0000FF"/>
        </w:rPr>
        <w:t>2026</w:t>
      </w:r>
      <w:r>
        <w:t xml:space="preserve">). Third, it was used by all top-performing teams in the IEEE-CIS Fraud Detection Competition </w:t>
      </w:r>
      <w:r>
        <w:rPr>
          <w:color w:val="0000FF"/>
        </w:rPr>
        <w:t xml:space="preserve">Deotte and Yakovlev </w:t>
      </w:r>
      <w:r>
        <w:t>(</w:t>
      </w:r>
      <w:r>
        <w:rPr>
          <w:color w:val="0000FF"/>
        </w:rPr>
        <w:t>2019</w:t>
      </w:r>
      <w:r>
        <w:t xml:space="preserve">); </w:t>
      </w:r>
      <w:r>
        <w:rPr>
          <w:color w:val="0000FF"/>
        </w:rPr>
        <w:t xml:space="preserve">Bryansky et al. </w:t>
      </w:r>
      <w:r>
        <w:t>(</w:t>
      </w:r>
      <w:r>
        <w:rPr>
          <w:color w:val="0000FF"/>
        </w:rPr>
        <w:t>2019</w:t>
      </w:r>
      <w:r>
        <w:t xml:space="preserve">); </w:t>
      </w:r>
      <w:r>
        <w:rPr>
          <w:color w:val="0000FF"/>
        </w:rPr>
        <w:t xml:space="preserve">Team Lions </w:t>
      </w:r>
      <w:r>
        <w:t>(</w:t>
      </w:r>
      <w:r>
        <w:rPr>
          <w:color w:val="0000FF"/>
        </w:rPr>
        <w:t>2019</w:t>
      </w:r>
      <w:r>
        <w:t>). These three grounds make XGBoost the most defensible and practically relevant baseline choice.</w:t>
      </w:r>
    </w:p>
    <w:p w14:paraId="0EB64A60" w14:textId="77777777" w:rsidR="00453D7A" w:rsidRDefault="00000000">
      <w:pPr>
        <w:pStyle w:val="Heading3"/>
        <w:ind w:left="685" w:right="900" w:hanging="700"/>
      </w:pPr>
      <w:r>
        <w:t>Reinforcement Learning Model: DQN</w:t>
      </w:r>
    </w:p>
    <w:p w14:paraId="024FFC40" w14:textId="77777777" w:rsidR="00453D7A" w:rsidRDefault="00000000">
      <w:pPr>
        <w:spacing w:after="345"/>
        <w:ind w:left="-5" w:right="900"/>
      </w:pPr>
      <w:r>
        <w:t xml:space="preserve">For the RL model, the Deep Q-Network (DQN) was selected because both RL papers found in the literature apply this architecture to transaction monitoring </w:t>
      </w:r>
      <w:r>
        <w:rPr>
          <w:color w:val="0000FF"/>
        </w:rPr>
        <w:t xml:space="preserve">Cui et al. </w:t>
      </w:r>
      <w:r>
        <w:t>(</w:t>
      </w:r>
      <w:r>
        <w:rPr>
          <w:color w:val="0000FF"/>
        </w:rPr>
        <w:t>2025</w:t>
      </w:r>
      <w:r>
        <w:t xml:space="preserve">); </w:t>
      </w:r>
      <w:r>
        <w:rPr>
          <w:color w:val="0000FF"/>
        </w:rPr>
        <w:t xml:space="preserve">Qayoom et al. </w:t>
      </w:r>
      <w:r>
        <w:t>(</w:t>
      </w:r>
      <w:r>
        <w:rPr>
          <w:color w:val="0000FF"/>
        </w:rPr>
        <w:t>2024</w:t>
      </w:r>
      <w:r>
        <w:t xml:space="preserve">). Since no other </w:t>
      </w:r>
      <w:r>
        <w:lastRenderedPageBreak/>
        <w:t xml:space="preserve">RL architecture has been applied to this domain, DQN represents the most documented and directly comparable approach. The use of SHAP for explainability is justified by its application in the AML literature </w:t>
      </w:r>
      <w:r>
        <w:rPr>
          <w:color w:val="0000FF"/>
        </w:rPr>
        <w:t xml:space="preserve">Tertychnyi et al. </w:t>
      </w:r>
      <w:r>
        <w:t>(</w:t>
      </w:r>
      <w:r>
        <w:rPr>
          <w:color w:val="0000FF"/>
        </w:rPr>
        <w:t>2022</w:t>
      </w:r>
      <w:r>
        <w:t xml:space="preserve">) and its operational use at ABN AMRO </w:t>
      </w:r>
      <w:r>
        <w:rPr>
          <w:color w:val="0000FF"/>
        </w:rPr>
        <w:t xml:space="preserve">Menon and Nguyen </w:t>
      </w:r>
      <w:r>
        <w:t>(</w:t>
      </w:r>
      <w:r>
        <w:rPr>
          <w:color w:val="0000FF"/>
        </w:rPr>
        <w:t>2026</w:t>
      </w:r>
      <w:r>
        <w:t>).</w:t>
      </w:r>
    </w:p>
    <w:p w14:paraId="518CDFA4" w14:textId="77777777" w:rsidR="00453D7A" w:rsidRDefault="00000000">
      <w:pPr>
        <w:pStyle w:val="Heading2"/>
        <w:ind w:left="598" w:hanging="613"/>
      </w:pPr>
      <w:r>
        <w:t>Model Overview</w:t>
      </w:r>
    </w:p>
    <w:p w14:paraId="246C7FDB" w14:textId="77777777" w:rsidR="00453D7A" w:rsidRDefault="00000000">
      <w:pPr>
        <w:spacing w:after="338"/>
        <w:ind w:left="-5" w:right="900"/>
      </w:pPr>
      <w:r>
        <w:t>Two models were implemented and evaluated on the SAML-D dataset under identical experimental conditions. XGBoost served as the supervised learning baseline, outputting a continuous probability score per transaction used to set a detection threshold. The DQN served as the Reinforcement Learning model, framing each transaction as a decision problem in which an agent learns to classify transactions as suspicious or normal based on a reward signal. Both models were evaluated using AUPRC and interpreted using SHAP values.</w:t>
      </w:r>
    </w:p>
    <w:p w14:paraId="7171C6E7" w14:textId="77777777" w:rsidR="00453D7A" w:rsidRDefault="00000000">
      <w:pPr>
        <w:pStyle w:val="Heading2"/>
        <w:ind w:left="598" w:hanging="613"/>
      </w:pPr>
      <w:r>
        <w:t>XGBoost: Architecture &amp; Tuning</w:t>
      </w:r>
    </w:p>
    <w:p w14:paraId="34E87DA9" w14:textId="77777777" w:rsidR="00453D7A" w:rsidRDefault="00000000">
      <w:pPr>
        <w:spacing w:after="293"/>
        <w:ind w:left="-5" w:right="900"/>
      </w:pPr>
      <w:r>
        <w:t>XGBoost was trained in two iterations. Iteration 1 established a baseline using default hyperparameters. Iteration 2 applied a systematic grid search to improve upon this baseline.</w:t>
      </w:r>
    </w:p>
    <w:p w14:paraId="56298BE4" w14:textId="77777777" w:rsidR="00453D7A" w:rsidRDefault="00000000">
      <w:pPr>
        <w:pStyle w:val="Heading3"/>
        <w:ind w:left="685" w:right="900" w:hanging="700"/>
      </w:pPr>
      <w:r>
        <w:t>Fixed Configuration</w:t>
      </w:r>
    </w:p>
    <w:p w14:paraId="12E89F52" w14:textId="77777777" w:rsidR="00453D7A" w:rsidRDefault="00000000">
      <w:pPr>
        <w:ind w:left="-5" w:right="900"/>
      </w:pPr>
      <w:r>
        <w:t>Across both iterations, the following parameters were fixed and not subject to tuning:</w:t>
      </w:r>
    </w:p>
    <w:p w14:paraId="0134B913" w14:textId="77777777" w:rsidR="00453D7A" w:rsidRDefault="00000000">
      <w:pPr>
        <w:spacing w:after="0" w:line="265" w:lineRule="auto"/>
        <w:ind w:right="915"/>
        <w:jc w:val="center"/>
      </w:pPr>
      <w:r>
        <w:t>Table 10: XGBoost fixed configuration</w:t>
      </w:r>
    </w:p>
    <w:tbl>
      <w:tblPr>
        <w:tblStyle w:val="TableGrid"/>
        <w:tblW w:w="8192" w:type="dxa"/>
        <w:tblInd w:w="323" w:type="dxa"/>
        <w:tblCellMar>
          <w:top w:w="32" w:type="dxa"/>
          <w:left w:w="120" w:type="dxa"/>
          <w:bottom w:w="0" w:type="dxa"/>
          <w:right w:w="119" w:type="dxa"/>
        </w:tblCellMar>
        <w:tblLook w:val="04A0" w:firstRow="1" w:lastRow="0" w:firstColumn="1" w:lastColumn="0" w:noHBand="0" w:noVBand="1"/>
      </w:tblPr>
      <w:tblGrid>
        <w:gridCol w:w="2377"/>
        <w:gridCol w:w="1607"/>
        <w:gridCol w:w="4208"/>
      </w:tblGrid>
      <w:tr w:rsidR="00453D7A" w14:paraId="65A7AB00" w14:textId="77777777">
        <w:trPr>
          <w:trHeight w:val="247"/>
        </w:trPr>
        <w:tc>
          <w:tcPr>
            <w:tcW w:w="2377" w:type="dxa"/>
            <w:tcBorders>
              <w:top w:val="single" w:sz="3" w:space="0" w:color="000000"/>
              <w:left w:val="single" w:sz="3" w:space="0" w:color="000000"/>
              <w:bottom w:val="single" w:sz="3" w:space="0" w:color="000000"/>
              <w:right w:val="single" w:sz="3" w:space="0" w:color="000000"/>
            </w:tcBorders>
          </w:tcPr>
          <w:p w14:paraId="5EACCECA" w14:textId="77777777" w:rsidR="00453D7A" w:rsidRDefault="00000000">
            <w:pPr>
              <w:spacing w:after="0" w:line="259" w:lineRule="auto"/>
              <w:ind w:left="0" w:right="0" w:firstLine="0"/>
              <w:jc w:val="left"/>
            </w:pPr>
            <w:r>
              <w:rPr>
                <w:b/>
              </w:rPr>
              <w:t>Parameter</w:t>
            </w:r>
          </w:p>
        </w:tc>
        <w:tc>
          <w:tcPr>
            <w:tcW w:w="1607" w:type="dxa"/>
            <w:tcBorders>
              <w:top w:val="single" w:sz="3" w:space="0" w:color="000000"/>
              <w:left w:val="single" w:sz="3" w:space="0" w:color="000000"/>
              <w:bottom w:val="single" w:sz="3" w:space="0" w:color="000000"/>
              <w:right w:val="single" w:sz="3" w:space="0" w:color="000000"/>
            </w:tcBorders>
          </w:tcPr>
          <w:p w14:paraId="268600C4" w14:textId="77777777" w:rsidR="00453D7A" w:rsidRDefault="00000000">
            <w:pPr>
              <w:spacing w:after="0" w:line="259" w:lineRule="auto"/>
              <w:ind w:left="0" w:right="0" w:firstLine="0"/>
              <w:jc w:val="left"/>
            </w:pPr>
            <w:r>
              <w:rPr>
                <w:b/>
              </w:rPr>
              <w:t>Value</w:t>
            </w:r>
          </w:p>
        </w:tc>
        <w:tc>
          <w:tcPr>
            <w:tcW w:w="4208" w:type="dxa"/>
            <w:tcBorders>
              <w:top w:val="single" w:sz="3" w:space="0" w:color="000000"/>
              <w:left w:val="single" w:sz="3" w:space="0" w:color="000000"/>
              <w:bottom w:val="single" w:sz="3" w:space="0" w:color="000000"/>
              <w:right w:val="single" w:sz="3" w:space="0" w:color="000000"/>
            </w:tcBorders>
          </w:tcPr>
          <w:p w14:paraId="7DD814EC" w14:textId="77777777" w:rsidR="00453D7A" w:rsidRDefault="00000000">
            <w:pPr>
              <w:spacing w:after="0" w:line="259" w:lineRule="auto"/>
              <w:ind w:left="0" w:right="0" w:firstLine="0"/>
              <w:jc w:val="left"/>
            </w:pPr>
            <w:r>
              <w:rPr>
                <w:b/>
              </w:rPr>
              <w:t>Justification</w:t>
            </w:r>
          </w:p>
        </w:tc>
      </w:tr>
      <w:tr w:rsidR="00453D7A" w14:paraId="685CDF48" w14:textId="77777777">
        <w:trPr>
          <w:trHeight w:val="725"/>
        </w:trPr>
        <w:tc>
          <w:tcPr>
            <w:tcW w:w="2377" w:type="dxa"/>
            <w:tcBorders>
              <w:top w:val="single" w:sz="3" w:space="0" w:color="000000"/>
              <w:left w:val="single" w:sz="3" w:space="0" w:color="000000"/>
              <w:bottom w:val="single" w:sz="3" w:space="0" w:color="000000"/>
              <w:right w:val="single" w:sz="3" w:space="0" w:color="000000"/>
            </w:tcBorders>
          </w:tcPr>
          <w:p w14:paraId="6C581635" w14:textId="77777777" w:rsidR="00453D7A" w:rsidRDefault="00000000">
            <w:pPr>
              <w:spacing w:after="0" w:line="259" w:lineRule="auto"/>
              <w:ind w:left="0" w:right="0" w:firstLine="0"/>
              <w:jc w:val="left"/>
            </w:pPr>
            <w:r>
              <w:rPr>
                <w:rFonts w:ascii="Calibri" w:eastAsia="Calibri" w:hAnsi="Calibri" w:cs="Calibri"/>
              </w:rPr>
              <w:t xml:space="preserve">scale </w:t>
            </w:r>
            <w:r>
              <w:rPr>
                <w:rFonts w:ascii="Calibri" w:eastAsia="Calibri" w:hAnsi="Calibri" w:cs="Calibri"/>
                <w:noProof/>
                <w:sz w:val="22"/>
              </w:rPr>
              <mc:AlternateContent>
                <mc:Choice Requires="wpg">
                  <w:drawing>
                    <wp:inline distT="0" distB="0" distL="0" distR="0" wp14:anchorId="30F1AA72" wp14:editId="4224B78C">
                      <wp:extent cx="39853" cy="5055"/>
                      <wp:effectExtent l="0" t="0" r="0" b="0"/>
                      <wp:docPr id="42250" name="Group 42250"/>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2465" name="Shape 2465"/>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250" style="width:3.138pt;height:0.398pt;mso-position-horizontal-relative:char;mso-position-vertical-relative:line" coordsize="398,50">
                      <v:shape id="Shape 2465"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pos weight</w:t>
            </w:r>
          </w:p>
        </w:tc>
        <w:tc>
          <w:tcPr>
            <w:tcW w:w="1607" w:type="dxa"/>
            <w:tcBorders>
              <w:top w:val="single" w:sz="3" w:space="0" w:color="000000"/>
              <w:left w:val="single" w:sz="3" w:space="0" w:color="000000"/>
              <w:bottom w:val="single" w:sz="3" w:space="0" w:color="000000"/>
              <w:right w:val="single" w:sz="3" w:space="0" w:color="000000"/>
            </w:tcBorders>
          </w:tcPr>
          <w:p w14:paraId="0A58EF16" w14:textId="77777777" w:rsidR="00453D7A" w:rsidRDefault="00000000">
            <w:pPr>
              <w:spacing w:after="0" w:line="259" w:lineRule="auto"/>
              <w:ind w:left="0" w:right="0" w:firstLine="0"/>
              <w:jc w:val="left"/>
            </w:pPr>
            <w:r>
              <w:t>∼982 (neg/pos)</w:t>
            </w:r>
          </w:p>
        </w:tc>
        <w:tc>
          <w:tcPr>
            <w:tcW w:w="4208" w:type="dxa"/>
            <w:tcBorders>
              <w:top w:val="single" w:sz="3" w:space="0" w:color="000000"/>
              <w:left w:val="single" w:sz="3" w:space="0" w:color="000000"/>
              <w:bottom w:val="single" w:sz="3" w:space="0" w:color="000000"/>
              <w:right w:val="single" w:sz="3" w:space="0" w:color="000000"/>
            </w:tcBorders>
          </w:tcPr>
          <w:p w14:paraId="10D8CDD3" w14:textId="77777777" w:rsidR="00453D7A" w:rsidRDefault="00000000">
            <w:pPr>
              <w:spacing w:after="0" w:line="259" w:lineRule="auto"/>
              <w:ind w:left="0" w:right="0" w:firstLine="0"/>
            </w:pPr>
            <w:r>
              <w:t>Mathematically correct handling of 0.104% class imbalance; recommended by XGBoost documentation</w:t>
            </w:r>
          </w:p>
        </w:tc>
      </w:tr>
      <w:tr w:rsidR="00453D7A" w14:paraId="2D72B9E7" w14:textId="77777777">
        <w:trPr>
          <w:trHeight w:val="964"/>
        </w:trPr>
        <w:tc>
          <w:tcPr>
            <w:tcW w:w="2377" w:type="dxa"/>
            <w:tcBorders>
              <w:top w:val="single" w:sz="3" w:space="0" w:color="000000"/>
              <w:left w:val="single" w:sz="3" w:space="0" w:color="000000"/>
              <w:bottom w:val="single" w:sz="3" w:space="0" w:color="000000"/>
              <w:right w:val="single" w:sz="3" w:space="0" w:color="000000"/>
            </w:tcBorders>
          </w:tcPr>
          <w:p w14:paraId="4DEEBFDF" w14:textId="77777777" w:rsidR="00453D7A" w:rsidRDefault="00000000">
            <w:pPr>
              <w:spacing w:after="0" w:line="259" w:lineRule="auto"/>
              <w:ind w:left="0" w:right="0" w:firstLine="0"/>
              <w:jc w:val="left"/>
            </w:pPr>
            <w:r>
              <w:rPr>
                <w:rFonts w:ascii="Calibri" w:eastAsia="Calibri" w:hAnsi="Calibri" w:cs="Calibri"/>
              </w:rPr>
              <w:t>eval metric</w:t>
            </w:r>
          </w:p>
        </w:tc>
        <w:tc>
          <w:tcPr>
            <w:tcW w:w="1607" w:type="dxa"/>
            <w:tcBorders>
              <w:top w:val="single" w:sz="3" w:space="0" w:color="000000"/>
              <w:left w:val="single" w:sz="3" w:space="0" w:color="000000"/>
              <w:bottom w:val="single" w:sz="3" w:space="0" w:color="000000"/>
              <w:right w:val="single" w:sz="3" w:space="0" w:color="000000"/>
            </w:tcBorders>
          </w:tcPr>
          <w:p w14:paraId="5B43AB5F" w14:textId="77777777" w:rsidR="00453D7A" w:rsidRDefault="00000000">
            <w:pPr>
              <w:spacing w:after="0" w:line="259" w:lineRule="auto"/>
              <w:ind w:left="0" w:right="0" w:firstLine="0"/>
              <w:jc w:val="left"/>
            </w:pPr>
            <w:r>
              <w:rPr>
                <w:rFonts w:ascii="Calibri" w:eastAsia="Calibri" w:hAnsi="Calibri" w:cs="Calibri"/>
              </w:rPr>
              <w:t>aucpr</w:t>
            </w:r>
          </w:p>
        </w:tc>
        <w:tc>
          <w:tcPr>
            <w:tcW w:w="4208" w:type="dxa"/>
            <w:tcBorders>
              <w:top w:val="single" w:sz="3" w:space="0" w:color="000000"/>
              <w:left w:val="single" w:sz="3" w:space="0" w:color="000000"/>
              <w:bottom w:val="single" w:sz="3" w:space="0" w:color="000000"/>
              <w:right w:val="single" w:sz="3" w:space="0" w:color="000000"/>
            </w:tcBorders>
          </w:tcPr>
          <w:p w14:paraId="4E1241CA" w14:textId="77777777" w:rsidR="00453D7A" w:rsidRDefault="00000000">
            <w:pPr>
              <w:spacing w:after="0" w:line="259" w:lineRule="auto"/>
              <w:ind w:left="0" w:right="0" w:firstLine="0"/>
            </w:pPr>
            <w:r>
              <w:t xml:space="preserve">Matches primary evaluation metric; consistent with industry practice at ING and ABN AMRO </w:t>
            </w:r>
            <w:r>
              <w:rPr>
                <w:color w:val="0000FF"/>
              </w:rPr>
              <w:t xml:space="preserve">Attard and de Bruijn </w:t>
            </w:r>
            <w:r>
              <w:t>(</w:t>
            </w:r>
            <w:r>
              <w:rPr>
                <w:color w:val="0000FF"/>
              </w:rPr>
              <w:t>2026</w:t>
            </w:r>
            <w:r>
              <w:t xml:space="preserve">); </w:t>
            </w:r>
            <w:r>
              <w:rPr>
                <w:color w:val="0000FF"/>
              </w:rPr>
              <w:t xml:space="preserve">Menon and Nguyen </w:t>
            </w:r>
            <w:r>
              <w:t>(</w:t>
            </w:r>
            <w:r>
              <w:rPr>
                <w:color w:val="0000FF"/>
              </w:rPr>
              <w:t>2026</w:t>
            </w:r>
            <w:r>
              <w:t>)</w:t>
            </w:r>
          </w:p>
        </w:tc>
      </w:tr>
      <w:tr w:rsidR="00453D7A" w14:paraId="12E0D3DF" w14:textId="77777777">
        <w:trPr>
          <w:trHeight w:val="486"/>
        </w:trPr>
        <w:tc>
          <w:tcPr>
            <w:tcW w:w="2377" w:type="dxa"/>
            <w:tcBorders>
              <w:top w:val="single" w:sz="3" w:space="0" w:color="000000"/>
              <w:left w:val="single" w:sz="3" w:space="0" w:color="000000"/>
              <w:bottom w:val="single" w:sz="3" w:space="0" w:color="000000"/>
              <w:right w:val="single" w:sz="3" w:space="0" w:color="000000"/>
            </w:tcBorders>
          </w:tcPr>
          <w:p w14:paraId="25528C64" w14:textId="77777777" w:rsidR="00453D7A" w:rsidRDefault="00000000">
            <w:pPr>
              <w:spacing w:after="0" w:line="259" w:lineRule="auto"/>
              <w:ind w:left="0" w:right="0" w:firstLine="0"/>
              <w:jc w:val="left"/>
            </w:pPr>
            <w:r>
              <w:rPr>
                <w:rFonts w:ascii="Calibri" w:eastAsia="Calibri" w:hAnsi="Calibri" w:cs="Calibri"/>
              </w:rPr>
              <w:t xml:space="preserve">early </w:t>
            </w:r>
            <w:r>
              <w:rPr>
                <w:rFonts w:ascii="Calibri" w:eastAsia="Calibri" w:hAnsi="Calibri" w:cs="Calibri"/>
                <w:noProof/>
                <w:sz w:val="22"/>
              </w:rPr>
              <mc:AlternateContent>
                <mc:Choice Requires="wpg">
                  <w:drawing>
                    <wp:inline distT="0" distB="0" distL="0" distR="0" wp14:anchorId="15A2516D" wp14:editId="0F1A74BA">
                      <wp:extent cx="39853" cy="5055"/>
                      <wp:effectExtent l="0" t="0" r="0" b="0"/>
                      <wp:docPr id="42469" name="Group 42469"/>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2501" name="Shape 2501"/>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469" style="width:3.138pt;height:0.398pt;mso-position-horizontal-relative:char;mso-position-vertical-relative:line" coordsize="398,50">
                      <v:shape id="Shape 2501"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stopping rounds</w:t>
            </w:r>
          </w:p>
        </w:tc>
        <w:tc>
          <w:tcPr>
            <w:tcW w:w="1607" w:type="dxa"/>
            <w:tcBorders>
              <w:top w:val="single" w:sz="3" w:space="0" w:color="000000"/>
              <w:left w:val="single" w:sz="3" w:space="0" w:color="000000"/>
              <w:bottom w:val="single" w:sz="3" w:space="0" w:color="000000"/>
              <w:right w:val="single" w:sz="3" w:space="0" w:color="000000"/>
            </w:tcBorders>
          </w:tcPr>
          <w:p w14:paraId="6AE09804" w14:textId="77777777" w:rsidR="00453D7A" w:rsidRDefault="00000000">
            <w:pPr>
              <w:spacing w:after="0" w:line="259" w:lineRule="auto"/>
              <w:ind w:left="0" w:right="0" w:firstLine="0"/>
              <w:jc w:val="left"/>
            </w:pPr>
            <w:r>
              <w:t>50</w:t>
            </w:r>
          </w:p>
        </w:tc>
        <w:tc>
          <w:tcPr>
            <w:tcW w:w="4208" w:type="dxa"/>
            <w:tcBorders>
              <w:top w:val="single" w:sz="3" w:space="0" w:color="000000"/>
              <w:left w:val="single" w:sz="3" w:space="0" w:color="000000"/>
              <w:bottom w:val="single" w:sz="3" w:space="0" w:color="000000"/>
              <w:right w:val="single" w:sz="3" w:space="0" w:color="000000"/>
            </w:tcBorders>
          </w:tcPr>
          <w:p w14:paraId="4534BA6D" w14:textId="77777777" w:rsidR="00453D7A" w:rsidRDefault="00000000">
            <w:pPr>
              <w:spacing w:after="0" w:line="259" w:lineRule="auto"/>
              <w:ind w:left="0" w:right="0" w:firstLine="0"/>
            </w:pPr>
            <w:r>
              <w:t>Prevents overfitting; actual tree count determined by validation performance</w:t>
            </w:r>
          </w:p>
        </w:tc>
      </w:tr>
      <w:tr w:rsidR="00453D7A" w14:paraId="3C353FE9" w14:textId="77777777">
        <w:trPr>
          <w:trHeight w:val="247"/>
        </w:trPr>
        <w:tc>
          <w:tcPr>
            <w:tcW w:w="2377" w:type="dxa"/>
            <w:tcBorders>
              <w:top w:val="single" w:sz="3" w:space="0" w:color="000000"/>
              <w:left w:val="single" w:sz="3" w:space="0" w:color="000000"/>
              <w:bottom w:val="single" w:sz="3" w:space="0" w:color="000000"/>
              <w:right w:val="single" w:sz="3" w:space="0" w:color="000000"/>
            </w:tcBorders>
          </w:tcPr>
          <w:p w14:paraId="562CD78B" w14:textId="77777777" w:rsidR="00453D7A" w:rsidRDefault="00000000">
            <w:pPr>
              <w:spacing w:after="0" w:line="259" w:lineRule="auto"/>
              <w:ind w:left="0" w:right="0" w:firstLine="0"/>
              <w:jc w:val="left"/>
            </w:pPr>
            <w:r>
              <w:rPr>
                <w:rFonts w:ascii="Calibri" w:eastAsia="Calibri" w:hAnsi="Calibri" w:cs="Calibri"/>
              </w:rPr>
              <w:t>random state</w:t>
            </w:r>
          </w:p>
        </w:tc>
        <w:tc>
          <w:tcPr>
            <w:tcW w:w="1607" w:type="dxa"/>
            <w:tcBorders>
              <w:top w:val="single" w:sz="3" w:space="0" w:color="000000"/>
              <w:left w:val="single" w:sz="3" w:space="0" w:color="000000"/>
              <w:bottom w:val="single" w:sz="3" w:space="0" w:color="000000"/>
              <w:right w:val="single" w:sz="3" w:space="0" w:color="000000"/>
            </w:tcBorders>
          </w:tcPr>
          <w:p w14:paraId="1155DEEB" w14:textId="77777777" w:rsidR="00453D7A" w:rsidRDefault="00000000">
            <w:pPr>
              <w:spacing w:after="0" w:line="259" w:lineRule="auto"/>
              <w:ind w:left="0" w:right="0" w:firstLine="0"/>
              <w:jc w:val="left"/>
            </w:pPr>
            <w:r>
              <w:t>42</w:t>
            </w:r>
          </w:p>
        </w:tc>
        <w:tc>
          <w:tcPr>
            <w:tcW w:w="4208" w:type="dxa"/>
            <w:tcBorders>
              <w:top w:val="single" w:sz="3" w:space="0" w:color="000000"/>
              <w:left w:val="single" w:sz="3" w:space="0" w:color="000000"/>
              <w:bottom w:val="single" w:sz="3" w:space="0" w:color="000000"/>
              <w:right w:val="single" w:sz="3" w:space="0" w:color="000000"/>
            </w:tcBorders>
          </w:tcPr>
          <w:p w14:paraId="265594AC" w14:textId="77777777" w:rsidR="00453D7A" w:rsidRDefault="00000000">
            <w:pPr>
              <w:spacing w:after="0" w:line="259" w:lineRule="auto"/>
              <w:ind w:left="0" w:right="0" w:firstLine="0"/>
              <w:jc w:val="left"/>
            </w:pPr>
            <w:r>
              <w:t>Reproducibility</w:t>
            </w:r>
          </w:p>
        </w:tc>
      </w:tr>
    </w:tbl>
    <w:p w14:paraId="61E194AD" w14:textId="77777777" w:rsidR="00453D7A" w:rsidRDefault="00000000">
      <w:pPr>
        <w:pStyle w:val="Heading3"/>
        <w:ind w:left="685" w:right="900" w:hanging="700"/>
      </w:pPr>
      <w:r>
        <w:t>Iteration 1: Baseline</w:t>
      </w:r>
    </w:p>
    <w:p w14:paraId="2611922E" w14:textId="77777777" w:rsidR="00453D7A" w:rsidRDefault="00000000">
      <w:pPr>
        <w:spacing w:after="291"/>
        <w:ind w:left="-5" w:right="900"/>
      </w:pPr>
      <w:r>
        <w:t xml:space="preserve">Iteration 1 trained XGBoost using default hyperparameters for all parameters not listed in Table </w:t>
      </w:r>
      <w:r>
        <w:rPr>
          <w:color w:val="0000FF"/>
        </w:rPr>
        <w:t>10</w:t>
      </w:r>
      <w:r>
        <w:t>. This established the baseline performance that Iteration 2 attempted to improve upon, achieving a validation AUPRC of 0.7673 and a test AUPRC of 0.7739.</w:t>
      </w:r>
    </w:p>
    <w:p w14:paraId="0B21C6AE" w14:textId="77777777" w:rsidR="00453D7A" w:rsidRDefault="00000000">
      <w:pPr>
        <w:pStyle w:val="Heading3"/>
        <w:ind w:left="685" w:right="900" w:hanging="700"/>
      </w:pPr>
      <w:r>
        <w:t>Iteration 2: Grid Search</w:t>
      </w:r>
    </w:p>
    <w:p w14:paraId="29CFBE21" w14:textId="77777777" w:rsidR="00453D7A" w:rsidRDefault="00000000">
      <w:pPr>
        <w:spacing w:after="401"/>
        <w:ind w:left="-5" w:right="900"/>
      </w:pPr>
      <w:r>
        <w:t xml:space="preserve">Iteration 2 applied a grid search over the parameters identified as most tunable by </w:t>
      </w:r>
      <w:r>
        <w:rPr>
          <w:color w:val="0000FF"/>
        </w:rPr>
        <w:t xml:space="preserve">Probst et al. </w:t>
      </w:r>
      <w:r>
        <w:t>(</w:t>
      </w:r>
      <w:r>
        <w:rPr>
          <w:color w:val="0000FF"/>
        </w:rPr>
        <w:t>2019</w:t>
      </w:r>
      <w:r>
        <w:t xml:space="preserve">), who benchmarked XGBoost hyperparameter sensitivity across 38 datasets and reported 5th and 95th percentile optimal values. Parameter values were derived from three sources: the tuning ranges of Probst et al., the 1st place IEEE-CIS solution of </w:t>
      </w:r>
      <w:r>
        <w:rPr>
          <w:color w:val="0000FF"/>
        </w:rPr>
        <w:t xml:space="preserve">Deotte and Yakovlev </w:t>
      </w:r>
      <w:r>
        <w:t>(</w:t>
      </w:r>
      <w:r>
        <w:rPr>
          <w:color w:val="0000FF"/>
        </w:rPr>
        <w:t>2019</w:t>
      </w:r>
      <w:r>
        <w:t xml:space="preserve">) which provides competition-validated values on a comparable fraud detection task, and the XGBoost documentation defaults </w:t>
      </w:r>
      <w:r>
        <w:rPr>
          <w:color w:val="0000FF"/>
        </w:rPr>
        <w:t xml:space="preserve">XGBoost Developers </w:t>
      </w:r>
      <w:r>
        <w:t>(</w:t>
      </w:r>
      <w:r>
        <w:rPr>
          <w:color w:val="0000FF"/>
        </w:rPr>
        <w:t>2024</w:t>
      </w:r>
      <w:r>
        <w:t>).</w:t>
      </w:r>
    </w:p>
    <w:p w14:paraId="21BDC551" w14:textId="77777777" w:rsidR="00453D7A" w:rsidRDefault="00000000">
      <w:pPr>
        <w:spacing w:after="0" w:line="265" w:lineRule="auto"/>
        <w:ind w:right="915"/>
        <w:jc w:val="center"/>
      </w:pPr>
      <w:r>
        <w:t>Table 11: XGBoost grid search parameter ranges</w:t>
      </w:r>
    </w:p>
    <w:tbl>
      <w:tblPr>
        <w:tblStyle w:val="TableGrid"/>
        <w:tblW w:w="8769" w:type="dxa"/>
        <w:tblInd w:w="34" w:type="dxa"/>
        <w:tblCellMar>
          <w:top w:w="33" w:type="dxa"/>
          <w:left w:w="120" w:type="dxa"/>
          <w:bottom w:w="0" w:type="dxa"/>
          <w:right w:w="119" w:type="dxa"/>
        </w:tblCellMar>
        <w:tblLook w:val="04A0" w:firstRow="1" w:lastRow="0" w:firstColumn="1" w:lastColumn="0" w:noHBand="0" w:noVBand="1"/>
      </w:tblPr>
      <w:tblGrid>
        <w:gridCol w:w="1854"/>
        <w:gridCol w:w="2708"/>
        <w:gridCol w:w="4207"/>
      </w:tblGrid>
      <w:tr w:rsidR="00453D7A" w14:paraId="3D4C6A27" w14:textId="77777777">
        <w:trPr>
          <w:trHeight w:val="247"/>
        </w:trPr>
        <w:tc>
          <w:tcPr>
            <w:tcW w:w="1854" w:type="dxa"/>
            <w:tcBorders>
              <w:top w:val="single" w:sz="3" w:space="0" w:color="000000"/>
              <w:left w:val="single" w:sz="3" w:space="0" w:color="000000"/>
              <w:bottom w:val="single" w:sz="3" w:space="0" w:color="000000"/>
              <w:right w:val="single" w:sz="3" w:space="0" w:color="000000"/>
            </w:tcBorders>
          </w:tcPr>
          <w:p w14:paraId="0847794A" w14:textId="77777777" w:rsidR="00453D7A" w:rsidRDefault="00000000">
            <w:pPr>
              <w:spacing w:after="0" w:line="259" w:lineRule="auto"/>
              <w:ind w:left="0" w:right="0" w:firstLine="0"/>
              <w:jc w:val="left"/>
            </w:pPr>
            <w:r>
              <w:rPr>
                <w:b/>
              </w:rPr>
              <w:t>Parameter</w:t>
            </w:r>
          </w:p>
        </w:tc>
        <w:tc>
          <w:tcPr>
            <w:tcW w:w="2708" w:type="dxa"/>
            <w:tcBorders>
              <w:top w:val="single" w:sz="3" w:space="0" w:color="000000"/>
              <w:left w:val="single" w:sz="3" w:space="0" w:color="000000"/>
              <w:bottom w:val="single" w:sz="3" w:space="0" w:color="000000"/>
              <w:right w:val="single" w:sz="3" w:space="0" w:color="000000"/>
            </w:tcBorders>
          </w:tcPr>
          <w:p w14:paraId="3904BC96" w14:textId="77777777" w:rsidR="00453D7A" w:rsidRDefault="00000000">
            <w:pPr>
              <w:spacing w:after="0" w:line="259" w:lineRule="auto"/>
              <w:ind w:left="0" w:right="0" w:firstLine="0"/>
              <w:jc w:val="left"/>
            </w:pPr>
            <w:r>
              <w:rPr>
                <w:b/>
              </w:rPr>
              <w:t>Values Tested</w:t>
            </w:r>
          </w:p>
        </w:tc>
        <w:tc>
          <w:tcPr>
            <w:tcW w:w="4208" w:type="dxa"/>
            <w:tcBorders>
              <w:top w:val="single" w:sz="3" w:space="0" w:color="000000"/>
              <w:left w:val="single" w:sz="3" w:space="0" w:color="000000"/>
              <w:bottom w:val="single" w:sz="3" w:space="0" w:color="000000"/>
              <w:right w:val="single" w:sz="3" w:space="0" w:color="000000"/>
            </w:tcBorders>
          </w:tcPr>
          <w:p w14:paraId="05C3A2E2" w14:textId="77777777" w:rsidR="00453D7A" w:rsidRDefault="00000000">
            <w:pPr>
              <w:spacing w:after="0" w:line="259" w:lineRule="auto"/>
              <w:ind w:left="0" w:right="0" w:firstLine="0"/>
              <w:jc w:val="left"/>
            </w:pPr>
            <w:r>
              <w:rPr>
                <w:b/>
              </w:rPr>
              <w:t>Source</w:t>
            </w:r>
          </w:p>
        </w:tc>
      </w:tr>
      <w:tr w:rsidR="00453D7A" w:rsidRPr="009132E9" w14:paraId="0990B285" w14:textId="77777777">
        <w:trPr>
          <w:trHeight w:val="486"/>
        </w:trPr>
        <w:tc>
          <w:tcPr>
            <w:tcW w:w="1854" w:type="dxa"/>
            <w:tcBorders>
              <w:top w:val="single" w:sz="3" w:space="0" w:color="000000"/>
              <w:left w:val="single" w:sz="3" w:space="0" w:color="000000"/>
              <w:bottom w:val="single" w:sz="3" w:space="0" w:color="000000"/>
              <w:right w:val="single" w:sz="3" w:space="0" w:color="000000"/>
            </w:tcBorders>
          </w:tcPr>
          <w:p w14:paraId="379140E5" w14:textId="77777777" w:rsidR="00453D7A" w:rsidRDefault="00000000">
            <w:pPr>
              <w:spacing w:after="0" w:line="259" w:lineRule="auto"/>
              <w:ind w:left="0" w:right="0" w:firstLine="0"/>
              <w:jc w:val="left"/>
            </w:pPr>
            <w:r>
              <w:rPr>
                <w:rFonts w:ascii="Calibri" w:eastAsia="Calibri" w:hAnsi="Calibri" w:cs="Calibri"/>
              </w:rPr>
              <w:t>eta</w:t>
            </w:r>
          </w:p>
        </w:tc>
        <w:tc>
          <w:tcPr>
            <w:tcW w:w="2708" w:type="dxa"/>
            <w:tcBorders>
              <w:top w:val="single" w:sz="3" w:space="0" w:color="000000"/>
              <w:left w:val="single" w:sz="3" w:space="0" w:color="000000"/>
              <w:bottom w:val="single" w:sz="3" w:space="0" w:color="000000"/>
              <w:right w:val="single" w:sz="3" w:space="0" w:color="000000"/>
            </w:tcBorders>
          </w:tcPr>
          <w:p w14:paraId="5A736C27" w14:textId="77777777" w:rsidR="00453D7A" w:rsidRDefault="00000000">
            <w:pPr>
              <w:spacing w:after="0" w:line="259" w:lineRule="auto"/>
              <w:ind w:left="0" w:right="0" w:firstLine="0"/>
              <w:jc w:val="left"/>
            </w:pPr>
            <w:r>
              <w:t>[0.002, 0.02, 0.18, 0.3, 0.355]</w:t>
            </w:r>
          </w:p>
        </w:tc>
        <w:tc>
          <w:tcPr>
            <w:tcW w:w="4208" w:type="dxa"/>
            <w:tcBorders>
              <w:top w:val="single" w:sz="3" w:space="0" w:color="000000"/>
              <w:left w:val="single" w:sz="3" w:space="0" w:color="000000"/>
              <w:bottom w:val="single" w:sz="3" w:space="0" w:color="000000"/>
              <w:right w:val="single" w:sz="3" w:space="0" w:color="000000"/>
            </w:tcBorders>
          </w:tcPr>
          <w:p w14:paraId="190901A4" w14:textId="77777777" w:rsidR="00453D7A" w:rsidRPr="009132E9" w:rsidRDefault="00000000">
            <w:pPr>
              <w:spacing w:after="0" w:line="259" w:lineRule="auto"/>
              <w:ind w:left="0" w:right="0" w:firstLine="0"/>
              <w:rPr>
                <w:lang w:val="da-DK"/>
              </w:rPr>
            </w:pPr>
            <w:r w:rsidRPr="009132E9">
              <w:rPr>
                <w:lang w:val="da-DK"/>
              </w:rPr>
              <w:t>Probst et al. q0.05, Deotte &amp; Yakovlev, midpoint, default, Probst et al. q0.95</w:t>
            </w:r>
          </w:p>
        </w:tc>
      </w:tr>
      <w:tr w:rsidR="00453D7A" w14:paraId="155D6EC8" w14:textId="77777777">
        <w:trPr>
          <w:trHeight w:val="486"/>
        </w:trPr>
        <w:tc>
          <w:tcPr>
            <w:tcW w:w="1854" w:type="dxa"/>
            <w:tcBorders>
              <w:top w:val="single" w:sz="3" w:space="0" w:color="000000"/>
              <w:left w:val="single" w:sz="3" w:space="0" w:color="000000"/>
              <w:bottom w:val="single" w:sz="3" w:space="0" w:color="000000"/>
              <w:right w:val="single" w:sz="3" w:space="0" w:color="000000"/>
            </w:tcBorders>
          </w:tcPr>
          <w:p w14:paraId="0F1D45CD" w14:textId="77777777" w:rsidR="00453D7A" w:rsidRDefault="00000000">
            <w:pPr>
              <w:spacing w:after="0" w:line="259" w:lineRule="auto"/>
              <w:ind w:left="0" w:right="0" w:firstLine="0"/>
              <w:jc w:val="left"/>
            </w:pPr>
            <w:r>
              <w:rPr>
                <w:rFonts w:ascii="Calibri" w:eastAsia="Calibri" w:hAnsi="Calibri" w:cs="Calibri"/>
              </w:rPr>
              <w:lastRenderedPageBreak/>
              <w:t>subsample</w:t>
            </w:r>
          </w:p>
        </w:tc>
        <w:tc>
          <w:tcPr>
            <w:tcW w:w="2708" w:type="dxa"/>
            <w:tcBorders>
              <w:top w:val="single" w:sz="3" w:space="0" w:color="000000"/>
              <w:left w:val="single" w:sz="3" w:space="0" w:color="000000"/>
              <w:bottom w:val="single" w:sz="3" w:space="0" w:color="000000"/>
              <w:right w:val="single" w:sz="3" w:space="0" w:color="000000"/>
            </w:tcBorders>
          </w:tcPr>
          <w:p w14:paraId="710B86C3" w14:textId="77777777" w:rsidR="00453D7A" w:rsidRDefault="00000000">
            <w:pPr>
              <w:spacing w:after="0" w:line="259" w:lineRule="auto"/>
              <w:ind w:left="0" w:right="0" w:firstLine="0"/>
              <w:jc w:val="left"/>
            </w:pPr>
            <w:r>
              <w:t>[0.5, 0.75, 0.8, 0.958, 1.0]</w:t>
            </w:r>
          </w:p>
        </w:tc>
        <w:tc>
          <w:tcPr>
            <w:tcW w:w="4208" w:type="dxa"/>
            <w:tcBorders>
              <w:top w:val="single" w:sz="3" w:space="0" w:color="000000"/>
              <w:left w:val="single" w:sz="3" w:space="0" w:color="000000"/>
              <w:bottom w:val="single" w:sz="3" w:space="0" w:color="000000"/>
              <w:right w:val="single" w:sz="3" w:space="0" w:color="000000"/>
            </w:tcBorders>
          </w:tcPr>
          <w:p w14:paraId="623DD701" w14:textId="77777777" w:rsidR="00453D7A" w:rsidRDefault="00000000">
            <w:pPr>
              <w:tabs>
                <w:tab w:val="right" w:pos="3969"/>
              </w:tabs>
              <w:spacing w:after="0" w:line="259" w:lineRule="auto"/>
              <w:ind w:left="0" w:right="0" w:firstLine="0"/>
              <w:jc w:val="left"/>
            </w:pPr>
            <w:r>
              <w:t>Probst et al.</w:t>
            </w:r>
            <w:r>
              <w:tab/>
              <w:t>q0.05, midpoint, Deotte &amp;</w:t>
            </w:r>
          </w:p>
          <w:p w14:paraId="796E3E6A" w14:textId="77777777" w:rsidR="00453D7A" w:rsidRDefault="00000000">
            <w:pPr>
              <w:spacing w:after="0" w:line="259" w:lineRule="auto"/>
              <w:ind w:left="0" w:right="0" w:firstLine="0"/>
              <w:jc w:val="left"/>
            </w:pPr>
            <w:r>
              <w:t>Yakovlev, Probst et al. q0.95, default</w:t>
            </w:r>
          </w:p>
        </w:tc>
      </w:tr>
      <w:tr w:rsidR="00453D7A" w:rsidRPr="009132E9" w14:paraId="415C2A2C" w14:textId="77777777">
        <w:trPr>
          <w:trHeight w:val="247"/>
        </w:trPr>
        <w:tc>
          <w:tcPr>
            <w:tcW w:w="1854" w:type="dxa"/>
            <w:tcBorders>
              <w:top w:val="single" w:sz="3" w:space="0" w:color="000000"/>
              <w:left w:val="single" w:sz="3" w:space="0" w:color="000000"/>
              <w:bottom w:val="single" w:sz="3" w:space="0" w:color="000000"/>
              <w:right w:val="single" w:sz="3" w:space="0" w:color="000000"/>
            </w:tcBorders>
          </w:tcPr>
          <w:p w14:paraId="3C6FB550" w14:textId="77777777" w:rsidR="00453D7A" w:rsidRDefault="00000000">
            <w:pPr>
              <w:spacing w:after="0" w:line="259" w:lineRule="auto"/>
              <w:ind w:left="0" w:right="0" w:firstLine="0"/>
              <w:jc w:val="left"/>
            </w:pPr>
            <w:r>
              <w:rPr>
                <w:rFonts w:ascii="Calibri" w:eastAsia="Calibri" w:hAnsi="Calibri" w:cs="Calibri"/>
              </w:rPr>
              <w:t xml:space="preserve">min </w:t>
            </w:r>
            <w:r>
              <w:rPr>
                <w:rFonts w:ascii="Calibri" w:eastAsia="Calibri" w:hAnsi="Calibri" w:cs="Calibri"/>
                <w:noProof/>
                <w:sz w:val="22"/>
              </w:rPr>
              <mc:AlternateContent>
                <mc:Choice Requires="wpg">
                  <w:drawing>
                    <wp:inline distT="0" distB="0" distL="0" distR="0" wp14:anchorId="04FCCAE8" wp14:editId="7100D6C2">
                      <wp:extent cx="39853" cy="5055"/>
                      <wp:effectExtent l="0" t="0" r="0" b="0"/>
                      <wp:docPr id="43507" name="Group 43507"/>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2576" name="Shape 2576"/>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507" style="width:3.138pt;height:0.398pt;mso-position-horizontal-relative:char;mso-position-vertical-relative:line" coordsize="398,50">
                      <v:shape id="Shape 2576"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child weight</w:t>
            </w:r>
          </w:p>
        </w:tc>
        <w:tc>
          <w:tcPr>
            <w:tcW w:w="2708" w:type="dxa"/>
            <w:tcBorders>
              <w:top w:val="single" w:sz="3" w:space="0" w:color="000000"/>
              <w:left w:val="single" w:sz="3" w:space="0" w:color="000000"/>
              <w:bottom w:val="single" w:sz="3" w:space="0" w:color="000000"/>
              <w:right w:val="single" w:sz="3" w:space="0" w:color="000000"/>
            </w:tcBorders>
          </w:tcPr>
          <w:p w14:paraId="248BA2EB" w14:textId="77777777" w:rsidR="00453D7A" w:rsidRDefault="00000000">
            <w:pPr>
              <w:spacing w:after="0" w:line="259" w:lineRule="auto"/>
              <w:ind w:left="0" w:right="0" w:firstLine="0"/>
              <w:jc w:val="left"/>
            </w:pPr>
            <w:r>
              <w:t>[1, 4, 7]</w:t>
            </w:r>
          </w:p>
        </w:tc>
        <w:tc>
          <w:tcPr>
            <w:tcW w:w="4208" w:type="dxa"/>
            <w:tcBorders>
              <w:top w:val="single" w:sz="3" w:space="0" w:color="000000"/>
              <w:left w:val="single" w:sz="3" w:space="0" w:color="000000"/>
              <w:bottom w:val="single" w:sz="3" w:space="0" w:color="000000"/>
              <w:right w:val="single" w:sz="3" w:space="0" w:color="000000"/>
            </w:tcBorders>
          </w:tcPr>
          <w:p w14:paraId="1BF5D795" w14:textId="77777777" w:rsidR="00453D7A" w:rsidRPr="009132E9" w:rsidRDefault="00000000">
            <w:pPr>
              <w:spacing w:after="0" w:line="259" w:lineRule="auto"/>
              <w:ind w:left="0" w:right="0" w:firstLine="0"/>
              <w:jc w:val="left"/>
              <w:rPr>
                <w:lang w:val="fr-FR"/>
              </w:rPr>
            </w:pPr>
            <w:r w:rsidRPr="009132E9">
              <w:rPr>
                <w:lang w:val="fr-FR"/>
              </w:rPr>
              <w:t>Probst et al. q0.05 &amp; default, midpoint, q0.95</w:t>
            </w:r>
          </w:p>
        </w:tc>
      </w:tr>
      <w:tr w:rsidR="00453D7A" w14:paraId="54CDE482" w14:textId="77777777">
        <w:trPr>
          <w:trHeight w:val="725"/>
        </w:trPr>
        <w:tc>
          <w:tcPr>
            <w:tcW w:w="1854" w:type="dxa"/>
            <w:tcBorders>
              <w:top w:val="single" w:sz="3" w:space="0" w:color="000000"/>
              <w:left w:val="single" w:sz="3" w:space="0" w:color="000000"/>
              <w:bottom w:val="single" w:sz="3" w:space="0" w:color="000000"/>
              <w:right w:val="single" w:sz="3" w:space="0" w:color="000000"/>
            </w:tcBorders>
          </w:tcPr>
          <w:p w14:paraId="07CAB8EC" w14:textId="77777777" w:rsidR="00453D7A" w:rsidRDefault="00000000">
            <w:pPr>
              <w:spacing w:after="0" w:line="259" w:lineRule="auto"/>
              <w:ind w:left="0" w:right="0" w:firstLine="0"/>
              <w:jc w:val="left"/>
            </w:pPr>
            <w:r>
              <w:rPr>
                <w:rFonts w:ascii="Calibri" w:eastAsia="Calibri" w:hAnsi="Calibri" w:cs="Calibri"/>
              </w:rPr>
              <w:t>booster</w:t>
            </w:r>
          </w:p>
        </w:tc>
        <w:tc>
          <w:tcPr>
            <w:tcW w:w="2708" w:type="dxa"/>
            <w:tcBorders>
              <w:top w:val="single" w:sz="3" w:space="0" w:color="000000"/>
              <w:left w:val="single" w:sz="3" w:space="0" w:color="000000"/>
              <w:bottom w:val="single" w:sz="3" w:space="0" w:color="000000"/>
              <w:right w:val="single" w:sz="3" w:space="0" w:color="000000"/>
            </w:tcBorders>
          </w:tcPr>
          <w:p w14:paraId="0724EE89" w14:textId="77777777" w:rsidR="00453D7A" w:rsidRDefault="00000000">
            <w:pPr>
              <w:spacing w:after="0" w:line="259" w:lineRule="auto"/>
              <w:ind w:left="0" w:right="0" w:firstLine="0"/>
              <w:jc w:val="left"/>
            </w:pPr>
            <w:r>
              <w:t>[gbtree, dart]</w:t>
            </w:r>
          </w:p>
        </w:tc>
        <w:tc>
          <w:tcPr>
            <w:tcW w:w="4208" w:type="dxa"/>
            <w:tcBorders>
              <w:top w:val="single" w:sz="3" w:space="0" w:color="000000"/>
              <w:left w:val="single" w:sz="3" w:space="0" w:color="000000"/>
              <w:bottom w:val="single" w:sz="3" w:space="0" w:color="000000"/>
              <w:right w:val="single" w:sz="3" w:space="0" w:color="000000"/>
            </w:tcBorders>
          </w:tcPr>
          <w:p w14:paraId="2EDFA51C" w14:textId="77777777" w:rsidR="00453D7A" w:rsidRDefault="00000000">
            <w:pPr>
              <w:spacing w:after="0" w:line="259" w:lineRule="auto"/>
              <w:ind w:left="0" w:right="0" w:firstLine="0"/>
            </w:pPr>
            <w:r>
              <w:t>Probst et al. identify booster as the most tunable XGBoost parameter. gblinear excluded since it does not support categorical features.</w:t>
            </w:r>
          </w:p>
        </w:tc>
      </w:tr>
    </w:tbl>
    <w:p w14:paraId="79C4380C" w14:textId="77777777" w:rsidR="00453D7A" w:rsidRDefault="00000000">
      <w:pPr>
        <w:spacing w:after="334"/>
        <w:ind w:left="-15" w:right="900" w:firstLine="299"/>
      </w:pPr>
      <w:r>
        <w:t>The grid search evaluated all combinations on the validation set using AUPRC, with the test set remaining untouched throughout. The best configuration found achieved a validation AUPRC of 0.7704 and a test AUPRC of 0.7739. Identical to Iteration 1 on the test set, indicating that the default configuration was already well-suited to this dataset.</w:t>
      </w:r>
    </w:p>
    <w:p w14:paraId="77A728FB" w14:textId="77777777" w:rsidR="00453D7A" w:rsidRDefault="00000000">
      <w:pPr>
        <w:pStyle w:val="Heading2"/>
        <w:ind w:left="598" w:hanging="613"/>
      </w:pPr>
      <w:r>
        <w:t>DQN: Architecture &amp; Tuning</w:t>
      </w:r>
    </w:p>
    <w:p w14:paraId="62DC125A" w14:textId="77777777" w:rsidR="00453D7A" w:rsidRDefault="00000000">
      <w:pPr>
        <w:pStyle w:val="Heading3"/>
        <w:ind w:left="685" w:right="900" w:hanging="700"/>
      </w:pPr>
      <w:r>
        <w:t>MDP Formulation</w:t>
      </w:r>
    </w:p>
    <w:p w14:paraId="2FB8F990" w14:textId="77777777" w:rsidR="00453D7A" w:rsidRDefault="00000000">
      <w:pPr>
        <w:ind w:left="-5" w:right="900"/>
      </w:pPr>
      <w:r>
        <w:t xml:space="preserve">Reinforcement Learning requires framing the problem as a Markov Decision Process (MDP). Following the formulations of Vimal et al. </w:t>
      </w:r>
      <w:r>
        <w:rPr>
          <w:color w:val="0000FF"/>
        </w:rPr>
        <w:t xml:space="preserve">Vimal et al. </w:t>
      </w:r>
      <w:r>
        <w:t>(</w:t>
      </w:r>
      <w:r>
        <w:rPr>
          <w:color w:val="0000FF"/>
        </w:rPr>
        <w:t>2021</w:t>
      </w:r>
      <w:r>
        <w:t xml:space="preserve">) and Zhinin-Vera et al. </w:t>
      </w:r>
      <w:r>
        <w:rPr>
          <w:color w:val="0000FF"/>
        </w:rPr>
        <w:t xml:space="preserve">Zhinin-Vera et al. </w:t>
      </w:r>
      <w:r>
        <w:t>(</w:t>
      </w:r>
      <w:r>
        <w:rPr>
          <w:color w:val="0000FF"/>
        </w:rPr>
        <w:t>2020</w:t>
      </w:r>
      <w:r>
        <w:t>), the AML detection task was adapted as follows.</w:t>
      </w:r>
    </w:p>
    <w:p w14:paraId="664ACE3F" w14:textId="77777777" w:rsidR="00453D7A" w:rsidRDefault="00000000">
      <w:pPr>
        <w:ind w:left="-15" w:right="900" w:firstLine="299"/>
      </w:pPr>
      <w:r>
        <w:rPr>
          <w:b/>
        </w:rPr>
        <w:t xml:space="preserve">State. </w:t>
      </w:r>
      <w:r>
        <w:t>Each transaction is represented as a state in the MDP, described by a numeric feature vector of 26 engineered features, expanding to 90 features after one-hot encoding of the five categorical columns.</w:t>
      </w:r>
    </w:p>
    <w:p w14:paraId="5ED724EC" w14:textId="77777777" w:rsidR="00453D7A" w:rsidRDefault="00000000">
      <w:pPr>
        <w:ind w:left="-15" w:right="900" w:firstLine="299"/>
      </w:pPr>
      <w:r>
        <w:rPr>
          <w:b/>
        </w:rPr>
        <w:t xml:space="preserve">Action space. </w:t>
      </w:r>
      <w:r>
        <w:t>The agent chooses between two discrete actions at each step: action 0 (predict normal) and action 1 (predict suspicious).</w:t>
      </w:r>
    </w:p>
    <w:p w14:paraId="7EB049FF" w14:textId="77777777" w:rsidR="00453D7A" w:rsidRDefault="00000000">
      <w:pPr>
        <w:spacing w:after="355"/>
        <w:ind w:left="-15" w:right="900" w:firstLine="299"/>
      </w:pPr>
      <w:r>
        <w:rPr>
          <w:b/>
        </w:rPr>
        <w:t xml:space="preserve">Reward function. </w:t>
      </w:r>
      <w:r>
        <w:t xml:space="preserve">The reward function follows Zhinin-Vera et al. </w:t>
      </w:r>
      <w:r>
        <w:rPr>
          <w:color w:val="0000FF"/>
        </w:rPr>
        <w:t xml:space="preserve">Zhinin-Vera et al. </w:t>
      </w:r>
      <w:r>
        <w:t>(</w:t>
      </w:r>
      <w:r>
        <w:rPr>
          <w:color w:val="0000FF"/>
        </w:rPr>
        <w:t>2020</w:t>
      </w:r>
      <w:r>
        <w:t xml:space="preserve">), grounded in the Imbalanced Classification Markov Decision Process (ICMDP) established by Lin et al. </w:t>
      </w:r>
      <w:r>
        <w:rPr>
          <w:color w:val="0000FF"/>
        </w:rPr>
        <w:t xml:space="preserve">Lin et al. </w:t>
      </w:r>
      <w:r>
        <w:t>(</w:t>
      </w:r>
      <w:r>
        <w:rPr>
          <w:color w:val="0000FF"/>
        </w:rPr>
        <w:t>2019</w:t>
      </w:r>
      <w:r>
        <w:t>). The minority class receives a reward of ±1.0 and the majority class receives ±</w:t>
      </w:r>
      <w:r>
        <w:rPr>
          <w:i/>
        </w:rPr>
        <w:t>λ</w:t>
      </w:r>
      <w:r>
        <w:t xml:space="preserve">, with </w:t>
      </w:r>
      <w:r>
        <w:rPr>
          <w:i/>
        </w:rPr>
        <w:t xml:space="preserve">λ </w:t>
      </w:r>
      <w:r>
        <w:t>= 0</w:t>
      </w:r>
      <w:r>
        <w:rPr>
          <w:i/>
        </w:rPr>
        <w:t>.</w:t>
      </w:r>
      <w:r>
        <w:t xml:space="preserve">1 following Zhinin-Vera et al. One adaptation was made: a small positive reward of +0.1 was added for correctly classifying a normal transaction. Without this, an agent that flags every transaction as suspicious would still accumulate large rewards from the 0.104% of laundering cases while paying only small penalties for false positives, a degenerate policy. The full reward structure is shown in Table </w:t>
      </w:r>
      <w:r>
        <w:rPr>
          <w:color w:val="0000FF"/>
        </w:rPr>
        <w:t>12</w:t>
      </w:r>
      <w:r>
        <w:t>.</w:t>
      </w:r>
    </w:p>
    <w:p w14:paraId="4C13BACA" w14:textId="77777777" w:rsidR="00453D7A" w:rsidRDefault="00000000">
      <w:pPr>
        <w:spacing w:after="0" w:line="265" w:lineRule="auto"/>
        <w:ind w:right="915"/>
        <w:jc w:val="center"/>
      </w:pPr>
      <w:r>
        <w:t>Table 12: DQN reward function</w:t>
      </w:r>
    </w:p>
    <w:tbl>
      <w:tblPr>
        <w:tblStyle w:val="TableGrid"/>
        <w:tblW w:w="4285" w:type="dxa"/>
        <w:tblInd w:w="2277" w:type="dxa"/>
        <w:tblCellMar>
          <w:top w:w="31" w:type="dxa"/>
          <w:left w:w="120" w:type="dxa"/>
          <w:bottom w:w="0" w:type="dxa"/>
          <w:right w:w="120" w:type="dxa"/>
        </w:tblCellMar>
        <w:tblLook w:val="04A0" w:firstRow="1" w:lastRow="0" w:firstColumn="1" w:lastColumn="0" w:noHBand="0" w:noVBand="1"/>
      </w:tblPr>
      <w:tblGrid>
        <w:gridCol w:w="1461"/>
        <w:gridCol w:w="1816"/>
        <w:gridCol w:w="1008"/>
      </w:tblGrid>
      <w:tr w:rsidR="00453D7A" w14:paraId="61E4B356" w14:textId="77777777">
        <w:trPr>
          <w:trHeight w:val="247"/>
        </w:trPr>
        <w:tc>
          <w:tcPr>
            <w:tcW w:w="1461" w:type="dxa"/>
            <w:tcBorders>
              <w:top w:val="single" w:sz="3" w:space="0" w:color="000000"/>
              <w:left w:val="single" w:sz="3" w:space="0" w:color="000000"/>
              <w:bottom w:val="single" w:sz="3" w:space="0" w:color="000000"/>
              <w:right w:val="single" w:sz="3" w:space="0" w:color="000000"/>
            </w:tcBorders>
          </w:tcPr>
          <w:p w14:paraId="2BF1BAAA" w14:textId="77777777" w:rsidR="00453D7A" w:rsidRDefault="00000000">
            <w:pPr>
              <w:spacing w:after="0" w:line="259" w:lineRule="auto"/>
              <w:ind w:left="0" w:right="0" w:firstLine="0"/>
              <w:jc w:val="left"/>
            </w:pPr>
            <w:r>
              <w:rPr>
                <w:b/>
              </w:rPr>
              <w:t>Outcome</w:t>
            </w:r>
          </w:p>
        </w:tc>
        <w:tc>
          <w:tcPr>
            <w:tcW w:w="1817" w:type="dxa"/>
            <w:tcBorders>
              <w:top w:val="single" w:sz="3" w:space="0" w:color="000000"/>
              <w:left w:val="single" w:sz="3" w:space="0" w:color="000000"/>
              <w:bottom w:val="single" w:sz="3" w:space="0" w:color="000000"/>
              <w:right w:val="single" w:sz="3" w:space="0" w:color="000000"/>
            </w:tcBorders>
          </w:tcPr>
          <w:p w14:paraId="7392D915" w14:textId="77777777" w:rsidR="00453D7A" w:rsidRDefault="00000000">
            <w:pPr>
              <w:spacing w:after="0" w:line="259" w:lineRule="auto"/>
              <w:ind w:left="0" w:right="0" w:firstLine="0"/>
              <w:jc w:val="left"/>
            </w:pPr>
            <w:r>
              <w:rPr>
                <w:b/>
              </w:rPr>
              <w:t>Condition</w:t>
            </w:r>
          </w:p>
        </w:tc>
        <w:tc>
          <w:tcPr>
            <w:tcW w:w="1008" w:type="dxa"/>
            <w:tcBorders>
              <w:top w:val="single" w:sz="3" w:space="0" w:color="000000"/>
              <w:left w:val="single" w:sz="3" w:space="0" w:color="000000"/>
              <w:bottom w:val="single" w:sz="3" w:space="0" w:color="000000"/>
              <w:right w:val="single" w:sz="3" w:space="0" w:color="000000"/>
            </w:tcBorders>
          </w:tcPr>
          <w:p w14:paraId="639EE5D9" w14:textId="77777777" w:rsidR="00453D7A" w:rsidRDefault="00000000">
            <w:pPr>
              <w:spacing w:after="0" w:line="259" w:lineRule="auto"/>
              <w:ind w:left="0" w:right="0" w:firstLine="0"/>
            </w:pPr>
            <w:r>
              <w:rPr>
                <w:b/>
              </w:rPr>
              <w:t>Reward</w:t>
            </w:r>
          </w:p>
        </w:tc>
      </w:tr>
      <w:tr w:rsidR="00453D7A" w14:paraId="404C41C3" w14:textId="77777777">
        <w:trPr>
          <w:trHeight w:val="241"/>
        </w:trPr>
        <w:tc>
          <w:tcPr>
            <w:tcW w:w="1461" w:type="dxa"/>
            <w:tcBorders>
              <w:top w:val="single" w:sz="3" w:space="0" w:color="000000"/>
              <w:left w:val="single" w:sz="3" w:space="0" w:color="000000"/>
              <w:bottom w:val="nil"/>
              <w:right w:val="single" w:sz="3" w:space="0" w:color="000000"/>
            </w:tcBorders>
          </w:tcPr>
          <w:p w14:paraId="1DC0CD99" w14:textId="77777777" w:rsidR="00453D7A" w:rsidRDefault="00000000">
            <w:pPr>
              <w:spacing w:after="0" w:line="259" w:lineRule="auto"/>
              <w:ind w:left="0" w:right="0" w:firstLine="0"/>
              <w:jc w:val="left"/>
            </w:pPr>
            <w:r>
              <w:t>True positive</w:t>
            </w:r>
          </w:p>
        </w:tc>
        <w:tc>
          <w:tcPr>
            <w:tcW w:w="1817" w:type="dxa"/>
            <w:tcBorders>
              <w:top w:val="single" w:sz="3" w:space="0" w:color="000000"/>
              <w:left w:val="single" w:sz="3" w:space="0" w:color="000000"/>
              <w:bottom w:val="nil"/>
              <w:right w:val="single" w:sz="3" w:space="0" w:color="000000"/>
            </w:tcBorders>
          </w:tcPr>
          <w:p w14:paraId="089C3AE1" w14:textId="77777777" w:rsidR="00453D7A" w:rsidRDefault="00000000">
            <w:pPr>
              <w:spacing w:after="0" w:line="259" w:lineRule="auto"/>
              <w:ind w:left="0" w:right="0" w:firstLine="0"/>
              <w:jc w:val="left"/>
            </w:pPr>
            <w:r>
              <w:t>action=1, label=1</w:t>
            </w:r>
          </w:p>
        </w:tc>
        <w:tc>
          <w:tcPr>
            <w:tcW w:w="1008" w:type="dxa"/>
            <w:tcBorders>
              <w:top w:val="single" w:sz="3" w:space="0" w:color="000000"/>
              <w:left w:val="single" w:sz="3" w:space="0" w:color="000000"/>
              <w:bottom w:val="nil"/>
              <w:right w:val="single" w:sz="3" w:space="0" w:color="000000"/>
            </w:tcBorders>
          </w:tcPr>
          <w:p w14:paraId="6C8B8A79" w14:textId="77777777" w:rsidR="00453D7A" w:rsidRDefault="00000000">
            <w:pPr>
              <w:spacing w:after="0" w:line="259" w:lineRule="auto"/>
              <w:ind w:left="0" w:right="0" w:firstLine="0"/>
              <w:jc w:val="left"/>
            </w:pPr>
            <w:r>
              <w:t>+1.0</w:t>
            </w:r>
          </w:p>
        </w:tc>
      </w:tr>
      <w:tr w:rsidR="00453D7A" w14:paraId="6ED5D7A3" w14:textId="77777777">
        <w:trPr>
          <w:trHeight w:val="239"/>
        </w:trPr>
        <w:tc>
          <w:tcPr>
            <w:tcW w:w="1461" w:type="dxa"/>
            <w:tcBorders>
              <w:top w:val="nil"/>
              <w:left w:val="single" w:sz="3" w:space="0" w:color="000000"/>
              <w:bottom w:val="nil"/>
              <w:right w:val="single" w:sz="3" w:space="0" w:color="000000"/>
            </w:tcBorders>
          </w:tcPr>
          <w:p w14:paraId="4883AEC8" w14:textId="77777777" w:rsidR="00453D7A" w:rsidRDefault="00000000">
            <w:pPr>
              <w:spacing w:after="0" w:line="259" w:lineRule="auto"/>
              <w:ind w:left="0" w:right="0" w:firstLine="0"/>
              <w:jc w:val="left"/>
            </w:pPr>
            <w:r>
              <w:t>True negative</w:t>
            </w:r>
          </w:p>
        </w:tc>
        <w:tc>
          <w:tcPr>
            <w:tcW w:w="1817" w:type="dxa"/>
            <w:tcBorders>
              <w:top w:val="nil"/>
              <w:left w:val="single" w:sz="3" w:space="0" w:color="000000"/>
              <w:bottom w:val="nil"/>
              <w:right w:val="single" w:sz="3" w:space="0" w:color="000000"/>
            </w:tcBorders>
          </w:tcPr>
          <w:p w14:paraId="7ED4F96E" w14:textId="77777777" w:rsidR="00453D7A" w:rsidRDefault="00000000">
            <w:pPr>
              <w:spacing w:after="0" w:line="259" w:lineRule="auto"/>
              <w:ind w:left="0" w:right="0" w:firstLine="0"/>
              <w:jc w:val="left"/>
            </w:pPr>
            <w:r>
              <w:t>action=0, label=0</w:t>
            </w:r>
          </w:p>
        </w:tc>
        <w:tc>
          <w:tcPr>
            <w:tcW w:w="1008" w:type="dxa"/>
            <w:tcBorders>
              <w:top w:val="nil"/>
              <w:left w:val="single" w:sz="3" w:space="0" w:color="000000"/>
              <w:bottom w:val="nil"/>
              <w:right w:val="single" w:sz="3" w:space="0" w:color="000000"/>
            </w:tcBorders>
          </w:tcPr>
          <w:p w14:paraId="4B71FBCD" w14:textId="77777777" w:rsidR="00453D7A" w:rsidRDefault="00000000">
            <w:pPr>
              <w:spacing w:after="0" w:line="259" w:lineRule="auto"/>
              <w:ind w:left="0" w:right="0" w:firstLine="0"/>
              <w:jc w:val="left"/>
            </w:pPr>
            <w:r>
              <w:t>+0.1</w:t>
            </w:r>
          </w:p>
        </w:tc>
      </w:tr>
      <w:tr w:rsidR="00453D7A" w14:paraId="26D904F9" w14:textId="77777777">
        <w:trPr>
          <w:trHeight w:val="239"/>
        </w:trPr>
        <w:tc>
          <w:tcPr>
            <w:tcW w:w="1461" w:type="dxa"/>
            <w:tcBorders>
              <w:top w:val="nil"/>
              <w:left w:val="single" w:sz="3" w:space="0" w:color="000000"/>
              <w:bottom w:val="nil"/>
              <w:right w:val="single" w:sz="3" w:space="0" w:color="000000"/>
            </w:tcBorders>
          </w:tcPr>
          <w:p w14:paraId="1CBE8533" w14:textId="77777777" w:rsidR="00453D7A" w:rsidRDefault="00000000">
            <w:pPr>
              <w:spacing w:after="0" w:line="259" w:lineRule="auto"/>
              <w:ind w:left="0" w:right="0" w:firstLine="0"/>
              <w:jc w:val="left"/>
            </w:pPr>
            <w:r>
              <w:t>False positive</w:t>
            </w:r>
          </w:p>
        </w:tc>
        <w:tc>
          <w:tcPr>
            <w:tcW w:w="1817" w:type="dxa"/>
            <w:tcBorders>
              <w:top w:val="nil"/>
              <w:left w:val="single" w:sz="3" w:space="0" w:color="000000"/>
              <w:bottom w:val="nil"/>
              <w:right w:val="single" w:sz="3" w:space="0" w:color="000000"/>
            </w:tcBorders>
          </w:tcPr>
          <w:p w14:paraId="5408A81A" w14:textId="77777777" w:rsidR="00453D7A" w:rsidRDefault="00000000">
            <w:pPr>
              <w:spacing w:after="0" w:line="259" w:lineRule="auto"/>
              <w:ind w:left="0" w:right="0" w:firstLine="0"/>
              <w:jc w:val="left"/>
            </w:pPr>
            <w:r>
              <w:t>action=1, label=0</w:t>
            </w:r>
          </w:p>
        </w:tc>
        <w:tc>
          <w:tcPr>
            <w:tcW w:w="1008" w:type="dxa"/>
            <w:tcBorders>
              <w:top w:val="nil"/>
              <w:left w:val="single" w:sz="3" w:space="0" w:color="000000"/>
              <w:bottom w:val="nil"/>
              <w:right w:val="single" w:sz="3" w:space="0" w:color="000000"/>
            </w:tcBorders>
          </w:tcPr>
          <w:p w14:paraId="6B25DE96" w14:textId="77777777" w:rsidR="00453D7A" w:rsidRDefault="00000000">
            <w:pPr>
              <w:spacing w:after="0" w:line="259" w:lineRule="auto"/>
              <w:ind w:left="0" w:right="0" w:firstLine="0"/>
              <w:jc w:val="left"/>
            </w:pPr>
            <w:r>
              <w:t>-0.1</w:t>
            </w:r>
          </w:p>
        </w:tc>
      </w:tr>
      <w:tr w:rsidR="00453D7A" w14:paraId="41D4A7B1" w14:textId="77777777">
        <w:trPr>
          <w:trHeight w:val="245"/>
        </w:trPr>
        <w:tc>
          <w:tcPr>
            <w:tcW w:w="1461" w:type="dxa"/>
            <w:tcBorders>
              <w:top w:val="nil"/>
              <w:left w:val="single" w:sz="3" w:space="0" w:color="000000"/>
              <w:bottom w:val="single" w:sz="3" w:space="0" w:color="000000"/>
              <w:right w:val="single" w:sz="3" w:space="0" w:color="000000"/>
            </w:tcBorders>
          </w:tcPr>
          <w:p w14:paraId="6EA08E42" w14:textId="77777777" w:rsidR="00453D7A" w:rsidRDefault="00000000">
            <w:pPr>
              <w:spacing w:after="0" w:line="259" w:lineRule="auto"/>
              <w:ind w:left="0" w:right="0" w:firstLine="0"/>
              <w:jc w:val="left"/>
            </w:pPr>
            <w:r>
              <w:t>False negative</w:t>
            </w:r>
          </w:p>
        </w:tc>
        <w:tc>
          <w:tcPr>
            <w:tcW w:w="1817" w:type="dxa"/>
            <w:tcBorders>
              <w:top w:val="nil"/>
              <w:left w:val="single" w:sz="3" w:space="0" w:color="000000"/>
              <w:bottom w:val="single" w:sz="3" w:space="0" w:color="000000"/>
              <w:right w:val="single" w:sz="3" w:space="0" w:color="000000"/>
            </w:tcBorders>
          </w:tcPr>
          <w:p w14:paraId="207E76F6" w14:textId="77777777" w:rsidR="00453D7A" w:rsidRDefault="00000000">
            <w:pPr>
              <w:spacing w:after="0" w:line="259" w:lineRule="auto"/>
              <w:ind w:left="0" w:right="0" w:firstLine="0"/>
              <w:jc w:val="left"/>
            </w:pPr>
            <w:r>
              <w:t>action=0, label=1</w:t>
            </w:r>
          </w:p>
        </w:tc>
        <w:tc>
          <w:tcPr>
            <w:tcW w:w="1008" w:type="dxa"/>
            <w:tcBorders>
              <w:top w:val="nil"/>
              <w:left w:val="single" w:sz="3" w:space="0" w:color="000000"/>
              <w:bottom w:val="single" w:sz="3" w:space="0" w:color="000000"/>
              <w:right w:val="single" w:sz="3" w:space="0" w:color="000000"/>
            </w:tcBorders>
          </w:tcPr>
          <w:p w14:paraId="2EA66DF2" w14:textId="77777777" w:rsidR="00453D7A" w:rsidRDefault="00000000">
            <w:pPr>
              <w:spacing w:after="0" w:line="259" w:lineRule="auto"/>
              <w:ind w:left="0" w:right="0" w:firstLine="0"/>
              <w:jc w:val="left"/>
            </w:pPr>
            <w:r>
              <w:t>-1.0</w:t>
            </w:r>
          </w:p>
        </w:tc>
      </w:tr>
    </w:tbl>
    <w:p w14:paraId="163215C8" w14:textId="77777777" w:rsidR="00453D7A" w:rsidRDefault="00000000">
      <w:pPr>
        <w:ind w:left="-15" w:right="900" w:firstLine="299"/>
      </w:pPr>
      <w:r>
        <w:t>The larger penalty for false negatives reflects the AML context: missing a laundering case carries greater legal and reputational consequences than generating an unnecessary alert.</w:t>
      </w:r>
    </w:p>
    <w:p w14:paraId="1A7A6363" w14:textId="77777777" w:rsidR="00453D7A" w:rsidRDefault="00000000">
      <w:pPr>
        <w:spacing w:after="290"/>
        <w:ind w:left="-15" w:right="900" w:firstLine="299"/>
      </w:pPr>
      <w:r>
        <w:rPr>
          <w:b/>
        </w:rPr>
        <w:t xml:space="preserve">Episode structure. </w:t>
      </w:r>
      <w:r>
        <w:t xml:space="preserve">Because SAML-D is a static tabular dataset rather than a sequential environment, each transaction was treated as an independent single-step episode, following the approach of Qayoom et al. </w:t>
      </w:r>
      <w:r>
        <w:rPr>
          <w:color w:val="0000FF"/>
        </w:rPr>
        <w:t xml:space="preserve">Qayoom et al. </w:t>
      </w:r>
      <w:r>
        <w:t>(</w:t>
      </w:r>
      <w:r>
        <w:rPr>
          <w:color w:val="0000FF"/>
        </w:rPr>
        <w:t>2024</w:t>
      </w:r>
      <w:r>
        <w:t xml:space="preserve">). The discount factor </w:t>
      </w:r>
      <w:r>
        <w:rPr>
          <w:i/>
        </w:rPr>
        <w:t xml:space="preserve">γ </w:t>
      </w:r>
      <w:r>
        <w:t xml:space="preserve">was set to 0.97 following the same paper. While </w:t>
      </w:r>
      <w:r>
        <w:rPr>
          <w:i/>
        </w:rPr>
        <w:t xml:space="preserve">γ </w:t>
      </w:r>
      <w:r>
        <w:t>is designed for multi-step problems, it was retained for architectural consistency and has minimal effect on single-step episodes.</w:t>
      </w:r>
    </w:p>
    <w:p w14:paraId="64439C9D" w14:textId="77777777" w:rsidR="00453D7A" w:rsidRDefault="00000000">
      <w:pPr>
        <w:pStyle w:val="Heading3"/>
        <w:ind w:left="685" w:right="900" w:hanging="700"/>
      </w:pPr>
      <w:r>
        <w:t>Network Architecture</w:t>
      </w:r>
    </w:p>
    <w:p w14:paraId="10DC1019" w14:textId="77777777" w:rsidR="00453D7A" w:rsidRDefault="00000000">
      <w:pPr>
        <w:spacing w:after="404"/>
        <w:ind w:left="-5" w:right="900"/>
      </w:pPr>
      <w:r>
        <w:t xml:space="preserve">The Q-network maps a transaction’s feature vector to a Q-value for each of the two actions. The architecture follows Qayoom et al. </w:t>
      </w:r>
      <w:r>
        <w:rPr>
          <w:color w:val="0000FF"/>
        </w:rPr>
        <w:t xml:space="preserve">Qayoom et al. </w:t>
      </w:r>
      <w:r>
        <w:t>(</w:t>
      </w:r>
      <w:r>
        <w:rPr>
          <w:color w:val="0000FF"/>
        </w:rPr>
        <w:t>2024</w:t>
      </w:r>
      <w:r>
        <w:t>) directly:</w:t>
      </w:r>
    </w:p>
    <w:p w14:paraId="6562597C" w14:textId="77777777" w:rsidR="00453D7A" w:rsidRDefault="00000000">
      <w:pPr>
        <w:spacing w:after="0" w:line="265" w:lineRule="auto"/>
        <w:ind w:right="915"/>
        <w:jc w:val="center"/>
      </w:pPr>
      <w:r>
        <w:t>Table 13: DQN Q-network architecture</w:t>
      </w:r>
    </w:p>
    <w:tbl>
      <w:tblPr>
        <w:tblStyle w:val="TableGrid"/>
        <w:tblW w:w="3098" w:type="dxa"/>
        <w:tblInd w:w="2870" w:type="dxa"/>
        <w:tblCellMar>
          <w:top w:w="31" w:type="dxa"/>
          <w:left w:w="120" w:type="dxa"/>
          <w:bottom w:w="0" w:type="dxa"/>
          <w:right w:w="115" w:type="dxa"/>
        </w:tblCellMar>
        <w:tblLook w:val="04A0" w:firstRow="1" w:lastRow="0" w:firstColumn="1" w:lastColumn="0" w:noHBand="0" w:noVBand="1"/>
      </w:tblPr>
      <w:tblGrid>
        <w:gridCol w:w="1031"/>
        <w:gridCol w:w="786"/>
        <w:gridCol w:w="1281"/>
      </w:tblGrid>
      <w:tr w:rsidR="00453D7A" w14:paraId="5BF59D5B" w14:textId="77777777">
        <w:trPr>
          <w:trHeight w:val="247"/>
        </w:trPr>
        <w:tc>
          <w:tcPr>
            <w:tcW w:w="1031" w:type="dxa"/>
            <w:tcBorders>
              <w:top w:val="single" w:sz="3" w:space="0" w:color="000000"/>
              <w:left w:val="single" w:sz="3" w:space="0" w:color="000000"/>
              <w:bottom w:val="single" w:sz="3" w:space="0" w:color="000000"/>
              <w:right w:val="single" w:sz="3" w:space="0" w:color="000000"/>
            </w:tcBorders>
          </w:tcPr>
          <w:p w14:paraId="090FD20D" w14:textId="77777777" w:rsidR="00453D7A" w:rsidRDefault="00000000">
            <w:pPr>
              <w:spacing w:after="0" w:line="259" w:lineRule="auto"/>
              <w:ind w:left="0" w:right="0" w:firstLine="0"/>
              <w:jc w:val="left"/>
            </w:pPr>
            <w:r>
              <w:rPr>
                <w:b/>
              </w:rPr>
              <w:t>Layer</w:t>
            </w:r>
          </w:p>
        </w:tc>
        <w:tc>
          <w:tcPr>
            <w:tcW w:w="786" w:type="dxa"/>
            <w:tcBorders>
              <w:top w:val="single" w:sz="3" w:space="0" w:color="000000"/>
              <w:left w:val="single" w:sz="3" w:space="0" w:color="000000"/>
              <w:bottom w:val="single" w:sz="3" w:space="0" w:color="000000"/>
              <w:right w:val="single" w:sz="3" w:space="0" w:color="000000"/>
            </w:tcBorders>
          </w:tcPr>
          <w:p w14:paraId="3EF9F4B2" w14:textId="77777777" w:rsidR="00453D7A" w:rsidRDefault="00000000">
            <w:pPr>
              <w:spacing w:after="0" w:line="259" w:lineRule="auto"/>
              <w:ind w:left="0" w:right="0" w:firstLine="0"/>
              <w:jc w:val="left"/>
            </w:pPr>
            <w:r>
              <w:rPr>
                <w:b/>
              </w:rPr>
              <w:t>Units</w:t>
            </w:r>
          </w:p>
        </w:tc>
        <w:tc>
          <w:tcPr>
            <w:tcW w:w="1281" w:type="dxa"/>
            <w:tcBorders>
              <w:top w:val="single" w:sz="3" w:space="0" w:color="000000"/>
              <w:left w:val="single" w:sz="3" w:space="0" w:color="000000"/>
              <w:bottom w:val="single" w:sz="3" w:space="0" w:color="000000"/>
              <w:right w:val="single" w:sz="3" w:space="0" w:color="000000"/>
            </w:tcBorders>
          </w:tcPr>
          <w:p w14:paraId="162D1E71" w14:textId="77777777" w:rsidR="00453D7A" w:rsidRDefault="00000000">
            <w:pPr>
              <w:spacing w:after="0" w:line="259" w:lineRule="auto"/>
              <w:ind w:left="0" w:right="0" w:firstLine="0"/>
              <w:jc w:val="left"/>
            </w:pPr>
            <w:r>
              <w:rPr>
                <w:b/>
              </w:rPr>
              <w:t>Activation</w:t>
            </w:r>
          </w:p>
        </w:tc>
      </w:tr>
      <w:tr w:rsidR="00453D7A" w14:paraId="2CC3D65E" w14:textId="77777777">
        <w:trPr>
          <w:trHeight w:val="241"/>
        </w:trPr>
        <w:tc>
          <w:tcPr>
            <w:tcW w:w="1031" w:type="dxa"/>
            <w:tcBorders>
              <w:top w:val="single" w:sz="3" w:space="0" w:color="000000"/>
              <w:left w:val="single" w:sz="3" w:space="0" w:color="000000"/>
              <w:bottom w:val="nil"/>
              <w:right w:val="single" w:sz="3" w:space="0" w:color="000000"/>
            </w:tcBorders>
          </w:tcPr>
          <w:p w14:paraId="78A290C2" w14:textId="77777777" w:rsidR="00453D7A" w:rsidRDefault="00000000">
            <w:pPr>
              <w:spacing w:after="0" w:line="259" w:lineRule="auto"/>
              <w:ind w:left="0" w:right="0" w:firstLine="0"/>
              <w:jc w:val="left"/>
            </w:pPr>
            <w:r>
              <w:t>Input</w:t>
            </w:r>
          </w:p>
        </w:tc>
        <w:tc>
          <w:tcPr>
            <w:tcW w:w="786" w:type="dxa"/>
            <w:tcBorders>
              <w:top w:val="single" w:sz="3" w:space="0" w:color="000000"/>
              <w:left w:val="single" w:sz="3" w:space="0" w:color="000000"/>
              <w:bottom w:val="nil"/>
              <w:right w:val="single" w:sz="3" w:space="0" w:color="000000"/>
            </w:tcBorders>
          </w:tcPr>
          <w:p w14:paraId="0F98677A" w14:textId="77777777" w:rsidR="00453D7A" w:rsidRDefault="00000000">
            <w:pPr>
              <w:spacing w:after="0" w:line="259" w:lineRule="auto"/>
              <w:ind w:left="0" w:right="0" w:firstLine="0"/>
              <w:jc w:val="left"/>
            </w:pPr>
            <w:r>
              <w:t>90</w:t>
            </w:r>
          </w:p>
        </w:tc>
        <w:tc>
          <w:tcPr>
            <w:tcW w:w="1281" w:type="dxa"/>
            <w:tcBorders>
              <w:top w:val="single" w:sz="3" w:space="0" w:color="000000"/>
              <w:left w:val="single" w:sz="3" w:space="0" w:color="000000"/>
              <w:bottom w:val="nil"/>
              <w:right w:val="single" w:sz="3" w:space="0" w:color="000000"/>
            </w:tcBorders>
          </w:tcPr>
          <w:p w14:paraId="64C676AE" w14:textId="77777777" w:rsidR="00453D7A" w:rsidRDefault="00000000">
            <w:pPr>
              <w:spacing w:after="0" w:line="259" w:lineRule="auto"/>
              <w:ind w:left="0" w:right="0" w:firstLine="0"/>
              <w:jc w:val="left"/>
            </w:pPr>
            <w:r>
              <w:t>-</w:t>
            </w:r>
          </w:p>
        </w:tc>
      </w:tr>
      <w:tr w:rsidR="00453D7A" w14:paraId="7BDE5807" w14:textId="77777777">
        <w:trPr>
          <w:trHeight w:val="239"/>
        </w:trPr>
        <w:tc>
          <w:tcPr>
            <w:tcW w:w="1031" w:type="dxa"/>
            <w:tcBorders>
              <w:top w:val="nil"/>
              <w:left w:val="single" w:sz="3" w:space="0" w:color="000000"/>
              <w:bottom w:val="nil"/>
              <w:right w:val="single" w:sz="3" w:space="0" w:color="000000"/>
            </w:tcBorders>
          </w:tcPr>
          <w:p w14:paraId="70038FDD" w14:textId="77777777" w:rsidR="00453D7A" w:rsidRDefault="00000000">
            <w:pPr>
              <w:spacing w:after="0" w:line="259" w:lineRule="auto"/>
              <w:ind w:left="0" w:right="0" w:firstLine="0"/>
              <w:jc w:val="left"/>
            </w:pPr>
            <w:r>
              <w:lastRenderedPageBreak/>
              <w:t>Hidden 1</w:t>
            </w:r>
          </w:p>
        </w:tc>
        <w:tc>
          <w:tcPr>
            <w:tcW w:w="786" w:type="dxa"/>
            <w:tcBorders>
              <w:top w:val="nil"/>
              <w:left w:val="single" w:sz="3" w:space="0" w:color="000000"/>
              <w:bottom w:val="nil"/>
              <w:right w:val="single" w:sz="3" w:space="0" w:color="000000"/>
            </w:tcBorders>
          </w:tcPr>
          <w:p w14:paraId="53B30892" w14:textId="77777777" w:rsidR="00453D7A" w:rsidRDefault="00000000">
            <w:pPr>
              <w:spacing w:after="0" w:line="259" w:lineRule="auto"/>
              <w:ind w:left="0" w:right="0" w:firstLine="0"/>
              <w:jc w:val="left"/>
            </w:pPr>
            <w:r>
              <w:t>124</w:t>
            </w:r>
          </w:p>
        </w:tc>
        <w:tc>
          <w:tcPr>
            <w:tcW w:w="1281" w:type="dxa"/>
            <w:tcBorders>
              <w:top w:val="nil"/>
              <w:left w:val="single" w:sz="3" w:space="0" w:color="000000"/>
              <w:bottom w:val="nil"/>
              <w:right w:val="single" w:sz="3" w:space="0" w:color="000000"/>
            </w:tcBorders>
          </w:tcPr>
          <w:p w14:paraId="165CA97A" w14:textId="77777777" w:rsidR="00453D7A" w:rsidRDefault="00000000">
            <w:pPr>
              <w:spacing w:after="0" w:line="259" w:lineRule="auto"/>
              <w:ind w:left="0" w:right="0" w:firstLine="0"/>
              <w:jc w:val="left"/>
            </w:pPr>
            <w:r>
              <w:t>ReLU</w:t>
            </w:r>
          </w:p>
        </w:tc>
      </w:tr>
      <w:tr w:rsidR="00453D7A" w14:paraId="401764F7" w14:textId="77777777">
        <w:trPr>
          <w:trHeight w:val="239"/>
        </w:trPr>
        <w:tc>
          <w:tcPr>
            <w:tcW w:w="1031" w:type="dxa"/>
            <w:tcBorders>
              <w:top w:val="nil"/>
              <w:left w:val="single" w:sz="3" w:space="0" w:color="000000"/>
              <w:bottom w:val="nil"/>
              <w:right w:val="single" w:sz="3" w:space="0" w:color="000000"/>
            </w:tcBorders>
          </w:tcPr>
          <w:p w14:paraId="1BE3F2EA" w14:textId="77777777" w:rsidR="00453D7A" w:rsidRDefault="00000000">
            <w:pPr>
              <w:spacing w:after="0" w:line="259" w:lineRule="auto"/>
              <w:ind w:left="0" w:right="0" w:firstLine="0"/>
              <w:jc w:val="left"/>
            </w:pPr>
            <w:r>
              <w:t>Hidden 2</w:t>
            </w:r>
          </w:p>
        </w:tc>
        <w:tc>
          <w:tcPr>
            <w:tcW w:w="786" w:type="dxa"/>
            <w:tcBorders>
              <w:top w:val="nil"/>
              <w:left w:val="single" w:sz="3" w:space="0" w:color="000000"/>
              <w:bottom w:val="nil"/>
              <w:right w:val="single" w:sz="3" w:space="0" w:color="000000"/>
            </w:tcBorders>
          </w:tcPr>
          <w:p w14:paraId="12EAC3EB" w14:textId="77777777" w:rsidR="00453D7A" w:rsidRDefault="00000000">
            <w:pPr>
              <w:spacing w:after="0" w:line="259" w:lineRule="auto"/>
              <w:ind w:left="0" w:right="0" w:firstLine="0"/>
              <w:jc w:val="left"/>
            </w:pPr>
            <w:r>
              <w:t>62</w:t>
            </w:r>
          </w:p>
        </w:tc>
        <w:tc>
          <w:tcPr>
            <w:tcW w:w="1281" w:type="dxa"/>
            <w:tcBorders>
              <w:top w:val="nil"/>
              <w:left w:val="single" w:sz="3" w:space="0" w:color="000000"/>
              <w:bottom w:val="nil"/>
              <w:right w:val="single" w:sz="3" w:space="0" w:color="000000"/>
            </w:tcBorders>
          </w:tcPr>
          <w:p w14:paraId="536AB7BB" w14:textId="77777777" w:rsidR="00453D7A" w:rsidRDefault="00000000">
            <w:pPr>
              <w:spacing w:after="0" w:line="259" w:lineRule="auto"/>
              <w:ind w:left="0" w:right="0" w:firstLine="0"/>
              <w:jc w:val="left"/>
            </w:pPr>
            <w:r>
              <w:t>ReLU</w:t>
            </w:r>
          </w:p>
        </w:tc>
      </w:tr>
      <w:tr w:rsidR="00453D7A" w14:paraId="2A1D7E88" w14:textId="77777777">
        <w:trPr>
          <w:trHeight w:val="239"/>
        </w:trPr>
        <w:tc>
          <w:tcPr>
            <w:tcW w:w="1031" w:type="dxa"/>
            <w:tcBorders>
              <w:top w:val="nil"/>
              <w:left w:val="single" w:sz="3" w:space="0" w:color="000000"/>
              <w:bottom w:val="nil"/>
              <w:right w:val="single" w:sz="3" w:space="0" w:color="000000"/>
            </w:tcBorders>
          </w:tcPr>
          <w:p w14:paraId="5C891E03" w14:textId="77777777" w:rsidR="00453D7A" w:rsidRDefault="00000000">
            <w:pPr>
              <w:spacing w:after="0" w:line="259" w:lineRule="auto"/>
              <w:ind w:left="0" w:right="0" w:firstLine="0"/>
              <w:jc w:val="left"/>
            </w:pPr>
            <w:r>
              <w:t>Hidden 3</w:t>
            </w:r>
          </w:p>
        </w:tc>
        <w:tc>
          <w:tcPr>
            <w:tcW w:w="786" w:type="dxa"/>
            <w:tcBorders>
              <w:top w:val="nil"/>
              <w:left w:val="single" w:sz="3" w:space="0" w:color="000000"/>
              <w:bottom w:val="nil"/>
              <w:right w:val="single" w:sz="3" w:space="0" w:color="000000"/>
            </w:tcBorders>
          </w:tcPr>
          <w:p w14:paraId="13514178" w14:textId="77777777" w:rsidR="00453D7A" w:rsidRDefault="00000000">
            <w:pPr>
              <w:spacing w:after="0" w:line="259" w:lineRule="auto"/>
              <w:ind w:left="0" w:right="0" w:firstLine="0"/>
              <w:jc w:val="left"/>
            </w:pPr>
            <w:r>
              <w:t>31</w:t>
            </w:r>
          </w:p>
        </w:tc>
        <w:tc>
          <w:tcPr>
            <w:tcW w:w="1281" w:type="dxa"/>
            <w:tcBorders>
              <w:top w:val="nil"/>
              <w:left w:val="single" w:sz="3" w:space="0" w:color="000000"/>
              <w:bottom w:val="nil"/>
              <w:right w:val="single" w:sz="3" w:space="0" w:color="000000"/>
            </w:tcBorders>
          </w:tcPr>
          <w:p w14:paraId="2F494D0B" w14:textId="77777777" w:rsidR="00453D7A" w:rsidRDefault="00000000">
            <w:pPr>
              <w:spacing w:after="0" w:line="259" w:lineRule="auto"/>
              <w:ind w:left="0" w:right="0" w:firstLine="0"/>
              <w:jc w:val="left"/>
            </w:pPr>
            <w:r>
              <w:t>Tanh</w:t>
            </w:r>
          </w:p>
        </w:tc>
      </w:tr>
      <w:tr w:rsidR="00453D7A" w14:paraId="6B81FF73" w14:textId="77777777">
        <w:trPr>
          <w:trHeight w:val="239"/>
        </w:trPr>
        <w:tc>
          <w:tcPr>
            <w:tcW w:w="1031" w:type="dxa"/>
            <w:tcBorders>
              <w:top w:val="nil"/>
              <w:left w:val="single" w:sz="3" w:space="0" w:color="000000"/>
              <w:bottom w:val="nil"/>
              <w:right w:val="single" w:sz="3" w:space="0" w:color="000000"/>
            </w:tcBorders>
          </w:tcPr>
          <w:p w14:paraId="488BF196" w14:textId="77777777" w:rsidR="00453D7A" w:rsidRDefault="00000000">
            <w:pPr>
              <w:spacing w:after="0" w:line="259" w:lineRule="auto"/>
              <w:ind w:left="0" w:right="0" w:firstLine="0"/>
              <w:jc w:val="left"/>
            </w:pPr>
            <w:r>
              <w:t>Hidden 4</w:t>
            </w:r>
          </w:p>
        </w:tc>
        <w:tc>
          <w:tcPr>
            <w:tcW w:w="786" w:type="dxa"/>
            <w:tcBorders>
              <w:top w:val="nil"/>
              <w:left w:val="single" w:sz="3" w:space="0" w:color="000000"/>
              <w:bottom w:val="nil"/>
              <w:right w:val="single" w:sz="3" w:space="0" w:color="000000"/>
            </w:tcBorders>
          </w:tcPr>
          <w:p w14:paraId="3BBFDA97" w14:textId="77777777" w:rsidR="00453D7A" w:rsidRDefault="00000000">
            <w:pPr>
              <w:spacing w:after="0" w:line="259" w:lineRule="auto"/>
              <w:ind w:left="0" w:right="0" w:firstLine="0"/>
              <w:jc w:val="left"/>
            </w:pPr>
            <w:r>
              <w:t>15</w:t>
            </w:r>
          </w:p>
        </w:tc>
        <w:tc>
          <w:tcPr>
            <w:tcW w:w="1281" w:type="dxa"/>
            <w:tcBorders>
              <w:top w:val="nil"/>
              <w:left w:val="single" w:sz="3" w:space="0" w:color="000000"/>
              <w:bottom w:val="nil"/>
              <w:right w:val="single" w:sz="3" w:space="0" w:color="000000"/>
            </w:tcBorders>
          </w:tcPr>
          <w:p w14:paraId="4A319731" w14:textId="77777777" w:rsidR="00453D7A" w:rsidRDefault="00000000">
            <w:pPr>
              <w:spacing w:after="0" w:line="259" w:lineRule="auto"/>
              <w:ind w:left="0" w:right="0" w:firstLine="0"/>
              <w:jc w:val="left"/>
            </w:pPr>
            <w:r>
              <w:t>Linear</w:t>
            </w:r>
          </w:p>
        </w:tc>
      </w:tr>
      <w:tr w:rsidR="00453D7A" w14:paraId="70856B83" w14:textId="77777777">
        <w:trPr>
          <w:trHeight w:val="245"/>
        </w:trPr>
        <w:tc>
          <w:tcPr>
            <w:tcW w:w="1031" w:type="dxa"/>
            <w:tcBorders>
              <w:top w:val="nil"/>
              <w:left w:val="single" w:sz="3" w:space="0" w:color="000000"/>
              <w:bottom w:val="single" w:sz="3" w:space="0" w:color="000000"/>
              <w:right w:val="single" w:sz="3" w:space="0" w:color="000000"/>
            </w:tcBorders>
          </w:tcPr>
          <w:p w14:paraId="7531D802" w14:textId="77777777" w:rsidR="00453D7A" w:rsidRDefault="00000000">
            <w:pPr>
              <w:spacing w:after="0" w:line="259" w:lineRule="auto"/>
              <w:ind w:left="0" w:right="0" w:firstLine="0"/>
              <w:jc w:val="left"/>
            </w:pPr>
            <w:r>
              <w:t>Output</w:t>
            </w:r>
          </w:p>
        </w:tc>
        <w:tc>
          <w:tcPr>
            <w:tcW w:w="786" w:type="dxa"/>
            <w:tcBorders>
              <w:top w:val="nil"/>
              <w:left w:val="single" w:sz="3" w:space="0" w:color="000000"/>
              <w:bottom w:val="single" w:sz="3" w:space="0" w:color="000000"/>
              <w:right w:val="single" w:sz="3" w:space="0" w:color="000000"/>
            </w:tcBorders>
          </w:tcPr>
          <w:p w14:paraId="1438C0E3" w14:textId="77777777" w:rsidR="00453D7A" w:rsidRDefault="00000000">
            <w:pPr>
              <w:spacing w:after="0" w:line="259" w:lineRule="auto"/>
              <w:ind w:left="0" w:right="0" w:firstLine="0"/>
              <w:jc w:val="left"/>
            </w:pPr>
            <w:r>
              <w:t>2</w:t>
            </w:r>
          </w:p>
        </w:tc>
        <w:tc>
          <w:tcPr>
            <w:tcW w:w="1281" w:type="dxa"/>
            <w:tcBorders>
              <w:top w:val="nil"/>
              <w:left w:val="single" w:sz="3" w:space="0" w:color="000000"/>
              <w:bottom w:val="single" w:sz="3" w:space="0" w:color="000000"/>
              <w:right w:val="single" w:sz="3" w:space="0" w:color="000000"/>
            </w:tcBorders>
          </w:tcPr>
          <w:p w14:paraId="604C7731" w14:textId="77777777" w:rsidR="00453D7A" w:rsidRDefault="00000000">
            <w:pPr>
              <w:spacing w:after="0" w:line="259" w:lineRule="auto"/>
              <w:ind w:left="0" w:right="0" w:firstLine="0"/>
              <w:jc w:val="left"/>
            </w:pPr>
            <w:r>
              <w:t>Linear</w:t>
            </w:r>
          </w:p>
        </w:tc>
      </w:tr>
    </w:tbl>
    <w:p w14:paraId="497A8331" w14:textId="77777777" w:rsidR="00453D7A" w:rsidRDefault="00000000">
      <w:pPr>
        <w:spacing w:after="292"/>
        <w:ind w:left="-15" w:right="900" w:firstLine="299"/>
      </w:pPr>
      <w:r>
        <w:t xml:space="preserve">The output layer produces two raw Q-values, one per action, with no activation function. This allows Q-values to be positive or negative, reflecting how desirable each action is in a given state. To stabilise training, a separate target network was maintained as a periodically updated copy of the main network, following Mnih et al. </w:t>
      </w:r>
      <w:r>
        <w:rPr>
          <w:color w:val="0000FF"/>
        </w:rPr>
        <w:t xml:space="preserve">Mnih et al. </w:t>
      </w:r>
      <w:r>
        <w:t>(</w:t>
      </w:r>
      <w:r>
        <w:rPr>
          <w:color w:val="0000FF"/>
        </w:rPr>
        <w:t>2015</w:t>
      </w:r>
      <w:r>
        <w:t>). During training, the target network provides stable reference values for the agent to learn from. Without it, the network would be chasing a target that changes every update, causing unstable or diverging training.</w:t>
      </w:r>
    </w:p>
    <w:p w14:paraId="7C07B95A" w14:textId="77777777" w:rsidR="00453D7A" w:rsidRDefault="00000000">
      <w:pPr>
        <w:pStyle w:val="Heading3"/>
        <w:ind w:left="685" w:right="900" w:hanging="700"/>
      </w:pPr>
      <w:r>
        <w:t xml:space="preserve">Training </w:t>
      </w:r>
      <w:commentRangeStart w:id="8"/>
      <w:r>
        <w:t>Mechanics</w:t>
      </w:r>
      <w:commentRangeEnd w:id="8"/>
      <w:r w:rsidR="00374476">
        <w:rPr>
          <w:rStyle w:val="CommentReference"/>
          <w:sz w:val="20"/>
          <w:szCs w:val="24"/>
        </w:rPr>
        <w:commentReference w:id="8"/>
      </w:r>
    </w:p>
    <w:p w14:paraId="4F5EA7A2" w14:textId="77777777" w:rsidR="00453D7A" w:rsidRDefault="00000000">
      <w:pPr>
        <w:ind w:left="-5" w:right="900"/>
      </w:pPr>
      <w:r>
        <w:t xml:space="preserve">Three core DQN training techniques from Mnih et al. </w:t>
      </w:r>
      <w:r>
        <w:rPr>
          <w:color w:val="0000FF"/>
        </w:rPr>
        <w:t xml:space="preserve">Mnih et al. </w:t>
      </w:r>
      <w:r>
        <w:t>(</w:t>
      </w:r>
      <w:r>
        <w:rPr>
          <w:color w:val="0000FF"/>
        </w:rPr>
        <w:t>2015</w:t>
      </w:r>
      <w:r>
        <w:t xml:space="preserve">) were implemented. Epsilongreedy exploration started at </w:t>
      </w:r>
      <w:r>
        <w:rPr>
          <w:i/>
        </w:rPr>
        <w:t xml:space="preserve">ϵ </w:t>
      </w:r>
      <w:r>
        <w:t>= 1</w:t>
      </w:r>
      <w:r>
        <w:rPr>
          <w:i/>
        </w:rPr>
        <w:t>.</w:t>
      </w:r>
      <w:r>
        <w:t xml:space="preserve">0 and decayed each step to a minimum of 0.1, ensuring the agent explored early in training before increasingly exploiting learned knowledge. Experience replay stored transitions in a fixed-size buffer and sampled random batches during training, breaking temporal correlations between consecutive transitions. The target network was updated every </w:t>
      </w:r>
      <w:r>
        <w:rPr>
          <w:rFonts w:ascii="Calibri" w:eastAsia="Calibri" w:hAnsi="Calibri" w:cs="Calibri"/>
        </w:rPr>
        <w:t xml:space="preserve">target update freq </w:t>
      </w:r>
      <w:r>
        <w:t>steps to prevent instability from chasing a moving target.</w:t>
      </w:r>
    </w:p>
    <w:p w14:paraId="7D51C7F1" w14:textId="77777777" w:rsidR="00453D7A" w:rsidRDefault="00000000">
      <w:pPr>
        <w:pStyle w:val="Heading3"/>
        <w:ind w:left="685" w:right="900" w:hanging="700"/>
      </w:pPr>
      <w:r>
        <w:t>Iteration 1: Baseline</w:t>
      </w:r>
    </w:p>
    <w:p w14:paraId="45705D70" w14:textId="77777777" w:rsidR="00453D7A" w:rsidRDefault="00000000">
      <w:pPr>
        <w:spacing w:after="421"/>
        <w:ind w:left="-5" w:right="900"/>
      </w:pPr>
      <w:r>
        <w:t xml:space="preserve">Iteration 1 applied the hyperparameters of Qayoom et al. </w:t>
      </w:r>
      <w:r>
        <w:rPr>
          <w:color w:val="0000FF"/>
        </w:rPr>
        <w:t xml:space="preserve">Qayoom et al. </w:t>
      </w:r>
      <w:r>
        <w:t>(</w:t>
      </w:r>
      <w:r>
        <w:rPr>
          <w:color w:val="0000FF"/>
        </w:rPr>
        <w:t>2024</w:t>
      </w:r>
      <w:r>
        <w:t xml:space="preserve">) directly without adaptation, serving as the DQN baseline before any dataset-specific tuning. As Qayoom et al. designed these parameters for a dataset of 248 samples, applying them unchanged to SAML-D’s 6.6 million training transactions revealed a critical scaling issue: with </w:t>
      </w:r>
      <w:r>
        <w:rPr>
          <w:rFonts w:ascii="Calibri" w:eastAsia="Calibri" w:hAnsi="Calibri" w:cs="Calibri"/>
        </w:rPr>
        <w:t>epsilon decay = 0.0003</w:t>
      </w:r>
      <w:r>
        <w:t>, epsilon decayed to its minimum of 0.1 within the first epoch because the decay was designed for approximately 500 total steps, whereas SAML-D produces approximately 13,000 chunks per epoch. The agent therefore barely explored before switching to pure exploitation, resulting in a test AUPRC of 0.3388.</w:t>
      </w:r>
    </w:p>
    <w:p w14:paraId="02BD7951" w14:textId="77777777" w:rsidR="00453D7A" w:rsidRDefault="00000000">
      <w:pPr>
        <w:spacing w:after="0" w:line="265" w:lineRule="auto"/>
        <w:ind w:right="915"/>
        <w:jc w:val="center"/>
      </w:pPr>
      <w:r>
        <w:t>Table 14: DQN Iteration 1 hyperparameters (</w:t>
      </w:r>
      <w:r>
        <w:rPr>
          <w:color w:val="0000FF"/>
        </w:rPr>
        <w:t xml:space="preserve">Qayoom et al. </w:t>
      </w:r>
      <w:r>
        <w:t>(</w:t>
      </w:r>
      <w:r>
        <w:rPr>
          <w:color w:val="0000FF"/>
        </w:rPr>
        <w:t>2024</w:t>
      </w:r>
      <w:r>
        <w:t>) defaults)</w:t>
      </w:r>
    </w:p>
    <w:tbl>
      <w:tblPr>
        <w:tblStyle w:val="TableGrid"/>
        <w:tblW w:w="2864" w:type="dxa"/>
        <w:tblInd w:w="2987" w:type="dxa"/>
        <w:tblCellMar>
          <w:top w:w="33" w:type="dxa"/>
          <w:left w:w="120" w:type="dxa"/>
          <w:bottom w:w="0" w:type="dxa"/>
          <w:right w:w="115" w:type="dxa"/>
        </w:tblCellMar>
        <w:tblLook w:val="04A0" w:firstRow="1" w:lastRow="0" w:firstColumn="1" w:lastColumn="0" w:noHBand="0" w:noVBand="1"/>
      </w:tblPr>
      <w:tblGrid>
        <w:gridCol w:w="2034"/>
        <w:gridCol w:w="830"/>
      </w:tblGrid>
      <w:tr w:rsidR="00453D7A" w14:paraId="3300898D" w14:textId="77777777">
        <w:trPr>
          <w:trHeight w:val="247"/>
        </w:trPr>
        <w:tc>
          <w:tcPr>
            <w:tcW w:w="2063" w:type="dxa"/>
            <w:tcBorders>
              <w:top w:val="single" w:sz="3" w:space="0" w:color="000000"/>
              <w:left w:val="single" w:sz="3" w:space="0" w:color="000000"/>
              <w:bottom w:val="single" w:sz="3" w:space="0" w:color="000000"/>
              <w:right w:val="single" w:sz="3" w:space="0" w:color="000000"/>
            </w:tcBorders>
          </w:tcPr>
          <w:p w14:paraId="39E3D3EB" w14:textId="77777777" w:rsidR="00453D7A" w:rsidRDefault="00000000">
            <w:pPr>
              <w:spacing w:after="0" w:line="259" w:lineRule="auto"/>
              <w:ind w:left="0" w:right="0" w:firstLine="0"/>
              <w:jc w:val="left"/>
            </w:pPr>
            <w:r>
              <w:rPr>
                <w:b/>
              </w:rPr>
              <w:t>Parameter</w:t>
            </w:r>
          </w:p>
        </w:tc>
        <w:tc>
          <w:tcPr>
            <w:tcW w:w="801" w:type="dxa"/>
            <w:tcBorders>
              <w:top w:val="single" w:sz="3" w:space="0" w:color="000000"/>
              <w:left w:val="single" w:sz="3" w:space="0" w:color="000000"/>
              <w:bottom w:val="single" w:sz="3" w:space="0" w:color="000000"/>
              <w:right w:val="single" w:sz="3" w:space="0" w:color="000000"/>
            </w:tcBorders>
          </w:tcPr>
          <w:p w14:paraId="7445C0C0" w14:textId="77777777" w:rsidR="00453D7A" w:rsidRDefault="00000000">
            <w:pPr>
              <w:spacing w:after="0" w:line="259" w:lineRule="auto"/>
              <w:ind w:left="0" w:right="0" w:firstLine="0"/>
              <w:jc w:val="left"/>
            </w:pPr>
            <w:r>
              <w:rPr>
                <w:b/>
              </w:rPr>
              <w:t>Value</w:t>
            </w:r>
          </w:p>
        </w:tc>
      </w:tr>
      <w:tr w:rsidR="00453D7A" w14:paraId="2287ECFE" w14:textId="77777777">
        <w:trPr>
          <w:trHeight w:val="247"/>
        </w:trPr>
        <w:tc>
          <w:tcPr>
            <w:tcW w:w="2063" w:type="dxa"/>
            <w:tcBorders>
              <w:top w:val="single" w:sz="3" w:space="0" w:color="000000"/>
              <w:left w:val="single" w:sz="3" w:space="0" w:color="000000"/>
              <w:bottom w:val="single" w:sz="3" w:space="0" w:color="000000"/>
              <w:right w:val="single" w:sz="3" w:space="0" w:color="000000"/>
            </w:tcBorders>
          </w:tcPr>
          <w:p w14:paraId="36A9AD2E" w14:textId="77777777" w:rsidR="00453D7A" w:rsidRDefault="00000000">
            <w:pPr>
              <w:spacing w:after="0" w:line="259" w:lineRule="auto"/>
              <w:ind w:left="0" w:right="0" w:firstLine="0"/>
              <w:jc w:val="left"/>
            </w:pPr>
            <w:r>
              <w:rPr>
                <w:rFonts w:ascii="Calibri" w:eastAsia="Calibri" w:hAnsi="Calibri" w:cs="Calibri"/>
              </w:rPr>
              <w:t>epochs</w:t>
            </w:r>
          </w:p>
        </w:tc>
        <w:tc>
          <w:tcPr>
            <w:tcW w:w="801" w:type="dxa"/>
            <w:tcBorders>
              <w:top w:val="single" w:sz="3" w:space="0" w:color="000000"/>
              <w:left w:val="single" w:sz="3" w:space="0" w:color="000000"/>
              <w:bottom w:val="single" w:sz="3" w:space="0" w:color="000000"/>
              <w:right w:val="single" w:sz="3" w:space="0" w:color="000000"/>
            </w:tcBorders>
          </w:tcPr>
          <w:p w14:paraId="26659814" w14:textId="77777777" w:rsidR="00453D7A" w:rsidRDefault="00000000">
            <w:pPr>
              <w:spacing w:after="0" w:line="259" w:lineRule="auto"/>
              <w:ind w:left="0" w:right="0" w:firstLine="0"/>
              <w:jc w:val="left"/>
            </w:pPr>
            <w:r>
              <w:t>10</w:t>
            </w:r>
          </w:p>
        </w:tc>
      </w:tr>
      <w:tr w:rsidR="00453D7A" w14:paraId="77C4A764" w14:textId="77777777">
        <w:trPr>
          <w:trHeight w:val="247"/>
        </w:trPr>
        <w:tc>
          <w:tcPr>
            <w:tcW w:w="2063" w:type="dxa"/>
            <w:tcBorders>
              <w:top w:val="single" w:sz="3" w:space="0" w:color="000000"/>
              <w:left w:val="single" w:sz="3" w:space="0" w:color="000000"/>
              <w:bottom w:val="single" w:sz="3" w:space="0" w:color="000000"/>
              <w:right w:val="single" w:sz="3" w:space="0" w:color="000000"/>
            </w:tcBorders>
          </w:tcPr>
          <w:p w14:paraId="539B88D1" w14:textId="77777777" w:rsidR="00453D7A" w:rsidRDefault="00000000">
            <w:pPr>
              <w:spacing w:after="0" w:line="259" w:lineRule="auto"/>
              <w:ind w:left="0" w:right="0" w:firstLine="0"/>
              <w:jc w:val="left"/>
            </w:pPr>
            <w:r>
              <w:rPr>
                <w:rFonts w:ascii="Calibri" w:eastAsia="Calibri" w:hAnsi="Calibri" w:cs="Calibri"/>
              </w:rPr>
              <w:t>batch size</w:t>
            </w:r>
          </w:p>
        </w:tc>
        <w:tc>
          <w:tcPr>
            <w:tcW w:w="801" w:type="dxa"/>
            <w:tcBorders>
              <w:top w:val="single" w:sz="3" w:space="0" w:color="000000"/>
              <w:left w:val="single" w:sz="3" w:space="0" w:color="000000"/>
              <w:bottom w:val="single" w:sz="3" w:space="0" w:color="000000"/>
              <w:right w:val="single" w:sz="3" w:space="0" w:color="000000"/>
            </w:tcBorders>
          </w:tcPr>
          <w:p w14:paraId="10DC8AC7" w14:textId="77777777" w:rsidR="00453D7A" w:rsidRDefault="00000000">
            <w:pPr>
              <w:spacing w:after="0" w:line="259" w:lineRule="auto"/>
              <w:ind w:left="0" w:right="0" w:firstLine="0"/>
              <w:jc w:val="left"/>
            </w:pPr>
            <w:r>
              <w:t>20</w:t>
            </w:r>
          </w:p>
        </w:tc>
      </w:tr>
      <w:tr w:rsidR="00453D7A" w14:paraId="42FAB94E" w14:textId="77777777">
        <w:trPr>
          <w:trHeight w:val="247"/>
        </w:trPr>
        <w:tc>
          <w:tcPr>
            <w:tcW w:w="2063" w:type="dxa"/>
            <w:tcBorders>
              <w:top w:val="single" w:sz="3" w:space="0" w:color="000000"/>
              <w:left w:val="single" w:sz="3" w:space="0" w:color="000000"/>
              <w:bottom w:val="single" w:sz="3" w:space="0" w:color="000000"/>
              <w:right w:val="single" w:sz="3" w:space="0" w:color="000000"/>
            </w:tcBorders>
          </w:tcPr>
          <w:p w14:paraId="4E56A2E2" w14:textId="77777777" w:rsidR="00453D7A" w:rsidRDefault="00000000">
            <w:pPr>
              <w:spacing w:after="0" w:line="259" w:lineRule="auto"/>
              <w:ind w:left="0" w:right="0" w:firstLine="0"/>
              <w:jc w:val="left"/>
            </w:pPr>
            <w:r>
              <w:rPr>
                <w:rFonts w:ascii="Calibri" w:eastAsia="Calibri" w:hAnsi="Calibri" w:cs="Calibri"/>
              </w:rPr>
              <w:t>gamma</w:t>
            </w:r>
          </w:p>
        </w:tc>
        <w:tc>
          <w:tcPr>
            <w:tcW w:w="801" w:type="dxa"/>
            <w:tcBorders>
              <w:top w:val="single" w:sz="3" w:space="0" w:color="000000"/>
              <w:left w:val="single" w:sz="3" w:space="0" w:color="000000"/>
              <w:bottom w:val="single" w:sz="3" w:space="0" w:color="000000"/>
              <w:right w:val="single" w:sz="3" w:space="0" w:color="000000"/>
            </w:tcBorders>
          </w:tcPr>
          <w:p w14:paraId="6CB3A62B" w14:textId="77777777" w:rsidR="00453D7A" w:rsidRDefault="00000000">
            <w:pPr>
              <w:spacing w:after="0" w:line="259" w:lineRule="auto"/>
              <w:ind w:left="0" w:right="0" w:firstLine="0"/>
              <w:jc w:val="left"/>
            </w:pPr>
            <w:r>
              <w:t>0.97</w:t>
            </w:r>
          </w:p>
        </w:tc>
      </w:tr>
      <w:tr w:rsidR="00453D7A" w14:paraId="6AE99114" w14:textId="77777777">
        <w:trPr>
          <w:trHeight w:val="247"/>
        </w:trPr>
        <w:tc>
          <w:tcPr>
            <w:tcW w:w="2063" w:type="dxa"/>
            <w:tcBorders>
              <w:top w:val="single" w:sz="3" w:space="0" w:color="000000"/>
              <w:left w:val="single" w:sz="3" w:space="0" w:color="000000"/>
              <w:bottom w:val="single" w:sz="3" w:space="0" w:color="000000"/>
              <w:right w:val="single" w:sz="3" w:space="0" w:color="000000"/>
            </w:tcBorders>
          </w:tcPr>
          <w:p w14:paraId="27A3BE94" w14:textId="77777777" w:rsidR="00453D7A" w:rsidRDefault="00000000">
            <w:pPr>
              <w:spacing w:after="0" w:line="259" w:lineRule="auto"/>
              <w:ind w:left="0" w:right="0" w:firstLine="0"/>
              <w:jc w:val="left"/>
            </w:pPr>
            <w:r>
              <w:rPr>
                <w:rFonts w:ascii="Calibri" w:eastAsia="Calibri" w:hAnsi="Calibri" w:cs="Calibri"/>
              </w:rPr>
              <w:t>epsilon</w:t>
            </w:r>
          </w:p>
        </w:tc>
        <w:tc>
          <w:tcPr>
            <w:tcW w:w="801" w:type="dxa"/>
            <w:tcBorders>
              <w:top w:val="single" w:sz="3" w:space="0" w:color="000000"/>
              <w:left w:val="single" w:sz="3" w:space="0" w:color="000000"/>
              <w:bottom w:val="single" w:sz="3" w:space="0" w:color="000000"/>
              <w:right w:val="single" w:sz="3" w:space="0" w:color="000000"/>
            </w:tcBorders>
          </w:tcPr>
          <w:p w14:paraId="4FD2F40E" w14:textId="77777777" w:rsidR="00453D7A" w:rsidRDefault="00000000">
            <w:pPr>
              <w:spacing w:after="0" w:line="259" w:lineRule="auto"/>
              <w:ind w:left="0" w:right="0" w:firstLine="0"/>
              <w:jc w:val="left"/>
            </w:pPr>
            <w:r>
              <w:t>1.0</w:t>
            </w:r>
          </w:p>
        </w:tc>
      </w:tr>
      <w:tr w:rsidR="00453D7A" w14:paraId="6ABCE669" w14:textId="77777777">
        <w:trPr>
          <w:trHeight w:val="247"/>
        </w:trPr>
        <w:tc>
          <w:tcPr>
            <w:tcW w:w="2063" w:type="dxa"/>
            <w:tcBorders>
              <w:top w:val="single" w:sz="3" w:space="0" w:color="000000"/>
              <w:left w:val="single" w:sz="3" w:space="0" w:color="000000"/>
              <w:bottom w:val="single" w:sz="3" w:space="0" w:color="000000"/>
              <w:right w:val="single" w:sz="3" w:space="0" w:color="000000"/>
            </w:tcBorders>
          </w:tcPr>
          <w:p w14:paraId="1D6F9DDC" w14:textId="77777777" w:rsidR="00453D7A" w:rsidRDefault="00000000">
            <w:pPr>
              <w:spacing w:after="0" w:line="259" w:lineRule="auto"/>
              <w:ind w:left="0" w:right="0" w:firstLine="0"/>
              <w:jc w:val="left"/>
            </w:pPr>
            <w:r>
              <w:rPr>
                <w:rFonts w:ascii="Calibri" w:eastAsia="Calibri" w:hAnsi="Calibri" w:cs="Calibri"/>
              </w:rPr>
              <w:t xml:space="preserve">epsilon </w:t>
            </w:r>
            <w:r>
              <w:rPr>
                <w:rFonts w:ascii="Calibri" w:eastAsia="Calibri" w:hAnsi="Calibri" w:cs="Calibri"/>
                <w:noProof/>
                <w:sz w:val="22"/>
              </w:rPr>
              <mc:AlternateContent>
                <mc:Choice Requires="wpg">
                  <w:drawing>
                    <wp:inline distT="0" distB="0" distL="0" distR="0" wp14:anchorId="483BBE52" wp14:editId="37013492">
                      <wp:extent cx="39853" cy="5055"/>
                      <wp:effectExtent l="0" t="0" r="0" b="0"/>
                      <wp:docPr id="49519" name="Group 49519"/>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2938" name="Shape 2938"/>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519" style="width:3.138pt;height:0.398pt;mso-position-horizontal-relative:char;mso-position-vertical-relative:line" coordsize="398,50">
                      <v:shape id="Shape 2938"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decay</w:t>
            </w:r>
          </w:p>
        </w:tc>
        <w:tc>
          <w:tcPr>
            <w:tcW w:w="801" w:type="dxa"/>
            <w:tcBorders>
              <w:top w:val="single" w:sz="3" w:space="0" w:color="000000"/>
              <w:left w:val="single" w:sz="3" w:space="0" w:color="000000"/>
              <w:bottom w:val="single" w:sz="3" w:space="0" w:color="000000"/>
              <w:right w:val="single" w:sz="3" w:space="0" w:color="000000"/>
            </w:tcBorders>
          </w:tcPr>
          <w:p w14:paraId="5E07C27C" w14:textId="77777777" w:rsidR="00453D7A" w:rsidRDefault="00000000">
            <w:pPr>
              <w:spacing w:after="0" w:line="259" w:lineRule="auto"/>
              <w:ind w:left="0" w:right="0" w:firstLine="0"/>
              <w:jc w:val="left"/>
            </w:pPr>
            <w:r>
              <w:t>0.0003</w:t>
            </w:r>
          </w:p>
        </w:tc>
      </w:tr>
      <w:tr w:rsidR="00453D7A" w14:paraId="2C11C958" w14:textId="77777777">
        <w:trPr>
          <w:trHeight w:val="247"/>
        </w:trPr>
        <w:tc>
          <w:tcPr>
            <w:tcW w:w="2063" w:type="dxa"/>
            <w:tcBorders>
              <w:top w:val="single" w:sz="3" w:space="0" w:color="000000"/>
              <w:left w:val="single" w:sz="3" w:space="0" w:color="000000"/>
              <w:bottom w:val="single" w:sz="3" w:space="0" w:color="000000"/>
              <w:right w:val="single" w:sz="3" w:space="0" w:color="000000"/>
            </w:tcBorders>
          </w:tcPr>
          <w:p w14:paraId="6BE04267" w14:textId="77777777" w:rsidR="00453D7A" w:rsidRDefault="00000000">
            <w:pPr>
              <w:spacing w:after="0" w:line="259" w:lineRule="auto"/>
              <w:ind w:left="0" w:right="0" w:firstLine="0"/>
              <w:jc w:val="left"/>
            </w:pPr>
            <w:r>
              <w:rPr>
                <w:rFonts w:ascii="Calibri" w:eastAsia="Calibri" w:hAnsi="Calibri" w:cs="Calibri"/>
              </w:rPr>
              <w:t xml:space="preserve">epsilon </w:t>
            </w:r>
            <w:r>
              <w:rPr>
                <w:rFonts w:ascii="Calibri" w:eastAsia="Calibri" w:hAnsi="Calibri" w:cs="Calibri"/>
                <w:noProof/>
                <w:sz w:val="22"/>
              </w:rPr>
              <mc:AlternateContent>
                <mc:Choice Requires="wpg">
                  <w:drawing>
                    <wp:inline distT="0" distB="0" distL="0" distR="0" wp14:anchorId="444A8447" wp14:editId="79C17D51">
                      <wp:extent cx="39853" cy="5055"/>
                      <wp:effectExtent l="0" t="0" r="0" b="0"/>
                      <wp:docPr id="49547" name="Group 49547"/>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2946" name="Shape 2946"/>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547" style="width:3.138pt;height:0.398pt;mso-position-horizontal-relative:char;mso-position-vertical-relative:line" coordsize="398,50">
                      <v:shape id="Shape 2946"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min</w:t>
            </w:r>
          </w:p>
        </w:tc>
        <w:tc>
          <w:tcPr>
            <w:tcW w:w="801" w:type="dxa"/>
            <w:tcBorders>
              <w:top w:val="single" w:sz="3" w:space="0" w:color="000000"/>
              <w:left w:val="single" w:sz="3" w:space="0" w:color="000000"/>
              <w:bottom w:val="single" w:sz="3" w:space="0" w:color="000000"/>
              <w:right w:val="single" w:sz="3" w:space="0" w:color="000000"/>
            </w:tcBorders>
          </w:tcPr>
          <w:p w14:paraId="156057B7" w14:textId="77777777" w:rsidR="00453D7A" w:rsidRDefault="00000000">
            <w:pPr>
              <w:spacing w:after="0" w:line="259" w:lineRule="auto"/>
              <w:ind w:left="0" w:right="0" w:firstLine="0"/>
              <w:jc w:val="left"/>
            </w:pPr>
            <w:r>
              <w:t>0.1</w:t>
            </w:r>
          </w:p>
        </w:tc>
      </w:tr>
      <w:tr w:rsidR="00453D7A" w14:paraId="19C07152" w14:textId="77777777">
        <w:trPr>
          <w:trHeight w:val="247"/>
        </w:trPr>
        <w:tc>
          <w:tcPr>
            <w:tcW w:w="2063" w:type="dxa"/>
            <w:tcBorders>
              <w:top w:val="single" w:sz="3" w:space="0" w:color="000000"/>
              <w:left w:val="single" w:sz="3" w:space="0" w:color="000000"/>
              <w:bottom w:val="single" w:sz="3" w:space="0" w:color="000000"/>
              <w:right w:val="single" w:sz="3" w:space="0" w:color="000000"/>
            </w:tcBorders>
          </w:tcPr>
          <w:p w14:paraId="416601D8" w14:textId="77777777" w:rsidR="00453D7A" w:rsidRDefault="00000000">
            <w:pPr>
              <w:spacing w:after="0" w:line="259" w:lineRule="auto"/>
              <w:ind w:left="0" w:right="0" w:firstLine="0"/>
              <w:jc w:val="left"/>
            </w:pPr>
            <w:r>
              <w:rPr>
                <w:rFonts w:ascii="Calibri" w:eastAsia="Calibri" w:hAnsi="Calibri" w:cs="Calibri"/>
              </w:rPr>
              <w:t>lr</w:t>
            </w:r>
          </w:p>
        </w:tc>
        <w:tc>
          <w:tcPr>
            <w:tcW w:w="801" w:type="dxa"/>
            <w:tcBorders>
              <w:top w:val="single" w:sz="3" w:space="0" w:color="000000"/>
              <w:left w:val="single" w:sz="3" w:space="0" w:color="000000"/>
              <w:bottom w:val="single" w:sz="3" w:space="0" w:color="000000"/>
              <w:right w:val="single" w:sz="3" w:space="0" w:color="000000"/>
            </w:tcBorders>
          </w:tcPr>
          <w:p w14:paraId="0161A340" w14:textId="77777777" w:rsidR="00453D7A" w:rsidRDefault="00000000">
            <w:pPr>
              <w:spacing w:after="0" w:line="259" w:lineRule="auto"/>
              <w:ind w:left="0" w:right="0" w:firstLine="0"/>
              <w:jc w:val="left"/>
            </w:pPr>
            <w:r>
              <w:t>0.0001</w:t>
            </w:r>
          </w:p>
        </w:tc>
      </w:tr>
      <w:tr w:rsidR="00453D7A" w14:paraId="1007B3FB" w14:textId="77777777">
        <w:trPr>
          <w:trHeight w:val="247"/>
        </w:trPr>
        <w:tc>
          <w:tcPr>
            <w:tcW w:w="2063" w:type="dxa"/>
            <w:tcBorders>
              <w:top w:val="single" w:sz="3" w:space="0" w:color="000000"/>
              <w:left w:val="single" w:sz="3" w:space="0" w:color="000000"/>
              <w:bottom w:val="single" w:sz="3" w:space="0" w:color="000000"/>
              <w:right w:val="single" w:sz="3" w:space="0" w:color="000000"/>
            </w:tcBorders>
          </w:tcPr>
          <w:p w14:paraId="06C80A92" w14:textId="77777777" w:rsidR="00453D7A" w:rsidRDefault="00000000">
            <w:pPr>
              <w:spacing w:after="0" w:line="259" w:lineRule="auto"/>
              <w:ind w:left="0" w:right="0" w:firstLine="0"/>
              <w:jc w:val="left"/>
            </w:pPr>
            <w:r>
              <w:rPr>
                <w:rFonts w:ascii="Calibri" w:eastAsia="Calibri" w:hAnsi="Calibri" w:cs="Calibri"/>
              </w:rPr>
              <w:t>memory size</w:t>
            </w:r>
          </w:p>
        </w:tc>
        <w:tc>
          <w:tcPr>
            <w:tcW w:w="801" w:type="dxa"/>
            <w:tcBorders>
              <w:top w:val="single" w:sz="3" w:space="0" w:color="000000"/>
              <w:left w:val="single" w:sz="3" w:space="0" w:color="000000"/>
              <w:bottom w:val="single" w:sz="3" w:space="0" w:color="000000"/>
              <w:right w:val="single" w:sz="3" w:space="0" w:color="000000"/>
            </w:tcBorders>
          </w:tcPr>
          <w:p w14:paraId="434A2F5C" w14:textId="77777777" w:rsidR="00453D7A" w:rsidRDefault="00000000">
            <w:pPr>
              <w:spacing w:after="0" w:line="259" w:lineRule="auto"/>
              <w:ind w:left="0" w:right="0" w:firstLine="0"/>
              <w:jc w:val="left"/>
            </w:pPr>
            <w:r>
              <w:t>250</w:t>
            </w:r>
          </w:p>
        </w:tc>
      </w:tr>
      <w:tr w:rsidR="00453D7A" w14:paraId="1C7CC9AC" w14:textId="77777777">
        <w:trPr>
          <w:trHeight w:val="247"/>
        </w:trPr>
        <w:tc>
          <w:tcPr>
            <w:tcW w:w="2063" w:type="dxa"/>
            <w:tcBorders>
              <w:top w:val="single" w:sz="3" w:space="0" w:color="000000"/>
              <w:left w:val="single" w:sz="3" w:space="0" w:color="000000"/>
              <w:bottom w:val="single" w:sz="3" w:space="0" w:color="000000"/>
              <w:right w:val="single" w:sz="3" w:space="0" w:color="000000"/>
            </w:tcBorders>
          </w:tcPr>
          <w:p w14:paraId="12904DFF" w14:textId="77777777" w:rsidR="00453D7A" w:rsidRDefault="00000000">
            <w:pPr>
              <w:spacing w:after="0" w:line="259" w:lineRule="auto"/>
              <w:ind w:left="0" w:right="0" w:firstLine="0"/>
              <w:jc w:val="left"/>
            </w:pPr>
            <w:r>
              <w:rPr>
                <w:rFonts w:ascii="Calibri" w:eastAsia="Calibri" w:hAnsi="Calibri" w:cs="Calibri"/>
              </w:rPr>
              <w:t>target update freq</w:t>
            </w:r>
          </w:p>
        </w:tc>
        <w:tc>
          <w:tcPr>
            <w:tcW w:w="801" w:type="dxa"/>
            <w:tcBorders>
              <w:top w:val="single" w:sz="3" w:space="0" w:color="000000"/>
              <w:left w:val="single" w:sz="3" w:space="0" w:color="000000"/>
              <w:bottom w:val="single" w:sz="3" w:space="0" w:color="000000"/>
              <w:right w:val="single" w:sz="3" w:space="0" w:color="000000"/>
            </w:tcBorders>
          </w:tcPr>
          <w:p w14:paraId="450CF0C0" w14:textId="77777777" w:rsidR="00453D7A" w:rsidRDefault="00000000">
            <w:pPr>
              <w:spacing w:after="0" w:line="259" w:lineRule="auto"/>
              <w:ind w:left="0" w:right="0" w:firstLine="0"/>
              <w:jc w:val="left"/>
            </w:pPr>
            <w:r>
              <w:t>20</w:t>
            </w:r>
          </w:p>
        </w:tc>
      </w:tr>
    </w:tbl>
    <w:p w14:paraId="7A518FBE" w14:textId="77777777" w:rsidR="00453D7A" w:rsidRDefault="00000000">
      <w:pPr>
        <w:pStyle w:val="Heading3"/>
        <w:spacing w:after="157"/>
        <w:ind w:left="685" w:right="900" w:hanging="700"/>
      </w:pPr>
      <w:r>
        <w:t>Iteration 2: Scaled Hyperparameters</w:t>
      </w:r>
    </w:p>
    <w:p w14:paraId="26045812" w14:textId="77777777" w:rsidR="00453D7A" w:rsidRDefault="00000000">
      <w:pPr>
        <w:spacing w:after="396"/>
        <w:ind w:left="-5" w:right="900"/>
      </w:pPr>
      <w:r>
        <w:t xml:space="preserve">Iteration 2 addressed the scaling issue by reducing </w:t>
      </w:r>
      <w:r>
        <w:rPr>
          <w:rFonts w:ascii="Calibri" w:eastAsia="Calibri" w:hAnsi="Calibri" w:cs="Calibri"/>
        </w:rPr>
        <w:t xml:space="preserve">epsilon decay </w:t>
      </w:r>
      <w:r>
        <w:t xml:space="preserve">from 0.0003 to 0.00001, proportional to the difference in dataset size, while keeping all other hyperparameters unchanged from Qayoom et al. </w:t>
      </w:r>
      <w:r>
        <w:rPr>
          <w:color w:val="0000FF"/>
        </w:rPr>
        <w:t xml:space="preserve">Qayoom et al. </w:t>
      </w:r>
      <w:r>
        <w:t>(</w:t>
      </w:r>
      <w:r>
        <w:rPr>
          <w:color w:val="0000FF"/>
        </w:rPr>
        <w:t>2024</w:t>
      </w:r>
      <w:r>
        <w:t>). The batch size was increased from 20 to 256 to provide more stable gradient updates at scale. Early stopping with a patience of 10 epochs was added, allowing training to run up to 100 epochs safely without overfitting. Unlike XGBoost, no grid search was performed for the DQN, as each training run on 6.6 million transactions requires significant computational time, making exhaustive hyperparameter search infeasible. This iteration achieved a test AUPRC of 0.6329.</w:t>
      </w:r>
    </w:p>
    <w:p w14:paraId="0FB38189" w14:textId="77777777" w:rsidR="00453D7A" w:rsidRDefault="00000000">
      <w:pPr>
        <w:spacing w:after="0" w:line="265" w:lineRule="auto"/>
        <w:ind w:right="915"/>
        <w:jc w:val="center"/>
      </w:pPr>
      <w:r>
        <w:lastRenderedPageBreak/>
        <w:t>Table 15: DQN Iteration 2 hyperparameters (changes from Iteration 1 highlighted)</w:t>
      </w:r>
    </w:p>
    <w:tbl>
      <w:tblPr>
        <w:tblStyle w:val="TableGrid"/>
        <w:tblW w:w="4919" w:type="dxa"/>
        <w:tblInd w:w="1960" w:type="dxa"/>
        <w:tblCellMar>
          <w:top w:w="33" w:type="dxa"/>
          <w:left w:w="120" w:type="dxa"/>
          <w:bottom w:w="0" w:type="dxa"/>
          <w:right w:w="115" w:type="dxa"/>
        </w:tblCellMar>
        <w:tblLook w:val="04A0" w:firstRow="1" w:lastRow="0" w:firstColumn="1" w:lastColumn="0" w:noHBand="0" w:noVBand="1"/>
      </w:tblPr>
      <w:tblGrid>
        <w:gridCol w:w="2587"/>
        <w:gridCol w:w="1130"/>
        <w:gridCol w:w="1202"/>
      </w:tblGrid>
      <w:tr w:rsidR="00453D7A" w14:paraId="04E950D1" w14:textId="77777777">
        <w:trPr>
          <w:trHeight w:val="247"/>
        </w:trPr>
        <w:tc>
          <w:tcPr>
            <w:tcW w:w="2586" w:type="dxa"/>
            <w:tcBorders>
              <w:top w:val="single" w:sz="3" w:space="0" w:color="000000"/>
              <w:left w:val="single" w:sz="3" w:space="0" w:color="000000"/>
              <w:bottom w:val="single" w:sz="3" w:space="0" w:color="000000"/>
              <w:right w:val="single" w:sz="3" w:space="0" w:color="000000"/>
            </w:tcBorders>
          </w:tcPr>
          <w:p w14:paraId="747D13D2" w14:textId="77777777" w:rsidR="00453D7A" w:rsidRDefault="00000000">
            <w:pPr>
              <w:spacing w:after="0" w:line="259" w:lineRule="auto"/>
              <w:ind w:left="0" w:right="0" w:firstLine="0"/>
              <w:jc w:val="left"/>
            </w:pPr>
            <w:r>
              <w:rPr>
                <w:b/>
              </w:rPr>
              <w:t>Parameter</w:t>
            </w:r>
          </w:p>
        </w:tc>
        <w:tc>
          <w:tcPr>
            <w:tcW w:w="1130" w:type="dxa"/>
            <w:tcBorders>
              <w:top w:val="single" w:sz="3" w:space="0" w:color="000000"/>
              <w:left w:val="single" w:sz="3" w:space="0" w:color="000000"/>
              <w:bottom w:val="single" w:sz="3" w:space="0" w:color="000000"/>
              <w:right w:val="single" w:sz="3" w:space="0" w:color="000000"/>
            </w:tcBorders>
          </w:tcPr>
          <w:p w14:paraId="7D6E622F" w14:textId="77777777" w:rsidR="00453D7A" w:rsidRDefault="00000000">
            <w:pPr>
              <w:spacing w:after="0" w:line="259" w:lineRule="auto"/>
              <w:ind w:left="0" w:right="0" w:firstLine="0"/>
              <w:jc w:val="left"/>
            </w:pPr>
            <w:r>
              <w:rPr>
                <w:b/>
              </w:rPr>
              <w:t>Value</w:t>
            </w:r>
          </w:p>
        </w:tc>
        <w:tc>
          <w:tcPr>
            <w:tcW w:w="1202" w:type="dxa"/>
            <w:tcBorders>
              <w:top w:val="single" w:sz="3" w:space="0" w:color="000000"/>
              <w:left w:val="single" w:sz="3" w:space="0" w:color="000000"/>
              <w:bottom w:val="single" w:sz="3" w:space="0" w:color="000000"/>
              <w:right w:val="single" w:sz="3" w:space="0" w:color="000000"/>
            </w:tcBorders>
          </w:tcPr>
          <w:p w14:paraId="0EB9B1DE" w14:textId="77777777" w:rsidR="00453D7A" w:rsidRDefault="00000000">
            <w:pPr>
              <w:spacing w:after="0" w:line="259" w:lineRule="auto"/>
              <w:ind w:left="0" w:right="0" w:firstLine="0"/>
              <w:jc w:val="left"/>
            </w:pPr>
            <w:r>
              <w:rPr>
                <w:b/>
              </w:rPr>
              <w:t>State</w:t>
            </w:r>
          </w:p>
        </w:tc>
      </w:tr>
      <w:tr w:rsidR="00453D7A" w14:paraId="3B98DB63" w14:textId="77777777">
        <w:trPr>
          <w:trHeight w:val="247"/>
        </w:trPr>
        <w:tc>
          <w:tcPr>
            <w:tcW w:w="2586" w:type="dxa"/>
            <w:tcBorders>
              <w:top w:val="single" w:sz="3" w:space="0" w:color="000000"/>
              <w:left w:val="single" w:sz="3" w:space="0" w:color="000000"/>
              <w:bottom w:val="single" w:sz="3" w:space="0" w:color="000000"/>
              <w:right w:val="single" w:sz="3" w:space="0" w:color="000000"/>
            </w:tcBorders>
          </w:tcPr>
          <w:p w14:paraId="05CE1A20" w14:textId="77777777" w:rsidR="00453D7A" w:rsidRDefault="00000000">
            <w:pPr>
              <w:spacing w:after="0" w:line="259" w:lineRule="auto"/>
              <w:ind w:left="0" w:right="0" w:firstLine="0"/>
              <w:jc w:val="left"/>
            </w:pPr>
            <w:r>
              <w:rPr>
                <w:rFonts w:ascii="Calibri" w:eastAsia="Calibri" w:hAnsi="Calibri" w:cs="Calibri"/>
              </w:rPr>
              <w:t>epochs</w:t>
            </w:r>
          </w:p>
        </w:tc>
        <w:tc>
          <w:tcPr>
            <w:tcW w:w="1130" w:type="dxa"/>
            <w:tcBorders>
              <w:top w:val="single" w:sz="3" w:space="0" w:color="000000"/>
              <w:left w:val="single" w:sz="3" w:space="0" w:color="000000"/>
              <w:bottom w:val="single" w:sz="3" w:space="0" w:color="000000"/>
              <w:right w:val="single" w:sz="3" w:space="0" w:color="000000"/>
            </w:tcBorders>
          </w:tcPr>
          <w:p w14:paraId="4ECCF9F1" w14:textId="77777777" w:rsidR="00453D7A" w:rsidRDefault="00000000">
            <w:pPr>
              <w:spacing w:after="0" w:line="259" w:lineRule="auto"/>
              <w:ind w:left="0" w:right="0" w:firstLine="0"/>
              <w:jc w:val="left"/>
            </w:pPr>
            <w:r>
              <w:t>100 (max)</w:t>
            </w:r>
          </w:p>
        </w:tc>
        <w:tc>
          <w:tcPr>
            <w:tcW w:w="1202" w:type="dxa"/>
            <w:tcBorders>
              <w:top w:val="single" w:sz="3" w:space="0" w:color="000000"/>
              <w:left w:val="single" w:sz="3" w:space="0" w:color="000000"/>
              <w:bottom w:val="single" w:sz="3" w:space="0" w:color="000000"/>
              <w:right w:val="single" w:sz="3" w:space="0" w:color="000000"/>
            </w:tcBorders>
          </w:tcPr>
          <w:p w14:paraId="289D74DC" w14:textId="77777777" w:rsidR="00453D7A" w:rsidRDefault="00000000">
            <w:pPr>
              <w:spacing w:after="0" w:line="259" w:lineRule="auto"/>
              <w:ind w:left="0" w:right="0" w:firstLine="0"/>
              <w:jc w:val="left"/>
            </w:pPr>
            <w:r>
              <w:t>Changed</w:t>
            </w:r>
          </w:p>
        </w:tc>
      </w:tr>
      <w:tr w:rsidR="00453D7A" w14:paraId="17D125E2" w14:textId="77777777">
        <w:trPr>
          <w:trHeight w:val="247"/>
        </w:trPr>
        <w:tc>
          <w:tcPr>
            <w:tcW w:w="2586" w:type="dxa"/>
            <w:tcBorders>
              <w:top w:val="single" w:sz="3" w:space="0" w:color="000000"/>
              <w:left w:val="single" w:sz="3" w:space="0" w:color="000000"/>
              <w:bottom w:val="single" w:sz="3" w:space="0" w:color="000000"/>
              <w:right w:val="single" w:sz="3" w:space="0" w:color="000000"/>
            </w:tcBorders>
          </w:tcPr>
          <w:p w14:paraId="72253908" w14:textId="77777777" w:rsidR="00453D7A" w:rsidRDefault="00000000">
            <w:pPr>
              <w:spacing w:after="0" w:line="259" w:lineRule="auto"/>
              <w:ind w:left="0" w:right="0" w:firstLine="0"/>
              <w:jc w:val="left"/>
            </w:pPr>
            <w:r>
              <w:rPr>
                <w:rFonts w:ascii="Calibri" w:eastAsia="Calibri" w:hAnsi="Calibri" w:cs="Calibri"/>
              </w:rPr>
              <w:t>batch size</w:t>
            </w:r>
          </w:p>
        </w:tc>
        <w:tc>
          <w:tcPr>
            <w:tcW w:w="1130" w:type="dxa"/>
            <w:tcBorders>
              <w:top w:val="single" w:sz="3" w:space="0" w:color="000000"/>
              <w:left w:val="single" w:sz="3" w:space="0" w:color="000000"/>
              <w:bottom w:val="single" w:sz="3" w:space="0" w:color="000000"/>
              <w:right w:val="single" w:sz="3" w:space="0" w:color="000000"/>
            </w:tcBorders>
          </w:tcPr>
          <w:p w14:paraId="1909E078" w14:textId="77777777" w:rsidR="00453D7A" w:rsidRDefault="00000000">
            <w:pPr>
              <w:spacing w:after="0" w:line="259" w:lineRule="auto"/>
              <w:ind w:left="0" w:right="0" w:firstLine="0"/>
              <w:jc w:val="left"/>
            </w:pPr>
            <w:r>
              <w:t>256</w:t>
            </w:r>
          </w:p>
        </w:tc>
        <w:tc>
          <w:tcPr>
            <w:tcW w:w="1202" w:type="dxa"/>
            <w:tcBorders>
              <w:top w:val="single" w:sz="3" w:space="0" w:color="000000"/>
              <w:left w:val="single" w:sz="3" w:space="0" w:color="000000"/>
              <w:bottom w:val="single" w:sz="3" w:space="0" w:color="000000"/>
              <w:right w:val="single" w:sz="3" w:space="0" w:color="000000"/>
            </w:tcBorders>
          </w:tcPr>
          <w:p w14:paraId="2AF5191D" w14:textId="77777777" w:rsidR="00453D7A" w:rsidRDefault="00000000">
            <w:pPr>
              <w:spacing w:after="0" w:line="259" w:lineRule="auto"/>
              <w:ind w:left="0" w:right="0" w:firstLine="0"/>
              <w:jc w:val="left"/>
            </w:pPr>
            <w:r>
              <w:t>Changed</w:t>
            </w:r>
          </w:p>
        </w:tc>
      </w:tr>
      <w:tr w:rsidR="00453D7A" w14:paraId="4F0F2622" w14:textId="77777777">
        <w:trPr>
          <w:trHeight w:val="247"/>
        </w:trPr>
        <w:tc>
          <w:tcPr>
            <w:tcW w:w="2586" w:type="dxa"/>
            <w:tcBorders>
              <w:top w:val="single" w:sz="3" w:space="0" w:color="000000"/>
              <w:left w:val="single" w:sz="3" w:space="0" w:color="000000"/>
              <w:bottom w:val="single" w:sz="3" w:space="0" w:color="000000"/>
              <w:right w:val="single" w:sz="3" w:space="0" w:color="000000"/>
            </w:tcBorders>
          </w:tcPr>
          <w:p w14:paraId="4DA7195B" w14:textId="77777777" w:rsidR="00453D7A" w:rsidRDefault="00000000">
            <w:pPr>
              <w:spacing w:after="0" w:line="259" w:lineRule="auto"/>
              <w:ind w:left="0" w:right="0" w:firstLine="0"/>
              <w:jc w:val="left"/>
            </w:pPr>
            <w:r>
              <w:rPr>
                <w:rFonts w:ascii="Calibri" w:eastAsia="Calibri" w:hAnsi="Calibri" w:cs="Calibri"/>
              </w:rPr>
              <w:t>gamma</w:t>
            </w:r>
          </w:p>
        </w:tc>
        <w:tc>
          <w:tcPr>
            <w:tcW w:w="1130" w:type="dxa"/>
            <w:tcBorders>
              <w:top w:val="single" w:sz="3" w:space="0" w:color="000000"/>
              <w:left w:val="single" w:sz="3" w:space="0" w:color="000000"/>
              <w:bottom w:val="single" w:sz="3" w:space="0" w:color="000000"/>
              <w:right w:val="single" w:sz="3" w:space="0" w:color="000000"/>
            </w:tcBorders>
          </w:tcPr>
          <w:p w14:paraId="1E849220" w14:textId="77777777" w:rsidR="00453D7A" w:rsidRDefault="00000000">
            <w:pPr>
              <w:spacing w:after="0" w:line="259" w:lineRule="auto"/>
              <w:ind w:left="0" w:right="0" w:firstLine="0"/>
              <w:jc w:val="left"/>
            </w:pPr>
            <w:r>
              <w:t>0.97</w:t>
            </w:r>
          </w:p>
        </w:tc>
        <w:tc>
          <w:tcPr>
            <w:tcW w:w="1202" w:type="dxa"/>
            <w:tcBorders>
              <w:top w:val="single" w:sz="3" w:space="0" w:color="000000"/>
              <w:left w:val="single" w:sz="3" w:space="0" w:color="000000"/>
              <w:bottom w:val="single" w:sz="3" w:space="0" w:color="000000"/>
              <w:right w:val="single" w:sz="3" w:space="0" w:color="000000"/>
            </w:tcBorders>
          </w:tcPr>
          <w:p w14:paraId="5EE695D6" w14:textId="77777777" w:rsidR="00453D7A" w:rsidRDefault="00000000">
            <w:pPr>
              <w:spacing w:after="0" w:line="259" w:lineRule="auto"/>
              <w:ind w:left="0" w:right="0" w:firstLine="0"/>
              <w:jc w:val="left"/>
            </w:pPr>
            <w:r>
              <w:t>Unchanged</w:t>
            </w:r>
          </w:p>
        </w:tc>
      </w:tr>
      <w:tr w:rsidR="00453D7A" w14:paraId="630C682B" w14:textId="77777777">
        <w:trPr>
          <w:trHeight w:val="247"/>
        </w:trPr>
        <w:tc>
          <w:tcPr>
            <w:tcW w:w="2586" w:type="dxa"/>
            <w:tcBorders>
              <w:top w:val="single" w:sz="3" w:space="0" w:color="000000"/>
              <w:left w:val="single" w:sz="3" w:space="0" w:color="000000"/>
              <w:bottom w:val="single" w:sz="3" w:space="0" w:color="000000"/>
              <w:right w:val="single" w:sz="3" w:space="0" w:color="000000"/>
            </w:tcBorders>
          </w:tcPr>
          <w:p w14:paraId="1336B5B4" w14:textId="77777777" w:rsidR="00453D7A" w:rsidRDefault="00000000">
            <w:pPr>
              <w:spacing w:after="0" w:line="259" w:lineRule="auto"/>
              <w:ind w:left="0" w:right="0" w:firstLine="0"/>
              <w:jc w:val="left"/>
            </w:pPr>
            <w:r>
              <w:rPr>
                <w:rFonts w:ascii="Calibri" w:eastAsia="Calibri" w:hAnsi="Calibri" w:cs="Calibri"/>
              </w:rPr>
              <w:t>epsilon</w:t>
            </w:r>
          </w:p>
        </w:tc>
        <w:tc>
          <w:tcPr>
            <w:tcW w:w="1130" w:type="dxa"/>
            <w:tcBorders>
              <w:top w:val="single" w:sz="3" w:space="0" w:color="000000"/>
              <w:left w:val="single" w:sz="3" w:space="0" w:color="000000"/>
              <w:bottom w:val="single" w:sz="3" w:space="0" w:color="000000"/>
              <w:right w:val="single" w:sz="3" w:space="0" w:color="000000"/>
            </w:tcBorders>
          </w:tcPr>
          <w:p w14:paraId="34E57B94" w14:textId="77777777" w:rsidR="00453D7A" w:rsidRDefault="00000000">
            <w:pPr>
              <w:spacing w:after="0" w:line="259" w:lineRule="auto"/>
              <w:ind w:left="0" w:right="0" w:firstLine="0"/>
              <w:jc w:val="left"/>
            </w:pPr>
            <w:r>
              <w:t>1.0</w:t>
            </w:r>
          </w:p>
        </w:tc>
        <w:tc>
          <w:tcPr>
            <w:tcW w:w="1202" w:type="dxa"/>
            <w:tcBorders>
              <w:top w:val="single" w:sz="3" w:space="0" w:color="000000"/>
              <w:left w:val="single" w:sz="3" w:space="0" w:color="000000"/>
              <w:bottom w:val="single" w:sz="3" w:space="0" w:color="000000"/>
              <w:right w:val="single" w:sz="3" w:space="0" w:color="000000"/>
            </w:tcBorders>
          </w:tcPr>
          <w:p w14:paraId="62C2B7A7" w14:textId="77777777" w:rsidR="00453D7A" w:rsidRDefault="00000000">
            <w:pPr>
              <w:spacing w:after="0" w:line="259" w:lineRule="auto"/>
              <w:ind w:left="0" w:right="0" w:firstLine="0"/>
              <w:jc w:val="left"/>
            </w:pPr>
            <w:r>
              <w:t>Unchanged</w:t>
            </w:r>
          </w:p>
        </w:tc>
      </w:tr>
      <w:tr w:rsidR="00453D7A" w14:paraId="37AA7F31" w14:textId="77777777">
        <w:trPr>
          <w:trHeight w:val="247"/>
        </w:trPr>
        <w:tc>
          <w:tcPr>
            <w:tcW w:w="2586" w:type="dxa"/>
            <w:tcBorders>
              <w:top w:val="single" w:sz="3" w:space="0" w:color="000000"/>
              <w:left w:val="single" w:sz="3" w:space="0" w:color="000000"/>
              <w:bottom w:val="single" w:sz="3" w:space="0" w:color="000000"/>
              <w:right w:val="single" w:sz="3" w:space="0" w:color="000000"/>
            </w:tcBorders>
          </w:tcPr>
          <w:p w14:paraId="6E05260A" w14:textId="77777777" w:rsidR="00453D7A" w:rsidRDefault="00000000">
            <w:pPr>
              <w:spacing w:after="0" w:line="259" w:lineRule="auto"/>
              <w:ind w:left="0" w:right="0" w:firstLine="0"/>
              <w:jc w:val="left"/>
            </w:pPr>
            <w:r>
              <w:rPr>
                <w:rFonts w:ascii="Calibri" w:eastAsia="Calibri" w:hAnsi="Calibri" w:cs="Calibri"/>
              </w:rPr>
              <w:t xml:space="preserve">epsilon </w:t>
            </w:r>
            <w:r>
              <w:rPr>
                <w:rFonts w:ascii="Calibri" w:eastAsia="Calibri" w:hAnsi="Calibri" w:cs="Calibri"/>
                <w:noProof/>
                <w:sz w:val="22"/>
              </w:rPr>
              <mc:AlternateContent>
                <mc:Choice Requires="wpg">
                  <w:drawing>
                    <wp:inline distT="0" distB="0" distL="0" distR="0" wp14:anchorId="0EF1915A" wp14:editId="6461E603">
                      <wp:extent cx="39853" cy="5055"/>
                      <wp:effectExtent l="0" t="0" r="0" b="0"/>
                      <wp:docPr id="48920" name="Group 48920"/>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3038" name="Shape 3038"/>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920" style="width:3.138pt;height:0.398pt;mso-position-horizontal-relative:char;mso-position-vertical-relative:line" coordsize="398,50">
                      <v:shape id="Shape 3038"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decay</w:t>
            </w:r>
          </w:p>
        </w:tc>
        <w:tc>
          <w:tcPr>
            <w:tcW w:w="1130" w:type="dxa"/>
            <w:tcBorders>
              <w:top w:val="single" w:sz="3" w:space="0" w:color="000000"/>
              <w:left w:val="single" w:sz="3" w:space="0" w:color="000000"/>
              <w:bottom w:val="single" w:sz="3" w:space="0" w:color="000000"/>
              <w:right w:val="single" w:sz="3" w:space="0" w:color="000000"/>
            </w:tcBorders>
          </w:tcPr>
          <w:p w14:paraId="56914777" w14:textId="77777777" w:rsidR="00453D7A" w:rsidRDefault="00000000">
            <w:pPr>
              <w:spacing w:after="0" w:line="259" w:lineRule="auto"/>
              <w:ind w:left="0" w:right="0" w:firstLine="0"/>
              <w:jc w:val="left"/>
            </w:pPr>
            <w:r>
              <w:t>0.00001</w:t>
            </w:r>
          </w:p>
        </w:tc>
        <w:tc>
          <w:tcPr>
            <w:tcW w:w="1202" w:type="dxa"/>
            <w:tcBorders>
              <w:top w:val="single" w:sz="3" w:space="0" w:color="000000"/>
              <w:left w:val="single" w:sz="3" w:space="0" w:color="000000"/>
              <w:bottom w:val="single" w:sz="3" w:space="0" w:color="000000"/>
              <w:right w:val="single" w:sz="3" w:space="0" w:color="000000"/>
            </w:tcBorders>
          </w:tcPr>
          <w:p w14:paraId="1E6F8769" w14:textId="77777777" w:rsidR="00453D7A" w:rsidRDefault="00000000">
            <w:pPr>
              <w:spacing w:after="0" w:line="259" w:lineRule="auto"/>
              <w:ind w:left="0" w:right="0" w:firstLine="0"/>
              <w:jc w:val="left"/>
            </w:pPr>
            <w:r>
              <w:t>Changed</w:t>
            </w:r>
          </w:p>
        </w:tc>
      </w:tr>
      <w:tr w:rsidR="00453D7A" w14:paraId="498BB504" w14:textId="77777777">
        <w:trPr>
          <w:trHeight w:val="247"/>
        </w:trPr>
        <w:tc>
          <w:tcPr>
            <w:tcW w:w="2586" w:type="dxa"/>
            <w:tcBorders>
              <w:top w:val="single" w:sz="3" w:space="0" w:color="000000"/>
              <w:left w:val="single" w:sz="3" w:space="0" w:color="000000"/>
              <w:bottom w:val="single" w:sz="3" w:space="0" w:color="000000"/>
              <w:right w:val="single" w:sz="3" w:space="0" w:color="000000"/>
            </w:tcBorders>
          </w:tcPr>
          <w:p w14:paraId="22DE4F8C" w14:textId="77777777" w:rsidR="00453D7A" w:rsidRDefault="00000000">
            <w:pPr>
              <w:spacing w:after="0" w:line="259" w:lineRule="auto"/>
              <w:ind w:left="0" w:right="0" w:firstLine="0"/>
              <w:jc w:val="left"/>
            </w:pPr>
            <w:r>
              <w:rPr>
                <w:rFonts w:ascii="Calibri" w:eastAsia="Calibri" w:hAnsi="Calibri" w:cs="Calibri"/>
              </w:rPr>
              <w:t xml:space="preserve">epsilon </w:t>
            </w:r>
            <w:r>
              <w:rPr>
                <w:rFonts w:ascii="Calibri" w:eastAsia="Calibri" w:hAnsi="Calibri" w:cs="Calibri"/>
                <w:noProof/>
                <w:sz w:val="22"/>
              </w:rPr>
              <mc:AlternateContent>
                <mc:Choice Requires="wpg">
                  <w:drawing>
                    <wp:inline distT="0" distB="0" distL="0" distR="0" wp14:anchorId="1AC1E366" wp14:editId="1B3D7F86">
                      <wp:extent cx="39853" cy="5055"/>
                      <wp:effectExtent l="0" t="0" r="0" b="0"/>
                      <wp:docPr id="48995" name="Group 48995"/>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3048" name="Shape 3048"/>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995" style="width:3.138pt;height:0.398pt;mso-position-horizontal-relative:char;mso-position-vertical-relative:line" coordsize="398,50">
                      <v:shape id="Shape 3048"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min</w:t>
            </w:r>
          </w:p>
        </w:tc>
        <w:tc>
          <w:tcPr>
            <w:tcW w:w="1130" w:type="dxa"/>
            <w:tcBorders>
              <w:top w:val="single" w:sz="3" w:space="0" w:color="000000"/>
              <w:left w:val="single" w:sz="3" w:space="0" w:color="000000"/>
              <w:bottom w:val="single" w:sz="3" w:space="0" w:color="000000"/>
              <w:right w:val="single" w:sz="3" w:space="0" w:color="000000"/>
            </w:tcBorders>
          </w:tcPr>
          <w:p w14:paraId="459E720B" w14:textId="77777777" w:rsidR="00453D7A" w:rsidRDefault="00000000">
            <w:pPr>
              <w:spacing w:after="0" w:line="259" w:lineRule="auto"/>
              <w:ind w:left="0" w:right="0" w:firstLine="0"/>
              <w:jc w:val="left"/>
            </w:pPr>
            <w:r>
              <w:t>0.1</w:t>
            </w:r>
          </w:p>
        </w:tc>
        <w:tc>
          <w:tcPr>
            <w:tcW w:w="1202" w:type="dxa"/>
            <w:tcBorders>
              <w:top w:val="single" w:sz="3" w:space="0" w:color="000000"/>
              <w:left w:val="single" w:sz="3" w:space="0" w:color="000000"/>
              <w:bottom w:val="single" w:sz="3" w:space="0" w:color="000000"/>
              <w:right w:val="single" w:sz="3" w:space="0" w:color="000000"/>
            </w:tcBorders>
          </w:tcPr>
          <w:p w14:paraId="6A89F512" w14:textId="77777777" w:rsidR="00453D7A" w:rsidRDefault="00000000">
            <w:pPr>
              <w:spacing w:after="0" w:line="259" w:lineRule="auto"/>
              <w:ind w:left="0" w:right="0" w:firstLine="0"/>
              <w:jc w:val="left"/>
            </w:pPr>
            <w:r>
              <w:t>Unchanged</w:t>
            </w:r>
          </w:p>
        </w:tc>
      </w:tr>
      <w:tr w:rsidR="00453D7A" w14:paraId="7821CC16" w14:textId="77777777">
        <w:trPr>
          <w:trHeight w:val="247"/>
        </w:trPr>
        <w:tc>
          <w:tcPr>
            <w:tcW w:w="2586" w:type="dxa"/>
            <w:tcBorders>
              <w:top w:val="single" w:sz="3" w:space="0" w:color="000000"/>
              <w:left w:val="single" w:sz="3" w:space="0" w:color="000000"/>
              <w:bottom w:val="single" w:sz="3" w:space="0" w:color="000000"/>
              <w:right w:val="single" w:sz="3" w:space="0" w:color="000000"/>
            </w:tcBorders>
          </w:tcPr>
          <w:p w14:paraId="0FAC2F80" w14:textId="77777777" w:rsidR="00453D7A" w:rsidRDefault="00000000">
            <w:pPr>
              <w:spacing w:after="0" w:line="259" w:lineRule="auto"/>
              <w:ind w:left="0" w:right="0" w:firstLine="0"/>
              <w:jc w:val="left"/>
            </w:pPr>
            <w:r>
              <w:rPr>
                <w:rFonts w:ascii="Calibri" w:eastAsia="Calibri" w:hAnsi="Calibri" w:cs="Calibri"/>
              </w:rPr>
              <w:t>lr</w:t>
            </w:r>
          </w:p>
        </w:tc>
        <w:tc>
          <w:tcPr>
            <w:tcW w:w="1130" w:type="dxa"/>
            <w:tcBorders>
              <w:top w:val="single" w:sz="3" w:space="0" w:color="000000"/>
              <w:left w:val="single" w:sz="3" w:space="0" w:color="000000"/>
              <w:bottom w:val="single" w:sz="3" w:space="0" w:color="000000"/>
              <w:right w:val="single" w:sz="3" w:space="0" w:color="000000"/>
            </w:tcBorders>
          </w:tcPr>
          <w:p w14:paraId="5BA6FB32" w14:textId="77777777" w:rsidR="00453D7A" w:rsidRDefault="00000000">
            <w:pPr>
              <w:spacing w:after="0" w:line="259" w:lineRule="auto"/>
              <w:ind w:left="0" w:right="0" w:firstLine="0"/>
              <w:jc w:val="left"/>
            </w:pPr>
            <w:r>
              <w:t>0.0001</w:t>
            </w:r>
          </w:p>
        </w:tc>
        <w:tc>
          <w:tcPr>
            <w:tcW w:w="1202" w:type="dxa"/>
            <w:tcBorders>
              <w:top w:val="single" w:sz="3" w:space="0" w:color="000000"/>
              <w:left w:val="single" w:sz="3" w:space="0" w:color="000000"/>
              <w:bottom w:val="single" w:sz="3" w:space="0" w:color="000000"/>
              <w:right w:val="single" w:sz="3" w:space="0" w:color="000000"/>
            </w:tcBorders>
          </w:tcPr>
          <w:p w14:paraId="2FFF81C2" w14:textId="77777777" w:rsidR="00453D7A" w:rsidRDefault="00000000">
            <w:pPr>
              <w:spacing w:after="0" w:line="259" w:lineRule="auto"/>
              <w:ind w:left="0" w:right="0" w:firstLine="0"/>
              <w:jc w:val="left"/>
            </w:pPr>
            <w:r>
              <w:t>Unchanged</w:t>
            </w:r>
          </w:p>
        </w:tc>
      </w:tr>
      <w:tr w:rsidR="00453D7A" w14:paraId="1A0ECB5F" w14:textId="77777777">
        <w:trPr>
          <w:trHeight w:val="247"/>
        </w:trPr>
        <w:tc>
          <w:tcPr>
            <w:tcW w:w="2586" w:type="dxa"/>
            <w:tcBorders>
              <w:top w:val="single" w:sz="3" w:space="0" w:color="000000"/>
              <w:left w:val="single" w:sz="3" w:space="0" w:color="000000"/>
              <w:bottom w:val="single" w:sz="3" w:space="0" w:color="000000"/>
              <w:right w:val="single" w:sz="3" w:space="0" w:color="000000"/>
            </w:tcBorders>
          </w:tcPr>
          <w:p w14:paraId="439F5550" w14:textId="77777777" w:rsidR="00453D7A" w:rsidRDefault="00000000">
            <w:pPr>
              <w:spacing w:after="0" w:line="259" w:lineRule="auto"/>
              <w:ind w:left="0" w:right="0" w:firstLine="0"/>
              <w:jc w:val="left"/>
            </w:pPr>
            <w:r>
              <w:rPr>
                <w:rFonts w:ascii="Calibri" w:eastAsia="Calibri" w:hAnsi="Calibri" w:cs="Calibri"/>
              </w:rPr>
              <w:t>memory size</w:t>
            </w:r>
          </w:p>
        </w:tc>
        <w:tc>
          <w:tcPr>
            <w:tcW w:w="1130" w:type="dxa"/>
            <w:tcBorders>
              <w:top w:val="single" w:sz="3" w:space="0" w:color="000000"/>
              <w:left w:val="single" w:sz="3" w:space="0" w:color="000000"/>
              <w:bottom w:val="single" w:sz="3" w:space="0" w:color="000000"/>
              <w:right w:val="single" w:sz="3" w:space="0" w:color="000000"/>
            </w:tcBorders>
          </w:tcPr>
          <w:p w14:paraId="5298B880" w14:textId="77777777" w:rsidR="00453D7A" w:rsidRDefault="00000000">
            <w:pPr>
              <w:spacing w:after="0" w:line="259" w:lineRule="auto"/>
              <w:ind w:left="0" w:right="0" w:firstLine="0"/>
              <w:jc w:val="left"/>
            </w:pPr>
            <w:r>
              <w:t>250</w:t>
            </w:r>
          </w:p>
        </w:tc>
        <w:tc>
          <w:tcPr>
            <w:tcW w:w="1202" w:type="dxa"/>
            <w:tcBorders>
              <w:top w:val="single" w:sz="3" w:space="0" w:color="000000"/>
              <w:left w:val="single" w:sz="3" w:space="0" w:color="000000"/>
              <w:bottom w:val="single" w:sz="3" w:space="0" w:color="000000"/>
              <w:right w:val="single" w:sz="3" w:space="0" w:color="000000"/>
            </w:tcBorders>
          </w:tcPr>
          <w:p w14:paraId="47EAE98E" w14:textId="77777777" w:rsidR="00453D7A" w:rsidRDefault="00000000">
            <w:pPr>
              <w:spacing w:after="0" w:line="259" w:lineRule="auto"/>
              <w:ind w:left="0" w:right="0" w:firstLine="0"/>
              <w:jc w:val="left"/>
            </w:pPr>
            <w:r>
              <w:t>Unchanged</w:t>
            </w:r>
          </w:p>
        </w:tc>
      </w:tr>
      <w:tr w:rsidR="00453D7A" w14:paraId="49D1AF0A" w14:textId="77777777">
        <w:trPr>
          <w:trHeight w:val="247"/>
        </w:trPr>
        <w:tc>
          <w:tcPr>
            <w:tcW w:w="2586" w:type="dxa"/>
            <w:tcBorders>
              <w:top w:val="single" w:sz="3" w:space="0" w:color="000000"/>
              <w:left w:val="single" w:sz="3" w:space="0" w:color="000000"/>
              <w:bottom w:val="single" w:sz="3" w:space="0" w:color="000000"/>
              <w:right w:val="single" w:sz="3" w:space="0" w:color="000000"/>
            </w:tcBorders>
          </w:tcPr>
          <w:p w14:paraId="449CCCBC" w14:textId="77777777" w:rsidR="00453D7A" w:rsidRDefault="00000000">
            <w:pPr>
              <w:spacing w:after="0" w:line="259" w:lineRule="auto"/>
              <w:ind w:left="0" w:right="0" w:firstLine="0"/>
              <w:jc w:val="left"/>
            </w:pPr>
            <w:r>
              <w:rPr>
                <w:rFonts w:ascii="Calibri" w:eastAsia="Calibri" w:hAnsi="Calibri" w:cs="Calibri"/>
              </w:rPr>
              <w:t>target update freq</w:t>
            </w:r>
          </w:p>
        </w:tc>
        <w:tc>
          <w:tcPr>
            <w:tcW w:w="1130" w:type="dxa"/>
            <w:tcBorders>
              <w:top w:val="single" w:sz="3" w:space="0" w:color="000000"/>
              <w:left w:val="single" w:sz="3" w:space="0" w:color="000000"/>
              <w:bottom w:val="single" w:sz="3" w:space="0" w:color="000000"/>
              <w:right w:val="single" w:sz="3" w:space="0" w:color="000000"/>
            </w:tcBorders>
          </w:tcPr>
          <w:p w14:paraId="4E671E3D" w14:textId="77777777" w:rsidR="00453D7A" w:rsidRDefault="00000000">
            <w:pPr>
              <w:spacing w:after="0" w:line="259" w:lineRule="auto"/>
              <w:ind w:left="0" w:right="0" w:firstLine="0"/>
              <w:jc w:val="left"/>
            </w:pPr>
            <w:r>
              <w:t>20</w:t>
            </w:r>
          </w:p>
        </w:tc>
        <w:tc>
          <w:tcPr>
            <w:tcW w:w="1202" w:type="dxa"/>
            <w:tcBorders>
              <w:top w:val="single" w:sz="3" w:space="0" w:color="000000"/>
              <w:left w:val="single" w:sz="3" w:space="0" w:color="000000"/>
              <w:bottom w:val="single" w:sz="3" w:space="0" w:color="000000"/>
              <w:right w:val="single" w:sz="3" w:space="0" w:color="000000"/>
            </w:tcBorders>
          </w:tcPr>
          <w:p w14:paraId="64FFF11C" w14:textId="77777777" w:rsidR="00453D7A" w:rsidRDefault="00000000">
            <w:pPr>
              <w:spacing w:after="0" w:line="259" w:lineRule="auto"/>
              <w:ind w:left="0" w:right="0" w:firstLine="0"/>
              <w:jc w:val="left"/>
            </w:pPr>
            <w:r>
              <w:t>Unchanged</w:t>
            </w:r>
          </w:p>
        </w:tc>
      </w:tr>
      <w:tr w:rsidR="00453D7A" w14:paraId="3F99C5A2" w14:textId="77777777">
        <w:trPr>
          <w:trHeight w:val="247"/>
        </w:trPr>
        <w:tc>
          <w:tcPr>
            <w:tcW w:w="2586" w:type="dxa"/>
            <w:tcBorders>
              <w:top w:val="single" w:sz="3" w:space="0" w:color="000000"/>
              <w:left w:val="single" w:sz="3" w:space="0" w:color="000000"/>
              <w:bottom w:val="single" w:sz="3" w:space="0" w:color="000000"/>
              <w:right w:val="single" w:sz="3" w:space="0" w:color="000000"/>
            </w:tcBorders>
          </w:tcPr>
          <w:p w14:paraId="0C34F3BE" w14:textId="77777777" w:rsidR="00453D7A" w:rsidRDefault="00000000">
            <w:pPr>
              <w:spacing w:after="0" w:line="259" w:lineRule="auto"/>
              <w:ind w:left="0" w:right="0" w:firstLine="0"/>
              <w:jc w:val="left"/>
            </w:pPr>
            <w:r>
              <w:rPr>
                <w:rFonts w:ascii="Calibri" w:eastAsia="Calibri" w:hAnsi="Calibri" w:cs="Calibri"/>
              </w:rPr>
              <w:t>early stopping patience</w:t>
            </w:r>
          </w:p>
        </w:tc>
        <w:tc>
          <w:tcPr>
            <w:tcW w:w="1130" w:type="dxa"/>
            <w:tcBorders>
              <w:top w:val="single" w:sz="3" w:space="0" w:color="000000"/>
              <w:left w:val="single" w:sz="3" w:space="0" w:color="000000"/>
              <w:bottom w:val="single" w:sz="3" w:space="0" w:color="000000"/>
              <w:right w:val="single" w:sz="3" w:space="0" w:color="000000"/>
            </w:tcBorders>
          </w:tcPr>
          <w:p w14:paraId="66778315" w14:textId="77777777" w:rsidR="00453D7A" w:rsidRDefault="00000000">
            <w:pPr>
              <w:spacing w:after="0" w:line="259" w:lineRule="auto"/>
              <w:ind w:left="0" w:right="0" w:firstLine="0"/>
              <w:jc w:val="left"/>
            </w:pPr>
            <w:r>
              <w:t>10</w:t>
            </w:r>
          </w:p>
        </w:tc>
        <w:tc>
          <w:tcPr>
            <w:tcW w:w="1202" w:type="dxa"/>
            <w:tcBorders>
              <w:top w:val="single" w:sz="3" w:space="0" w:color="000000"/>
              <w:left w:val="single" w:sz="3" w:space="0" w:color="000000"/>
              <w:bottom w:val="single" w:sz="3" w:space="0" w:color="000000"/>
              <w:right w:val="single" w:sz="3" w:space="0" w:color="000000"/>
            </w:tcBorders>
          </w:tcPr>
          <w:p w14:paraId="11ECAC46" w14:textId="77777777" w:rsidR="00453D7A" w:rsidRDefault="00000000">
            <w:pPr>
              <w:spacing w:after="0" w:line="259" w:lineRule="auto"/>
              <w:ind w:left="0" w:right="0" w:firstLine="0"/>
              <w:jc w:val="left"/>
            </w:pPr>
            <w:r>
              <w:t>Added</w:t>
            </w:r>
          </w:p>
        </w:tc>
      </w:tr>
    </w:tbl>
    <w:p w14:paraId="093FA747" w14:textId="77777777" w:rsidR="00453D7A" w:rsidRDefault="00000000">
      <w:pPr>
        <w:pStyle w:val="Heading2"/>
        <w:ind w:left="598" w:hanging="613"/>
      </w:pPr>
      <w:r>
        <w:t>Observed Trade-</w:t>
      </w:r>
      <w:commentRangeStart w:id="9"/>
      <w:r>
        <w:t>offs</w:t>
      </w:r>
      <w:commentRangeEnd w:id="9"/>
      <w:r w:rsidR="00374476">
        <w:rPr>
          <w:rStyle w:val="CommentReference"/>
          <w:sz w:val="24"/>
          <w:szCs w:val="24"/>
        </w:rPr>
        <w:commentReference w:id="9"/>
      </w:r>
    </w:p>
    <w:p w14:paraId="6A0116F2" w14:textId="77777777" w:rsidR="00453D7A" w:rsidRDefault="00000000">
      <w:pPr>
        <w:ind w:left="-5" w:right="900"/>
      </w:pPr>
      <w:r>
        <w:rPr>
          <w:b/>
        </w:rPr>
        <w:t xml:space="preserve">Performance. </w:t>
      </w:r>
      <w:r>
        <w:t>XGBoost outperformed the DQN on the test set (0.7739 vs 0.6329). The default XGBoost configuration proved immediately effective, with grid search yielding no improvement on the test set. The DQN required significant tuning effort to reach a competitive range, and even after scaling hyperparameters to the dataset size, it did not match XGBoost.</w:t>
      </w:r>
    </w:p>
    <w:p w14:paraId="46DA3F0B" w14:textId="77777777" w:rsidR="00453D7A" w:rsidRDefault="00000000">
      <w:pPr>
        <w:ind w:left="-15" w:right="900" w:firstLine="299"/>
      </w:pPr>
      <w:r>
        <w:rPr>
          <w:b/>
        </w:rPr>
        <w:t xml:space="preserve">Training complexity. </w:t>
      </w:r>
      <w:r>
        <w:t>XGBoost was straightforward to configure and train. The DQN required careful design of the reward function, management of the replay buffer, epsilon decay scheduling, and early stopping, all of which added implementation complexity. The scaling issue encountered in Iteration 1 illustrates that RL hyperparameters designed for small datasets do not transfer directly to large-scale tabular data.</w:t>
      </w:r>
    </w:p>
    <w:p w14:paraId="3DB16FE0" w14:textId="77777777" w:rsidR="00453D7A" w:rsidRDefault="00000000">
      <w:pPr>
        <w:ind w:left="-15" w:right="900" w:firstLine="299"/>
      </w:pPr>
      <w:r>
        <w:rPr>
          <w:b/>
        </w:rPr>
        <w:t xml:space="preserve">Explainability. </w:t>
      </w:r>
      <w:r>
        <w:t xml:space="preserve">XGBoost is inherently more interpretable, with feature importances directly extractable from the model. The DQN required post-hoc SHAP analysis to provide equivalent explanations. Both models were successfully interpreted using SHAP, satisfying the explainability requirement imposed by the Wwft </w:t>
      </w:r>
      <w:r>
        <w:rPr>
          <w:color w:val="0000FF"/>
        </w:rPr>
        <w:t xml:space="preserve">Ministerie van Financi¨en </w:t>
      </w:r>
      <w:r>
        <w:t>(</w:t>
      </w:r>
      <w:r>
        <w:rPr>
          <w:color w:val="0000FF"/>
        </w:rPr>
        <w:t>2008</w:t>
      </w:r>
      <w:r>
        <w:t>).</w:t>
      </w:r>
      <w:r>
        <w:br w:type="page"/>
      </w:r>
    </w:p>
    <w:p w14:paraId="5B1DA6E9" w14:textId="77777777" w:rsidR="00453D7A" w:rsidRDefault="00000000">
      <w:pPr>
        <w:pStyle w:val="Heading1"/>
        <w:ind w:left="469" w:hanging="484"/>
      </w:pPr>
      <w:r>
        <w:lastRenderedPageBreak/>
        <w:t>Evaluation</w:t>
      </w:r>
    </w:p>
    <w:p w14:paraId="1B991DE0" w14:textId="77777777" w:rsidR="00453D7A" w:rsidRDefault="00000000">
      <w:pPr>
        <w:spacing w:after="338"/>
        <w:ind w:left="-5" w:right="900"/>
      </w:pPr>
      <w:r>
        <w:t>This chapter defines the evaluation metric, validation strategy, and baseline used to assess and compare both models, and describes the prototype developed for stakeholder evaluation.</w:t>
      </w:r>
    </w:p>
    <w:p w14:paraId="5C1BDD0F" w14:textId="77777777" w:rsidR="00453D7A" w:rsidRDefault="00000000">
      <w:pPr>
        <w:pStyle w:val="Heading2"/>
        <w:ind w:left="598" w:hanging="613"/>
      </w:pPr>
      <w:r>
        <w:t>Evaluation Metric</w:t>
      </w:r>
    </w:p>
    <w:p w14:paraId="33FC7B9D" w14:textId="77777777" w:rsidR="00453D7A" w:rsidRDefault="00000000">
      <w:pPr>
        <w:spacing w:after="337"/>
        <w:ind w:left="-5" w:right="900"/>
      </w:pPr>
      <w:r>
        <w:t xml:space="preserve">This research uses the Area Under the Precision-Recall Curve (AUPRC) as the primary evaluation metric for both models. AUPRC was selected for three reasons. First, it is specifically designed for imbalanced datasets, where the minority class (in this case laundering transactions) represents only a small fraction of all transactions. Second, both ING and ABN AMRO use AUPRC as their primary evaluation metric in production </w:t>
      </w:r>
      <w:r>
        <w:rPr>
          <w:color w:val="0000FF"/>
        </w:rPr>
        <w:t xml:space="preserve">Attard and de Bruijn </w:t>
      </w:r>
      <w:r>
        <w:t>(</w:t>
      </w:r>
      <w:r>
        <w:rPr>
          <w:color w:val="0000FF"/>
        </w:rPr>
        <w:t>2026</w:t>
      </w:r>
      <w:r>
        <w:t xml:space="preserve">); </w:t>
      </w:r>
      <w:r>
        <w:rPr>
          <w:color w:val="0000FF"/>
        </w:rPr>
        <w:t xml:space="preserve">Menon and Nguyen </w:t>
      </w:r>
      <w:r>
        <w:t>(</w:t>
      </w:r>
      <w:r>
        <w:rPr>
          <w:color w:val="0000FF"/>
        </w:rPr>
        <w:t>2026</w:t>
      </w:r>
      <w:r>
        <w:t>), making it the industry standard for AML transaction monitoring in the Netherlands. Third, it evaluates precision and recall simultaneously across all possible classification thresholds, which is critical in AML where the cost of missing a laundering case and the cost of generating too many false alerts must both be considered.</w:t>
      </w:r>
    </w:p>
    <w:p w14:paraId="781F16D7" w14:textId="77777777" w:rsidR="00453D7A" w:rsidRDefault="00000000">
      <w:pPr>
        <w:pStyle w:val="Heading2"/>
        <w:ind w:left="598" w:hanging="613"/>
      </w:pPr>
      <w:r>
        <w:t>Validation Strategy</w:t>
      </w:r>
    </w:p>
    <w:p w14:paraId="5BBC2A05" w14:textId="77777777" w:rsidR="00453D7A" w:rsidRDefault="00000000">
      <w:pPr>
        <w:ind w:left="-5" w:right="900"/>
      </w:pPr>
      <w:r>
        <w:t>The dataset was split chronologically into a 70% training set, a 15% validation set, and a 15% test set. The validation set was used for hyperparameter tuning during training, while the test set was reserved exclusively for final evaluation. The chronological split ensured that both models were always trained on past transactions and evaluated on future ones, preventing data leakage and reflecting real-world deployment conditions where a model must generalise to transactions it has never seen before.</w:t>
      </w:r>
    </w:p>
    <w:p w14:paraId="5CA4DBA7" w14:textId="77777777" w:rsidR="00453D7A" w:rsidRDefault="00000000">
      <w:pPr>
        <w:spacing w:after="338"/>
        <w:ind w:left="-15" w:right="900" w:firstLine="299"/>
      </w:pPr>
      <w:r>
        <w:t>To ensure reproducibility, all random processes, including model initialisation and stochastic elements of the DQN training process, were controlled by fixing a random seed of 42. Both models were trained and evaluated under identical conditions, using the same dataset, the same splits, and the same evaluation metric, ensuring a fair and reproducible comparison.</w:t>
      </w:r>
    </w:p>
    <w:p w14:paraId="3B8B8DB4" w14:textId="77777777" w:rsidR="00453D7A" w:rsidRDefault="00000000">
      <w:pPr>
        <w:pStyle w:val="Heading2"/>
        <w:ind w:left="598" w:hanging="613"/>
      </w:pPr>
      <w:r>
        <w:t>Baseline Definition</w:t>
      </w:r>
    </w:p>
    <w:p w14:paraId="73C80BC7" w14:textId="77777777" w:rsidR="00453D7A" w:rsidRDefault="00000000">
      <w:pPr>
        <w:spacing w:after="338"/>
        <w:ind w:left="-5" w:right="900"/>
      </w:pPr>
      <w:r>
        <w:t>The XGBoost Iteration 2 model serves as the performance benchmark for this research, having achieved a test AUPRC of 0.7739 on the SAML-D test set. This score represents the current state of the art for this dataset under the experimental conditions of this research. The DQN is considered to outperform the baseline if it achieves a higher AUPRC score under the same conditions. If the DQN does not exceed this threshold, XGBoost remains the stronger approach, which constitutes a valid and informative finding in itself given the absence of prior work comparing these two approaches on AML tabular data.</w:t>
      </w:r>
    </w:p>
    <w:p w14:paraId="5C78C5E1" w14:textId="77777777" w:rsidR="00453D7A" w:rsidRDefault="00000000">
      <w:pPr>
        <w:pStyle w:val="Heading2"/>
        <w:ind w:left="598" w:hanging="613"/>
      </w:pPr>
      <w:r>
        <w:t xml:space="preserve">Stakeholder </w:t>
      </w:r>
      <w:commentRangeStart w:id="10"/>
      <w:r>
        <w:t>Evaluation</w:t>
      </w:r>
      <w:commentRangeEnd w:id="10"/>
      <w:r w:rsidR="00374476">
        <w:rPr>
          <w:rStyle w:val="CommentReference"/>
          <w:sz w:val="24"/>
          <w:szCs w:val="24"/>
        </w:rPr>
        <w:commentReference w:id="10"/>
      </w:r>
    </w:p>
    <w:p w14:paraId="204C3ADB" w14:textId="77777777" w:rsidR="00453D7A" w:rsidRPr="009132E9" w:rsidRDefault="00000000">
      <w:pPr>
        <w:pStyle w:val="Heading3"/>
        <w:numPr>
          <w:ilvl w:val="0"/>
          <w:numId w:val="0"/>
        </w:numPr>
        <w:spacing w:after="0"/>
        <w:ind w:left="-5" w:right="900"/>
        <w:rPr>
          <w:lang w:val="nl-NL"/>
        </w:rPr>
      </w:pPr>
      <w:r w:rsidRPr="009132E9">
        <w:rPr>
          <w:lang w:val="nl-NL"/>
        </w:rPr>
        <w:t>ER HEEFT NOG GEEN EVALUATIE PLAATSGEVONDEN EN DE PROTOTYPE IS OOK NOG NIET AF</w:t>
      </w:r>
    </w:p>
    <w:p w14:paraId="277AAF8A" w14:textId="77777777" w:rsidR="00453D7A" w:rsidRDefault="00000000">
      <w:pPr>
        <w:ind w:left="-15" w:right="900" w:firstLine="299"/>
      </w:pPr>
      <w:r>
        <w:t>To evaluate whether the model outputs are interpretable and practically useful from an investigator’s perspective, the results will be presented to De Lage Landen (DLL), a financial services company based in the Netherlands with an active AML department.</w:t>
      </w:r>
    </w:p>
    <w:p w14:paraId="28ACFBA7" w14:textId="77777777" w:rsidR="00453D7A" w:rsidRDefault="00000000">
      <w:pPr>
        <w:ind w:left="-15" w:right="900" w:firstLine="299"/>
      </w:pPr>
      <w:r>
        <w:t xml:space="preserve">The evaluation will make use of an interactive dashboard prototype developed to present the results of both models in a format accessible to non-technical investigators. The prototype consists of three components. A precision-recall threshold slider allows the user to interactively adjust the classification threshold for both models and observe in real time how precision and recall change as a result, directly mirroring the operational practice at ING and ABN AMRO </w:t>
      </w:r>
      <w:r>
        <w:rPr>
          <w:color w:val="0000FF"/>
        </w:rPr>
        <w:t xml:space="preserve">Attard and de Bruijn </w:t>
      </w:r>
      <w:r>
        <w:t>(</w:t>
      </w:r>
      <w:r>
        <w:rPr>
          <w:color w:val="0000FF"/>
        </w:rPr>
        <w:t>2026</w:t>
      </w:r>
      <w:r>
        <w:t xml:space="preserve">); </w:t>
      </w:r>
      <w:r>
        <w:rPr>
          <w:color w:val="0000FF"/>
        </w:rPr>
        <w:t xml:space="preserve">Menon and Nguyen </w:t>
      </w:r>
      <w:r>
        <w:t>(</w:t>
      </w:r>
      <w:r>
        <w:rPr>
          <w:color w:val="0000FF"/>
        </w:rPr>
        <w:t>2026</w:t>
      </w:r>
      <w:r>
        <w:t xml:space="preserve">). SHAP-based explanations are presented per flagged transaction in a non-technical format, showing which features contributed most to the model’s decision in accordance with the Wwft </w:t>
      </w:r>
      <w:r>
        <w:rPr>
          <w:color w:val="0000FF"/>
        </w:rPr>
        <w:t xml:space="preserve">Ministerie van Financi¨en </w:t>
      </w:r>
      <w:r>
        <w:t>(</w:t>
      </w:r>
      <w:r>
        <w:rPr>
          <w:color w:val="0000FF"/>
        </w:rPr>
        <w:t>2008</w:t>
      </w:r>
      <w:r>
        <w:t>). A laundering pattern breakdown shows which of the 17 suspicious typologies in SAML-D were detected by each model and which were missed, enabling stakeholders to assess model performance across specific schemes such as smurfing, fan-out, or overinvoicing.</w:t>
      </w:r>
    </w:p>
    <w:p w14:paraId="0F3F0A31" w14:textId="77777777" w:rsidR="00453D7A" w:rsidRDefault="00000000">
      <w:pPr>
        <w:ind w:left="-15" w:right="900" w:firstLine="299"/>
      </w:pPr>
      <w:r>
        <w:t>Stakeholder feedback will be used to assess whether the model outputs are interpretable and practically useful from an investigator’s perspective.</w:t>
      </w:r>
      <w:r>
        <w:br w:type="page"/>
      </w:r>
    </w:p>
    <w:p w14:paraId="0076A916" w14:textId="77777777" w:rsidR="00453D7A" w:rsidRDefault="00000000">
      <w:pPr>
        <w:pStyle w:val="Heading1"/>
        <w:ind w:left="469" w:hanging="484"/>
      </w:pPr>
      <w:r>
        <w:lastRenderedPageBreak/>
        <w:t>Results</w:t>
      </w:r>
    </w:p>
    <w:p w14:paraId="634155B5" w14:textId="77777777" w:rsidR="00453D7A" w:rsidRDefault="00000000">
      <w:pPr>
        <w:spacing w:after="338"/>
        <w:ind w:left="-5" w:right="900"/>
      </w:pPr>
      <w:r>
        <w:t>This chapter presents the results of both models across all evaluated quality criteria and the stakeholder evaluation.</w:t>
      </w:r>
    </w:p>
    <w:p w14:paraId="5C81DABE" w14:textId="77777777" w:rsidR="00453D7A" w:rsidRDefault="00000000">
      <w:pPr>
        <w:pStyle w:val="Heading2"/>
        <w:ind w:left="598" w:hanging="613"/>
      </w:pPr>
      <w:r>
        <w:t>Model Quality Evaluation</w:t>
      </w:r>
    </w:p>
    <w:p w14:paraId="7CB19618" w14:textId="77777777" w:rsidR="00453D7A" w:rsidRDefault="00000000">
      <w:pPr>
        <w:spacing w:after="293"/>
        <w:ind w:left="-5" w:right="900"/>
      </w:pPr>
      <w:r>
        <w:t>Both models are evaluated on the following quality criteria: performance, explainability, model complexity, and resource demand. Out of scope are robustness and scalability, as both require testing across multiple datasets or varying data volumes, which this research does not support given its reliance on a single dataset.</w:t>
      </w:r>
    </w:p>
    <w:p w14:paraId="43D80636" w14:textId="77777777" w:rsidR="00453D7A" w:rsidRDefault="00000000">
      <w:pPr>
        <w:pStyle w:val="Heading3"/>
        <w:ind w:left="685" w:right="900" w:hanging="700"/>
      </w:pPr>
      <w:r>
        <w:t>Performance</w:t>
      </w:r>
    </w:p>
    <w:p w14:paraId="51732A3F" w14:textId="77777777" w:rsidR="00453D7A" w:rsidRDefault="00000000">
      <w:pPr>
        <w:spacing w:after="394"/>
        <w:ind w:left="-5" w:right="900"/>
      </w:pPr>
      <w:r>
        <w:t xml:space="preserve">Table </w:t>
      </w:r>
      <w:r>
        <w:rPr>
          <w:color w:val="0000FF"/>
        </w:rPr>
        <w:t xml:space="preserve">16 </w:t>
      </w:r>
      <w:r>
        <w:t>presents the AUPRC scores for all four model iterations across validation and test sets.</w:t>
      </w:r>
    </w:p>
    <w:p w14:paraId="4A288A8D" w14:textId="77777777" w:rsidR="00453D7A" w:rsidRDefault="00000000">
      <w:pPr>
        <w:spacing w:after="0" w:line="265" w:lineRule="auto"/>
        <w:ind w:right="915"/>
        <w:jc w:val="center"/>
      </w:pPr>
      <w:r>
        <w:t>Table 16: AUPRC results for all iterations</w:t>
      </w:r>
    </w:p>
    <w:tbl>
      <w:tblPr>
        <w:tblStyle w:val="TableGrid"/>
        <w:tblW w:w="6423" w:type="dxa"/>
        <w:tblInd w:w="1208" w:type="dxa"/>
        <w:tblCellMar>
          <w:top w:w="33" w:type="dxa"/>
          <w:left w:w="120" w:type="dxa"/>
          <w:bottom w:w="0" w:type="dxa"/>
          <w:right w:w="120" w:type="dxa"/>
        </w:tblCellMar>
        <w:tblLook w:val="04A0" w:firstRow="1" w:lastRow="0" w:firstColumn="1" w:lastColumn="0" w:noHBand="0" w:noVBand="1"/>
      </w:tblPr>
      <w:tblGrid>
        <w:gridCol w:w="3377"/>
        <w:gridCol w:w="1475"/>
        <w:gridCol w:w="1571"/>
      </w:tblGrid>
      <w:tr w:rsidR="00453D7A" w14:paraId="2015A2DA" w14:textId="77777777">
        <w:trPr>
          <w:trHeight w:val="247"/>
        </w:trPr>
        <w:tc>
          <w:tcPr>
            <w:tcW w:w="3376" w:type="dxa"/>
            <w:tcBorders>
              <w:top w:val="single" w:sz="3" w:space="0" w:color="000000"/>
              <w:left w:val="single" w:sz="3" w:space="0" w:color="000000"/>
              <w:bottom w:val="single" w:sz="3" w:space="0" w:color="000000"/>
              <w:right w:val="single" w:sz="3" w:space="0" w:color="000000"/>
            </w:tcBorders>
          </w:tcPr>
          <w:p w14:paraId="105830FF" w14:textId="77777777" w:rsidR="00453D7A" w:rsidRDefault="00000000">
            <w:pPr>
              <w:spacing w:after="0" w:line="259" w:lineRule="auto"/>
              <w:ind w:left="0" w:right="0" w:firstLine="0"/>
              <w:jc w:val="left"/>
            </w:pPr>
            <w:r>
              <w:rPr>
                <w:b/>
              </w:rPr>
              <w:t>Model</w:t>
            </w:r>
          </w:p>
        </w:tc>
        <w:tc>
          <w:tcPr>
            <w:tcW w:w="1475" w:type="dxa"/>
            <w:tcBorders>
              <w:top w:val="single" w:sz="3" w:space="0" w:color="000000"/>
              <w:left w:val="single" w:sz="3" w:space="0" w:color="000000"/>
              <w:bottom w:val="single" w:sz="3" w:space="0" w:color="000000"/>
              <w:right w:val="single" w:sz="3" w:space="0" w:color="000000"/>
            </w:tcBorders>
          </w:tcPr>
          <w:p w14:paraId="225C5E16" w14:textId="77777777" w:rsidR="00453D7A" w:rsidRDefault="00000000">
            <w:pPr>
              <w:spacing w:after="0" w:line="259" w:lineRule="auto"/>
              <w:ind w:left="0" w:right="0" w:firstLine="0"/>
            </w:pPr>
            <w:r>
              <w:rPr>
                <w:b/>
              </w:rPr>
              <w:t>Val AUPRC</w:t>
            </w:r>
          </w:p>
        </w:tc>
        <w:tc>
          <w:tcPr>
            <w:tcW w:w="1571" w:type="dxa"/>
            <w:tcBorders>
              <w:top w:val="single" w:sz="3" w:space="0" w:color="000000"/>
              <w:left w:val="single" w:sz="3" w:space="0" w:color="000000"/>
              <w:bottom w:val="single" w:sz="3" w:space="0" w:color="000000"/>
              <w:right w:val="single" w:sz="3" w:space="0" w:color="000000"/>
            </w:tcBorders>
          </w:tcPr>
          <w:p w14:paraId="4C92355A" w14:textId="77777777" w:rsidR="00453D7A" w:rsidRDefault="00000000">
            <w:pPr>
              <w:spacing w:after="0" w:line="259" w:lineRule="auto"/>
              <w:ind w:left="0" w:right="0" w:firstLine="0"/>
            </w:pPr>
            <w:r>
              <w:rPr>
                <w:b/>
              </w:rPr>
              <w:t>Test AUPRC</w:t>
            </w:r>
          </w:p>
        </w:tc>
      </w:tr>
      <w:tr w:rsidR="00453D7A" w14:paraId="786C2D43" w14:textId="77777777">
        <w:trPr>
          <w:trHeight w:val="247"/>
        </w:trPr>
        <w:tc>
          <w:tcPr>
            <w:tcW w:w="3376" w:type="dxa"/>
            <w:tcBorders>
              <w:top w:val="single" w:sz="3" w:space="0" w:color="000000"/>
              <w:left w:val="single" w:sz="3" w:space="0" w:color="000000"/>
              <w:bottom w:val="single" w:sz="3" w:space="0" w:color="000000"/>
              <w:right w:val="single" w:sz="3" w:space="0" w:color="000000"/>
            </w:tcBorders>
          </w:tcPr>
          <w:p w14:paraId="791540E9" w14:textId="77777777" w:rsidR="00453D7A" w:rsidRDefault="00000000">
            <w:pPr>
              <w:spacing w:after="0" w:line="259" w:lineRule="auto"/>
              <w:ind w:left="0" w:right="0" w:firstLine="0"/>
              <w:jc w:val="left"/>
            </w:pPr>
            <w:r>
              <w:t>XGBoost Iteration 1 (defaults)</w:t>
            </w:r>
          </w:p>
        </w:tc>
        <w:tc>
          <w:tcPr>
            <w:tcW w:w="1475" w:type="dxa"/>
            <w:tcBorders>
              <w:top w:val="single" w:sz="3" w:space="0" w:color="000000"/>
              <w:left w:val="single" w:sz="3" w:space="0" w:color="000000"/>
              <w:bottom w:val="single" w:sz="3" w:space="0" w:color="000000"/>
              <w:right w:val="single" w:sz="3" w:space="0" w:color="000000"/>
            </w:tcBorders>
          </w:tcPr>
          <w:p w14:paraId="3F6821EE" w14:textId="77777777" w:rsidR="00453D7A" w:rsidRDefault="00000000">
            <w:pPr>
              <w:spacing w:after="0" w:line="259" w:lineRule="auto"/>
              <w:ind w:left="0" w:right="0" w:firstLine="0"/>
              <w:jc w:val="left"/>
            </w:pPr>
            <w:r>
              <w:t>0.7673</w:t>
            </w:r>
          </w:p>
        </w:tc>
        <w:tc>
          <w:tcPr>
            <w:tcW w:w="1571" w:type="dxa"/>
            <w:tcBorders>
              <w:top w:val="single" w:sz="3" w:space="0" w:color="000000"/>
              <w:left w:val="single" w:sz="3" w:space="0" w:color="000000"/>
              <w:bottom w:val="single" w:sz="3" w:space="0" w:color="000000"/>
              <w:right w:val="single" w:sz="3" w:space="0" w:color="000000"/>
            </w:tcBorders>
          </w:tcPr>
          <w:p w14:paraId="18EA87E5" w14:textId="77777777" w:rsidR="00453D7A" w:rsidRDefault="00000000">
            <w:pPr>
              <w:spacing w:after="0" w:line="259" w:lineRule="auto"/>
              <w:ind w:left="0" w:right="0" w:firstLine="0"/>
              <w:jc w:val="left"/>
            </w:pPr>
            <w:r>
              <w:t>0.7739</w:t>
            </w:r>
          </w:p>
        </w:tc>
      </w:tr>
      <w:tr w:rsidR="00453D7A" w14:paraId="662D9EF2" w14:textId="77777777">
        <w:trPr>
          <w:trHeight w:val="247"/>
        </w:trPr>
        <w:tc>
          <w:tcPr>
            <w:tcW w:w="3376" w:type="dxa"/>
            <w:tcBorders>
              <w:top w:val="single" w:sz="3" w:space="0" w:color="000000"/>
              <w:left w:val="single" w:sz="3" w:space="0" w:color="000000"/>
              <w:bottom w:val="single" w:sz="3" w:space="0" w:color="000000"/>
              <w:right w:val="single" w:sz="3" w:space="0" w:color="000000"/>
            </w:tcBorders>
          </w:tcPr>
          <w:p w14:paraId="691151B5" w14:textId="77777777" w:rsidR="00453D7A" w:rsidRDefault="00000000">
            <w:pPr>
              <w:spacing w:after="0" w:line="259" w:lineRule="auto"/>
              <w:ind w:left="0" w:right="0" w:firstLine="0"/>
              <w:jc w:val="left"/>
            </w:pPr>
            <w:r>
              <w:t>XGBoost Iteration 2 (grid search)</w:t>
            </w:r>
          </w:p>
        </w:tc>
        <w:tc>
          <w:tcPr>
            <w:tcW w:w="1475" w:type="dxa"/>
            <w:tcBorders>
              <w:top w:val="single" w:sz="3" w:space="0" w:color="000000"/>
              <w:left w:val="single" w:sz="3" w:space="0" w:color="000000"/>
              <w:bottom w:val="single" w:sz="3" w:space="0" w:color="000000"/>
              <w:right w:val="single" w:sz="3" w:space="0" w:color="000000"/>
            </w:tcBorders>
          </w:tcPr>
          <w:p w14:paraId="58787C05" w14:textId="77777777" w:rsidR="00453D7A" w:rsidRDefault="00000000">
            <w:pPr>
              <w:spacing w:after="0" w:line="259" w:lineRule="auto"/>
              <w:ind w:left="0" w:right="0" w:firstLine="0"/>
              <w:jc w:val="left"/>
            </w:pPr>
            <w:r>
              <w:t>0.7704</w:t>
            </w:r>
          </w:p>
        </w:tc>
        <w:tc>
          <w:tcPr>
            <w:tcW w:w="1571" w:type="dxa"/>
            <w:tcBorders>
              <w:top w:val="single" w:sz="3" w:space="0" w:color="000000"/>
              <w:left w:val="single" w:sz="3" w:space="0" w:color="000000"/>
              <w:bottom w:val="single" w:sz="3" w:space="0" w:color="000000"/>
              <w:right w:val="single" w:sz="3" w:space="0" w:color="000000"/>
            </w:tcBorders>
          </w:tcPr>
          <w:p w14:paraId="213AC1E8" w14:textId="77777777" w:rsidR="00453D7A" w:rsidRDefault="00000000">
            <w:pPr>
              <w:spacing w:after="0" w:line="259" w:lineRule="auto"/>
              <w:ind w:left="0" w:right="0" w:firstLine="0"/>
              <w:jc w:val="left"/>
            </w:pPr>
            <w:r>
              <w:t>0.7739</w:t>
            </w:r>
          </w:p>
        </w:tc>
      </w:tr>
      <w:tr w:rsidR="00453D7A" w14:paraId="111A1923" w14:textId="77777777">
        <w:trPr>
          <w:trHeight w:val="247"/>
        </w:trPr>
        <w:tc>
          <w:tcPr>
            <w:tcW w:w="3376" w:type="dxa"/>
            <w:tcBorders>
              <w:top w:val="single" w:sz="3" w:space="0" w:color="000000"/>
              <w:left w:val="single" w:sz="3" w:space="0" w:color="000000"/>
              <w:bottom w:val="single" w:sz="3" w:space="0" w:color="000000"/>
              <w:right w:val="single" w:sz="3" w:space="0" w:color="000000"/>
            </w:tcBorders>
          </w:tcPr>
          <w:p w14:paraId="7F37968E" w14:textId="77777777" w:rsidR="00453D7A" w:rsidRDefault="00000000">
            <w:pPr>
              <w:spacing w:after="0" w:line="259" w:lineRule="auto"/>
              <w:ind w:left="0" w:right="0" w:firstLine="0"/>
              <w:jc w:val="left"/>
            </w:pPr>
            <w:r>
              <w:t>DQN Iteration 1 (Qayoom defaults)</w:t>
            </w:r>
          </w:p>
        </w:tc>
        <w:tc>
          <w:tcPr>
            <w:tcW w:w="1475" w:type="dxa"/>
            <w:tcBorders>
              <w:top w:val="single" w:sz="3" w:space="0" w:color="000000"/>
              <w:left w:val="single" w:sz="3" w:space="0" w:color="000000"/>
              <w:bottom w:val="single" w:sz="3" w:space="0" w:color="000000"/>
              <w:right w:val="single" w:sz="3" w:space="0" w:color="000000"/>
            </w:tcBorders>
          </w:tcPr>
          <w:p w14:paraId="1297D454" w14:textId="77777777" w:rsidR="00453D7A" w:rsidRDefault="00000000">
            <w:pPr>
              <w:spacing w:after="0" w:line="259" w:lineRule="auto"/>
              <w:ind w:left="0" w:right="0" w:firstLine="0"/>
              <w:jc w:val="left"/>
            </w:pPr>
            <w:r>
              <w:t>0.2501</w:t>
            </w:r>
          </w:p>
        </w:tc>
        <w:tc>
          <w:tcPr>
            <w:tcW w:w="1571" w:type="dxa"/>
            <w:tcBorders>
              <w:top w:val="single" w:sz="3" w:space="0" w:color="000000"/>
              <w:left w:val="single" w:sz="3" w:space="0" w:color="000000"/>
              <w:bottom w:val="single" w:sz="3" w:space="0" w:color="000000"/>
              <w:right w:val="single" w:sz="3" w:space="0" w:color="000000"/>
            </w:tcBorders>
          </w:tcPr>
          <w:p w14:paraId="65B94F0A" w14:textId="77777777" w:rsidR="00453D7A" w:rsidRDefault="00000000">
            <w:pPr>
              <w:spacing w:after="0" w:line="259" w:lineRule="auto"/>
              <w:ind w:left="0" w:right="0" w:firstLine="0"/>
              <w:jc w:val="left"/>
            </w:pPr>
            <w:r>
              <w:t>0.3388</w:t>
            </w:r>
          </w:p>
        </w:tc>
      </w:tr>
      <w:tr w:rsidR="00453D7A" w14:paraId="156B59EC" w14:textId="77777777">
        <w:trPr>
          <w:trHeight w:val="247"/>
        </w:trPr>
        <w:tc>
          <w:tcPr>
            <w:tcW w:w="3376" w:type="dxa"/>
            <w:tcBorders>
              <w:top w:val="single" w:sz="3" w:space="0" w:color="000000"/>
              <w:left w:val="single" w:sz="3" w:space="0" w:color="000000"/>
              <w:bottom w:val="single" w:sz="3" w:space="0" w:color="000000"/>
              <w:right w:val="single" w:sz="3" w:space="0" w:color="000000"/>
            </w:tcBorders>
          </w:tcPr>
          <w:p w14:paraId="314319C6" w14:textId="77777777" w:rsidR="00453D7A" w:rsidRDefault="00000000">
            <w:pPr>
              <w:spacing w:after="0" w:line="259" w:lineRule="auto"/>
              <w:ind w:left="0" w:right="0" w:firstLine="0"/>
              <w:jc w:val="left"/>
            </w:pPr>
            <w:r>
              <w:t>DQN Iteration 2 (scaled)</w:t>
            </w:r>
          </w:p>
        </w:tc>
        <w:tc>
          <w:tcPr>
            <w:tcW w:w="1475" w:type="dxa"/>
            <w:tcBorders>
              <w:top w:val="single" w:sz="3" w:space="0" w:color="000000"/>
              <w:left w:val="single" w:sz="3" w:space="0" w:color="000000"/>
              <w:bottom w:val="single" w:sz="3" w:space="0" w:color="000000"/>
              <w:right w:val="single" w:sz="3" w:space="0" w:color="000000"/>
            </w:tcBorders>
          </w:tcPr>
          <w:p w14:paraId="76409466" w14:textId="77777777" w:rsidR="00453D7A" w:rsidRDefault="00000000">
            <w:pPr>
              <w:spacing w:after="0" w:line="259" w:lineRule="auto"/>
              <w:ind w:left="0" w:right="0" w:firstLine="0"/>
              <w:jc w:val="left"/>
            </w:pPr>
            <w:r>
              <w:t>0.5910</w:t>
            </w:r>
          </w:p>
        </w:tc>
        <w:tc>
          <w:tcPr>
            <w:tcW w:w="1571" w:type="dxa"/>
            <w:tcBorders>
              <w:top w:val="single" w:sz="3" w:space="0" w:color="000000"/>
              <w:left w:val="single" w:sz="3" w:space="0" w:color="000000"/>
              <w:bottom w:val="single" w:sz="3" w:space="0" w:color="000000"/>
              <w:right w:val="single" w:sz="3" w:space="0" w:color="000000"/>
            </w:tcBorders>
          </w:tcPr>
          <w:p w14:paraId="2689F43C" w14:textId="77777777" w:rsidR="00453D7A" w:rsidRDefault="00000000">
            <w:pPr>
              <w:spacing w:after="0" w:line="259" w:lineRule="auto"/>
              <w:ind w:left="0" w:right="0" w:firstLine="0"/>
              <w:jc w:val="left"/>
            </w:pPr>
            <w:r>
              <w:t>0.6329</w:t>
            </w:r>
          </w:p>
        </w:tc>
      </w:tr>
    </w:tbl>
    <w:p w14:paraId="52656815" w14:textId="77777777" w:rsidR="00453D7A" w:rsidRDefault="00000000">
      <w:pPr>
        <w:ind w:left="-15" w:right="900" w:firstLine="299"/>
      </w:pPr>
      <w:r>
        <w:t>XGBoost achieved a test AUPRC of 0.7739 in both iterations, indicating that the default configuration was already well-suited to this dataset and that grid search yielded no improvement on the test set. The DQN improved substantially between iterations, from 0.3388 to 0.6329, following the correction of the epsilon decay scaling issue identified in Iteration 1. Despite this improvement, the DQN did not exceed the XGBoost benchmark of 0.7739, falling short by 0.1410 AUPRC points. XGBoost therefore remains the stronger model for AML detection on this dataset.</w:t>
      </w:r>
    </w:p>
    <w:p w14:paraId="1756D40F" w14:textId="77777777" w:rsidR="00453D7A" w:rsidRDefault="00000000">
      <w:pPr>
        <w:spacing w:after="0" w:line="250" w:lineRule="auto"/>
        <w:ind w:left="0" w:right="915" w:firstLine="299"/>
        <w:jc w:val="left"/>
      </w:pPr>
      <w:r>
        <w:t xml:space="preserve">A notable observation is the gap between the DQN Iteration 2 validation AUPRC (0.5910) and its test AUPRC (0.6329). Unlike typical overfitting where test performance drops below validation, here the test score actually exceeds the validation score. This may suggest the test set contains laundering patterns that are slightly easier to detect compared to the validation set. The precision-recall curves for all iterations are shown in Figure </w:t>
      </w:r>
      <w:r>
        <w:rPr>
          <w:color w:val="0000FF"/>
        </w:rPr>
        <w:t>2</w:t>
      </w:r>
      <w:r>
        <w:t>.</w:t>
      </w:r>
    </w:p>
    <w:p w14:paraId="79120289" w14:textId="77777777" w:rsidR="00453D7A" w:rsidRDefault="00000000">
      <w:pPr>
        <w:spacing w:after="539" w:line="259" w:lineRule="auto"/>
        <w:ind w:left="0" w:right="0" w:firstLine="0"/>
        <w:jc w:val="left"/>
      </w:pPr>
      <w:r>
        <w:rPr>
          <w:noProof/>
        </w:rPr>
        <w:lastRenderedPageBreak/>
        <w:drawing>
          <wp:inline distT="0" distB="0" distL="0" distR="0" wp14:anchorId="2151E563" wp14:editId="5DD9D929">
            <wp:extent cx="5612505" cy="3741670"/>
            <wp:effectExtent l="0" t="0" r="0" b="0"/>
            <wp:docPr id="3335" name="Picture 3335"/>
            <wp:cNvGraphicFramePr/>
            <a:graphic xmlns:a="http://schemas.openxmlformats.org/drawingml/2006/main">
              <a:graphicData uri="http://schemas.openxmlformats.org/drawingml/2006/picture">
                <pic:pic xmlns:pic="http://schemas.openxmlformats.org/drawingml/2006/picture">
                  <pic:nvPicPr>
                    <pic:cNvPr id="3335" name="Picture 3335"/>
                    <pic:cNvPicPr/>
                  </pic:nvPicPr>
                  <pic:blipFill>
                    <a:blip r:embed="rId12"/>
                    <a:stretch>
                      <a:fillRect/>
                    </a:stretch>
                  </pic:blipFill>
                  <pic:spPr>
                    <a:xfrm>
                      <a:off x="0" y="0"/>
                      <a:ext cx="5612505" cy="3741670"/>
                    </a:xfrm>
                    <a:prstGeom prst="rect">
                      <a:avLst/>
                    </a:prstGeom>
                  </pic:spPr>
                </pic:pic>
              </a:graphicData>
            </a:graphic>
          </wp:inline>
        </w:drawing>
      </w:r>
    </w:p>
    <w:p w14:paraId="42F83FB9" w14:textId="77777777" w:rsidR="00453D7A" w:rsidRDefault="00000000">
      <w:pPr>
        <w:spacing w:after="341"/>
        <w:ind w:left="518" w:right="900"/>
      </w:pPr>
      <w:r>
        <w:t>Figure 2: AUPRC curves for all trained models (XGBoost iteration 1 and 2 are identical)</w:t>
      </w:r>
    </w:p>
    <w:p w14:paraId="48B18315" w14:textId="77777777" w:rsidR="00453D7A" w:rsidRDefault="00000000">
      <w:pPr>
        <w:pStyle w:val="Heading3"/>
        <w:ind w:left="685" w:right="900" w:hanging="700"/>
      </w:pPr>
      <w:r>
        <w:t>Explainability</w:t>
      </w:r>
    </w:p>
    <w:p w14:paraId="5CFEA587" w14:textId="77777777" w:rsidR="00453D7A" w:rsidRDefault="00000000">
      <w:pPr>
        <w:ind w:left="-5" w:right="900"/>
      </w:pPr>
      <w:r>
        <w:t>SHAP analysis was applied to both the XGBoost Iteration 2 model and the DQN Iteration 2 model, using a fixed sample of 10,000 test transactions (</w:t>
      </w:r>
      <w:r>
        <w:rPr>
          <w:rFonts w:ascii="Calibri" w:eastAsia="Calibri" w:hAnsi="Calibri" w:cs="Calibri"/>
        </w:rPr>
        <w:t>random state=42</w:t>
      </w:r>
      <w:r>
        <w:t>) to ensure reproducibility and comparability across models.</w:t>
      </w:r>
    </w:p>
    <w:p w14:paraId="30211146" w14:textId="77777777" w:rsidR="00453D7A" w:rsidRDefault="00000000">
      <w:pPr>
        <w:ind w:left="309" w:right="900"/>
      </w:pPr>
      <w:r>
        <w:rPr>
          <w:b/>
        </w:rPr>
        <w:t xml:space="preserve">XGBoost SHAP analysis. </w:t>
      </w:r>
      <w:r>
        <w:t xml:space="preserve">Figure </w:t>
      </w:r>
      <w:r>
        <w:rPr>
          <w:color w:val="0000FF"/>
        </w:rPr>
        <w:t xml:space="preserve">3 </w:t>
      </w:r>
      <w:r>
        <w:t>shows the global feature importance for the XGBoost model.</w:t>
      </w:r>
    </w:p>
    <w:p w14:paraId="7FA06D1D" w14:textId="77777777" w:rsidR="00453D7A" w:rsidRDefault="00000000">
      <w:pPr>
        <w:ind w:left="-5" w:right="0"/>
      </w:pPr>
      <w:r>
        <w:t xml:space="preserve">Two features dominate the model’s decisions: </w:t>
      </w:r>
      <w:r>
        <w:rPr>
          <w:rFonts w:ascii="Calibri" w:eastAsia="Calibri" w:hAnsi="Calibri" w:cs="Calibri"/>
        </w:rPr>
        <w:t xml:space="preserve">receiver unique senders </w:t>
      </w:r>
      <w:r>
        <w:t xml:space="preserve">(32.1%) and </w:t>
      </w:r>
      <w:r>
        <w:rPr>
          <w:rFonts w:ascii="Calibri" w:eastAsia="Calibri" w:hAnsi="Calibri" w:cs="Calibri"/>
        </w:rPr>
        <w:t xml:space="preserve">sender unique receivers </w:t>
      </w:r>
      <w:r>
        <w:t xml:space="preserve">(22.1%), together accounting for over half of all model impact. </w:t>
      </w:r>
      <w:r>
        <w:rPr>
          <w:rFonts w:ascii="Calibri" w:eastAsia="Calibri" w:hAnsi="Calibri" w:cs="Calibri"/>
        </w:rPr>
        <w:t xml:space="preserve">receiver </w:t>
      </w:r>
      <w:r>
        <w:rPr>
          <w:rFonts w:ascii="Calibri" w:eastAsia="Calibri" w:hAnsi="Calibri" w:cs="Calibri"/>
          <w:noProof/>
          <w:sz w:val="22"/>
        </w:rPr>
        <mc:AlternateContent>
          <mc:Choice Requires="wpg">
            <w:drawing>
              <wp:inline distT="0" distB="0" distL="0" distR="0" wp14:anchorId="096CDDB4" wp14:editId="3081F3C5">
                <wp:extent cx="39853" cy="5055"/>
                <wp:effectExtent l="0" t="0" r="0" b="0"/>
                <wp:docPr id="45414" name="Group 45414"/>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3363" name="Shape 3363"/>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414" style="width:3.138pt;height:0.398pt;mso-position-horizontal-relative:char;mso-position-vertical-relative:line" coordsize="398,50">
                <v:shape id="Shape 3363"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 xml:space="preserve">tx count </w:t>
      </w:r>
      <w:r>
        <w:t>follows at 11.4%. These three features alone account for 65.6% of the model’s decisions, indicating that XGBoost primarily detects suspicious behaviour through the diversity and volume of an account’s transaction network rather than individual transaction properties such as amount or payment type. This aligns with the layering stage of money laundering, where criminals deliberately spread funds across many accounts to obscure their origin.</w:t>
      </w:r>
    </w:p>
    <w:p w14:paraId="4886E4B3" w14:textId="77777777" w:rsidR="00453D7A" w:rsidRDefault="00000000">
      <w:pPr>
        <w:spacing w:after="539" w:line="259" w:lineRule="auto"/>
        <w:ind w:left="0" w:right="0" w:firstLine="0"/>
        <w:jc w:val="left"/>
      </w:pPr>
      <w:r>
        <w:rPr>
          <w:noProof/>
        </w:rPr>
        <w:lastRenderedPageBreak/>
        <w:drawing>
          <wp:inline distT="0" distB="0" distL="0" distR="0" wp14:anchorId="04719AF2" wp14:editId="1551E93E">
            <wp:extent cx="5612614" cy="3701132"/>
            <wp:effectExtent l="0" t="0" r="0" b="0"/>
            <wp:docPr id="3386" name="Picture 3386"/>
            <wp:cNvGraphicFramePr/>
            <a:graphic xmlns:a="http://schemas.openxmlformats.org/drawingml/2006/main">
              <a:graphicData uri="http://schemas.openxmlformats.org/drawingml/2006/picture">
                <pic:pic xmlns:pic="http://schemas.openxmlformats.org/drawingml/2006/picture">
                  <pic:nvPicPr>
                    <pic:cNvPr id="3386" name="Picture 3386"/>
                    <pic:cNvPicPr/>
                  </pic:nvPicPr>
                  <pic:blipFill>
                    <a:blip r:embed="rId13"/>
                    <a:stretch>
                      <a:fillRect/>
                    </a:stretch>
                  </pic:blipFill>
                  <pic:spPr>
                    <a:xfrm>
                      <a:off x="0" y="0"/>
                      <a:ext cx="5612614" cy="3701132"/>
                    </a:xfrm>
                    <a:prstGeom prst="rect">
                      <a:avLst/>
                    </a:prstGeom>
                  </pic:spPr>
                </pic:pic>
              </a:graphicData>
            </a:graphic>
          </wp:inline>
        </w:drawing>
      </w:r>
    </w:p>
    <w:p w14:paraId="7A0087E8" w14:textId="77777777" w:rsidR="00453D7A" w:rsidRDefault="00000000">
      <w:pPr>
        <w:spacing w:after="282" w:line="265" w:lineRule="auto"/>
        <w:ind w:right="915"/>
        <w:jc w:val="center"/>
      </w:pPr>
      <w:r>
        <w:t>Figure 3: XGBoost iteration 2 feature importance SHAP values in percentage</w:t>
      </w:r>
    </w:p>
    <w:p w14:paraId="016ACA2B" w14:textId="77777777" w:rsidR="00453D7A" w:rsidRDefault="00000000">
      <w:pPr>
        <w:ind w:left="-15" w:right="900" w:firstLine="299"/>
      </w:pPr>
      <w:r>
        <w:rPr>
          <w:b/>
        </w:rPr>
        <w:t xml:space="preserve">DQN SHAP analysis. </w:t>
      </w:r>
      <w:r>
        <w:t xml:space="preserve">Figure </w:t>
      </w:r>
      <w:r>
        <w:rPr>
          <w:color w:val="0000FF"/>
        </w:rPr>
        <w:t xml:space="preserve">4 </w:t>
      </w:r>
      <w:r>
        <w:t xml:space="preserve">shows the global feature importance for the DQN across 10,000 test transactions. Similar to XGBoost, </w:t>
      </w:r>
      <w:r>
        <w:rPr>
          <w:rFonts w:ascii="Calibri" w:eastAsia="Calibri" w:hAnsi="Calibri" w:cs="Calibri"/>
        </w:rPr>
        <w:t xml:space="preserve">receiver </w:t>
      </w:r>
      <w:r>
        <w:rPr>
          <w:rFonts w:ascii="Calibri" w:eastAsia="Calibri" w:hAnsi="Calibri" w:cs="Calibri"/>
          <w:noProof/>
          <w:sz w:val="22"/>
        </w:rPr>
        <mc:AlternateContent>
          <mc:Choice Requires="wpg">
            <w:drawing>
              <wp:inline distT="0" distB="0" distL="0" distR="0" wp14:anchorId="026DB343" wp14:editId="4582CC9C">
                <wp:extent cx="39853" cy="5055"/>
                <wp:effectExtent l="0" t="0" r="0" b="0"/>
                <wp:docPr id="44888" name="Group 44888"/>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3394" name="Shape 3394"/>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888" style="width:3.138pt;height:0.398pt;mso-position-horizontal-relative:char;mso-position-vertical-relative:line" coordsize="398,50">
                <v:shape id="Shape 3394"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 xml:space="preserve">unique senders </w:t>
      </w:r>
      <w:r>
        <w:t xml:space="preserve">is the sole dominant feature at 19.7%, confirming that the number of unique senders to a receiver account is the strongest signal for both models. However, the DQN’s importance is more spread out across features compared to XGBoost, where two features alone accounted for over 54% of model impact. The DQN’s second and third most important features are </w:t>
      </w:r>
      <w:r>
        <w:rPr>
          <w:rFonts w:ascii="Calibri" w:eastAsia="Calibri" w:hAnsi="Calibri" w:cs="Calibri"/>
        </w:rPr>
        <w:t xml:space="preserve">sender amount </w:t>
      </w:r>
      <w:r>
        <w:rPr>
          <w:rFonts w:ascii="Calibri" w:eastAsia="Calibri" w:hAnsi="Calibri" w:cs="Calibri"/>
          <w:noProof/>
          <w:sz w:val="22"/>
        </w:rPr>
        <mc:AlternateContent>
          <mc:Choice Requires="wpg">
            <w:drawing>
              <wp:inline distT="0" distB="0" distL="0" distR="0" wp14:anchorId="45F04A26" wp14:editId="2E597D9B">
                <wp:extent cx="39853" cy="5055"/>
                <wp:effectExtent l="0" t="0" r="0" b="0"/>
                <wp:docPr id="44889" name="Group 44889"/>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3406" name="Shape 3406"/>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889" style="width:3.138pt;height:0.398pt;mso-position-horizontal-relative:char;mso-position-vertical-relative:line" coordsize="398,50">
                <v:shape id="Shape 3406"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 xml:space="preserve">min </w:t>
      </w:r>
      <w:r>
        <w:t xml:space="preserve">(8.8%) and </w:t>
      </w:r>
      <w:r>
        <w:rPr>
          <w:rFonts w:ascii="Calibri" w:eastAsia="Calibri" w:hAnsi="Calibri" w:cs="Calibri"/>
        </w:rPr>
        <w:t xml:space="preserve">sender amount std </w:t>
      </w:r>
      <w:r>
        <w:t>(7.2%), indicating the DQN pays more attention to the variability and minimum value of a sender’s transaction amounts. Notably, the DQN’s feature set includes one-hot encoded payment type columns such as</w:t>
      </w:r>
    </w:p>
    <w:p w14:paraId="78DA82E6" w14:textId="77777777" w:rsidR="00453D7A" w:rsidRDefault="00000000">
      <w:pPr>
        <w:ind w:left="-5" w:right="900"/>
      </w:pPr>
      <w:r>
        <w:rPr>
          <w:rFonts w:ascii="Calibri" w:eastAsia="Calibri" w:hAnsi="Calibri" w:cs="Calibri"/>
        </w:rPr>
        <w:t xml:space="preserve">Payment </w:t>
      </w:r>
      <w:r>
        <w:rPr>
          <w:rFonts w:ascii="Calibri" w:eastAsia="Calibri" w:hAnsi="Calibri" w:cs="Calibri"/>
          <w:noProof/>
          <w:sz w:val="22"/>
        </w:rPr>
        <mc:AlternateContent>
          <mc:Choice Requires="wpg">
            <w:drawing>
              <wp:inline distT="0" distB="0" distL="0" distR="0" wp14:anchorId="3A346911" wp14:editId="07AF8F24">
                <wp:extent cx="39853" cy="5055"/>
                <wp:effectExtent l="0" t="0" r="0" b="0"/>
                <wp:docPr id="44890" name="Group 44890"/>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3418" name="Shape 3418"/>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890" style="width:3.138pt;height:0.398pt;mso-position-horizontal-relative:char;mso-position-vertical-relative:line" coordsize="398,50">
                <v:shape id="Shape 3418"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 xml:space="preserve">type Debit card </w:t>
      </w:r>
      <w:r>
        <w:t xml:space="preserve">and </w:t>
      </w:r>
      <w:r>
        <w:rPr>
          <w:rFonts w:ascii="Calibri" w:eastAsia="Calibri" w:hAnsi="Calibri" w:cs="Calibri"/>
        </w:rPr>
        <w:t>Payment type Cash Deposit</w:t>
      </w:r>
      <w:r>
        <w:t xml:space="preserve">, which appear individually in the ranking since the DQN required numeric input, whereas XGBoost handled </w:t>
      </w:r>
      <w:r>
        <w:rPr>
          <w:rFonts w:ascii="Calibri" w:eastAsia="Calibri" w:hAnsi="Calibri" w:cs="Calibri"/>
        </w:rPr>
        <w:t xml:space="preserve">Payment type </w:t>
      </w:r>
      <w:r>
        <w:t>as a single categorical feature.</w:t>
      </w:r>
    </w:p>
    <w:p w14:paraId="71DCA2FF" w14:textId="77777777" w:rsidR="00453D7A" w:rsidRDefault="00000000">
      <w:pPr>
        <w:spacing w:after="539" w:line="259" w:lineRule="auto"/>
        <w:ind w:left="0" w:right="0" w:firstLine="0"/>
        <w:jc w:val="left"/>
      </w:pPr>
      <w:r>
        <w:rPr>
          <w:noProof/>
        </w:rPr>
        <w:lastRenderedPageBreak/>
        <w:drawing>
          <wp:inline distT="0" distB="0" distL="0" distR="0" wp14:anchorId="75130302" wp14:editId="756766FF">
            <wp:extent cx="5612426" cy="5662912"/>
            <wp:effectExtent l="0" t="0" r="0" b="0"/>
            <wp:docPr id="3450" name="Picture 3450"/>
            <wp:cNvGraphicFramePr/>
            <a:graphic xmlns:a="http://schemas.openxmlformats.org/drawingml/2006/main">
              <a:graphicData uri="http://schemas.openxmlformats.org/drawingml/2006/picture">
                <pic:pic xmlns:pic="http://schemas.openxmlformats.org/drawingml/2006/picture">
                  <pic:nvPicPr>
                    <pic:cNvPr id="3450" name="Picture 3450"/>
                    <pic:cNvPicPr/>
                  </pic:nvPicPr>
                  <pic:blipFill>
                    <a:blip r:embed="rId14"/>
                    <a:stretch>
                      <a:fillRect/>
                    </a:stretch>
                  </pic:blipFill>
                  <pic:spPr>
                    <a:xfrm>
                      <a:off x="0" y="0"/>
                      <a:ext cx="5612426" cy="5662912"/>
                    </a:xfrm>
                    <a:prstGeom prst="rect">
                      <a:avLst/>
                    </a:prstGeom>
                  </pic:spPr>
                </pic:pic>
              </a:graphicData>
            </a:graphic>
          </wp:inline>
        </w:drawing>
      </w:r>
    </w:p>
    <w:p w14:paraId="3865F62A" w14:textId="77777777" w:rsidR="00453D7A" w:rsidRDefault="00000000">
      <w:pPr>
        <w:spacing w:after="282" w:line="265" w:lineRule="auto"/>
        <w:ind w:right="981"/>
        <w:jc w:val="center"/>
      </w:pPr>
      <w:r>
        <w:t>Figure 4: DQN iteration 2 feature importance SHAP values in percentage</w:t>
      </w:r>
    </w:p>
    <w:p w14:paraId="3AA187E5" w14:textId="77777777" w:rsidR="00453D7A" w:rsidRDefault="00000000">
      <w:pPr>
        <w:ind w:left="-15" w:right="900" w:firstLine="299"/>
      </w:pPr>
      <w:r>
        <w:rPr>
          <w:b/>
        </w:rPr>
        <w:t xml:space="preserve">Individual transaction explanations. </w:t>
      </w:r>
      <w:r>
        <w:t xml:space="preserve">Both models produce per-transaction SHAP explanations to satisfy the Wwft explainability requirement (Art. 16.2e) </w:t>
      </w:r>
      <w:r>
        <w:rPr>
          <w:color w:val="0000FF"/>
        </w:rPr>
        <w:t xml:space="preserve">Ministerie van Financi¨en </w:t>
      </w:r>
      <w:r>
        <w:t>(</w:t>
      </w:r>
      <w:r>
        <w:rPr>
          <w:color w:val="0000FF"/>
        </w:rPr>
        <w:t>2008</w:t>
      </w:r>
      <w:r>
        <w:t xml:space="preserve">). Each plot shows which features pushed the model towards (pink) or away from (blue) a suspicious classification, providing investigators with a ranked and interpretable explanation for each alert. This is consistent with the operational practice at ABN AMRO, where every alert is accompanied by the top three contributing features </w:t>
      </w:r>
      <w:r>
        <w:rPr>
          <w:color w:val="0000FF"/>
        </w:rPr>
        <w:t xml:space="preserve">Menon and Nguyen </w:t>
      </w:r>
      <w:r>
        <w:t>(</w:t>
      </w:r>
      <w:r>
        <w:rPr>
          <w:color w:val="0000FF"/>
        </w:rPr>
        <w:t>2026</w:t>
      </w:r>
      <w:r>
        <w:t>).</w:t>
      </w:r>
    </w:p>
    <w:p w14:paraId="61E71F7A" w14:textId="77777777" w:rsidR="00453D7A" w:rsidRDefault="00000000">
      <w:pPr>
        <w:ind w:left="-15" w:right="900" w:firstLine="299"/>
      </w:pPr>
      <w:r>
        <w:t xml:space="preserve">Figure </w:t>
      </w:r>
      <w:r>
        <w:rPr>
          <w:color w:val="0000FF"/>
        </w:rPr>
        <w:t xml:space="preserve">5 </w:t>
      </w:r>
      <w:r>
        <w:t xml:space="preserve">shows a laundering transaction correctly flagged by XGBoost with a suspicion score of 1.0. The dominant signal is </w:t>
      </w:r>
      <w:r>
        <w:rPr>
          <w:rFonts w:ascii="Calibri" w:eastAsia="Calibri" w:hAnsi="Calibri" w:cs="Calibri"/>
        </w:rPr>
        <w:t xml:space="preserve">receiver unique senders </w:t>
      </w:r>
      <w:r>
        <w:t xml:space="preserve">= 22 (+54.6%), meaning the receiver account received money from 22 different senders, a strong fan-in pattern. </w:t>
      </w:r>
      <w:r>
        <w:rPr>
          <w:rFonts w:ascii="Calibri" w:eastAsia="Calibri" w:hAnsi="Calibri" w:cs="Calibri"/>
        </w:rPr>
        <w:t xml:space="preserve">sender unique </w:t>
      </w:r>
      <w:r>
        <w:rPr>
          <w:rFonts w:ascii="Calibri" w:eastAsia="Calibri" w:hAnsi="Calibri" w:cs="Calibri"/>
          <w:noProof/>
          <w:sz w:val="22"/>
        </w:rPr>
        <mc:AlternateContent>
          <mc:Choice Requires="wpg">
            <w:drawing>
              <wp:inline distT="0" distB="0" distL="0" distR="0" wp14:anchorId="1AE74DD5" wp14:editId="36A1AE56">
                <wp:extent cx="39853" cy="5055"/>
                <wp:effectExtent l="0" t="0" r="0" b="0"/>
                <wp:docPr id="45748" name="Group 45748"/>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3481" name="Shape 3481"/>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748" style="width:3.138pt;height:0.398pt;mso-position-horizontal-relative:char;mso-position-vertical-relative:line" coordsize="398,50">
                <v:shape id="Shape 3481"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 xml:space="preserve">receivers </w:t>
      </w:r>
      <w:r>
        <w:t xml:space="preserve">= 4 and </w:t>
      </w:r>
      <w:r>
        <w:rPr>
          <w:rFonts w:ascii="Calibri" w:eastAsia="Calibri" w:hAnsi="Calibri" w:cs="Calibri"/>
        </w:rPr>
        <w:t xml:space="preserve">Payment </w:t>
      </w:r>
      <w:r>
        <w:rPr>
          <w:rFonts w:ascii="Calibri" w:eastAsia="Calibri" w:hAnsi="Calibri" w:cs="Calibri"/>
          <w:noProof/>
          <w:sz w:val="22"/>
        </w:rPr>
        <mc:AlternateContent>
          <mc:Choice Requires="wpg">
            <w:drawing>
              <wp:inline distT="0" distB="0" distL="0" distR="0" wp14:anchorId="73A9D76E" wp14:editId="55BA8E05">
                <wp:extent cx="39853" cy="5055"/>
                <wp:effectExtent l="0" t="0" r="0" b="0"/>
                <wp:docPr id="45749" name="Group 45749"/>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3485" name="Shape 3485"/>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749" style="width:3.138pt;height:0.398pt;mso-position-horizontal-relative:char;mso-position-vertical-relative:line" coordsize="398,50">
                <v:shape id="Shape 3485"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 xml:space="preserve">type = Cash Withdrawal </w:t>
      </w:r>
      <w:r>
        <w:t>both contribute an additional 15% each, together painting a clear picture of suspicious network behaviour combined with a high-risk payment method.</w:t>
      </w:r>
    </w:p>
    <w:p w14:paraId="7AAF6980" w14:textId="77777777" w:rsidR="00453D7A" w:rsidRDefault="00000000">
      <w:pPr>
        <w:spacing w:after="539" w:line="259" w:lineRule="auto"/>
        <w:ind w:left="0" w:right="0" w:firstLine="0"/>
        <w:jc w:val="left"/>
      </w:pPr>
      <w:r>
        <w:rPr>
          <w:noProof/>
        </w:rPr>
        <w:lastRenderedPageBreak/>
        <w:drawing>
          <wp:inline distT="0" distB="0" distL="0" distR="0" wp14:anchorId="70E747C8" wp14:editId="73B9A80F">
            <wp:extent cx="5612406" cy="3337208"/>
            <wp:effectExtent l="0" t="0" r="0" b="0"/>
            <wp:docPr id="3504" name="Picture 3504"/>
            <wp:cNvGraphicFramePr/>
            <a:graphic xmlns:a="http://schemas.openxmlformats.org/drawingml/2006/main">
              <a:graphicData uri="http://schemas.openxmlformats.org/drawingml/2006/picture">
                <pic:pic xmlns:pic="http://schemas.openxmlformats.org/drawingml/2006/picture">
                  <pic:nvPicPr>
                    <pic:cNvPr id="3504" name="Picture 3504"/>
                    <pic:cNvPicPr/>
                  </pic:nvPicPr>
                  <pic:blipFill>
                    <a:blip r:embed="rId15"/>
                    <a:stretch>
                      <a:fillRect/>
                    </a:stretch>
                  </pic:blipFill>
                  <pic:spPr>
                    <a:xfrm>
                      <a:off x="0" y="0"/>
                      <a:ext cx="5612406" cy="3337208"/>
                    </a:xfrm>
                    <a:prstGeom prst="rect">
                      <a:avLst/>
                    </a:prstGeom>
                  </pic:spPr>
                </pic:pic>
              </a:graphicData>
            </a:graphic>
          </wp:inline>
        </w:drawing>
      </w:r>
    </w:p>
    <w:p w14:paraId="366F6011" w14:textId="77777777" w:rsidR="00453D7A" w:rsidRDefault="00000000">
      <w:pPr>
        <w:ind w:left="-5" w:right="900"/>
      </w:pPr>
      <w:r>
        <w:t>Figure 5: XGBoost feature contributions for a correctly flagged laundering transaction (suspicion score:</w:t>
      </w:r>
    </w:p>
    <w:p w14:paraId="69C53CB9" w14:textId="77777777" w:rsidR="00453D7A" w:rsidRDefault="00000000">
      <w:pPr>
        <w:spacing w:after="301"/>
        <w:ind w:left="-5" w:right="900"/>
      </w:pPr>
      <w:r>
        <w:t>1.0)</w:t>
      </w:r>
    </w:p>
    <w:p w14:paraId="4EB76929" w14:textId="77777777" w:rsidR="00453D7A" w:rsidRDefault="00000000">
      <w:pPr>
        <w:ind w:left="309" w:right="900"/>
      </w:pPr>
      <w:r>
        <w:t xml:space="preserve">Figure </w:t>
      </w:r>
      <w:r>
        <w:rPr>
          <w:color w:val="0000FF"/>
        </w:rPr>
        <w:t xml:space="preserve">6 </w:t>
      </w:r>
      <w:r>
        <w:t>shows a laundering transaction correctly flagged by the DQN with a suspicion score of</w:t>
      </w:r>
    </w:p>
    <w:p w14:paraId="6D4A2F92" w14:textId="77777777" w:rsidR="00453D7A" w:rsidRDefault="00000000">
      <w:pPr>
        <w:ind w:left="-5" w:right="263"/>
      </w:pPr>
      <w:r>
        <w:t xml:space="preserve">0.8859. The strongest signal is </w:t>
      </w:r>
      <w:r>
        <w:rPr>
          <w:rFonts w:ascii="Calibri" w:eastAsia="Calibri" w:hAnsi="Calibri" w:cs="Calibri"/>
        </w:rPr>
        <w:t xml:space="preserve">Payment type Cash </w:t>
      </w:r>
      <w:r>
        <w:rPr>
          <w:rFonts w:ascii="Calibri" w:eastAsia="Calibri" w:hAnsi="Calibri" w:cs="Calibri"/>
          <w:noProof/>
          <w:sz w:val="22"/>
        </w:rPr>
        <mc:AlternateContent>
          <mc:Choice Requires="wpg">
            <w:drawing>
              <wp:inline distT="0" distB="0" distL="0" distR="0" wp14:anchorId="34713093" wp14:editId="75614B3F">
                <wp:extent cx="39853" cy="5055"/>
                <wp:effectExtent l="0" t="0" r="0" b="0"/>
                <wp:docPr id="45522" name="Group 45522"/>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3516" name="Shape 3516"/>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522" style="width:3.138pt;height:0.398pt;mso-position-horizontal-relative:char;mso-position-vertical-relative:line" coordsize="398,50">
                <v:shape id="Shape 3516"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 xml:space="preserve">Deposit </w:t>
      </w:r>
      <w:r>
        <w:t xml:space="preserve">(+24.0%), followed by </w:t>
      </w:r>
      <w:r>
        <w:rPr>
          <w:rFonts w:ascii="Calibri" w:eastAsia="Calibri" w:hAnsi="Calibri" w:cs="Calibri"/>
        </w:rPr>
        <w:t xml:space="preserve">sender unique </w:t>
      </w:r>
      <w:r>
        <w:rPr>
          <w:rFonts w:ascii="Calibri" w:eastAsia="Calibri" w:hAnsi="Calibri" w:cs="Calibri"/>
          <w:noProof/>
          <w:sz w:val="22"/>
        </w:rPr>
        <mc:AlternateContent>
          <mc:Choice Requires="wpg">
            <w:drawing>
              <wp:inline distT="0" distB="0" distL="0" distR="0" wp14:anchorId="3090938B" wp14:editId="3579054D">
                <wp:extent cx="39852" cy="5055"/>
                <wp:effectExtent l="0" t="0" r="0" b="0"/>
                <wp:docPr id="45523" name="Group 45523"/>
                <wp:cNvGraphicFramePr/>
                <a:graphic xmlns:a="http://schemas.openxmlformats.org/drawingml/2006/main">
                  <a:graphicData uri="http://schemas.microsoft.com/office/word/2010/wordprocessingGroup">
                    <wpg:wgp>
                      <wpg:cNvGrpSpPr/>
                      <wpg:grpSpPr>
                        <a:xfrm>
                          <a:off x="0" y="0"/>
                          <a:ext cx="39852" cy="5055"/>
                          <a:chOff x="0" y="0"/>
                          <a:chExt cx="39852" cy="5055"/>
                        </a:xfrm>
                      </wpg:grpSpPr>
                      <wps:wsp>
                        <wps:cNvPr id="3522" name="Shape 3522"/>
                        <wps:cNvSpPr/>
                        <wps:spPr>
                          <a:xfrm>
                            <a:off x="0" y="0"/>
                            <a:ext cx="39852" cy="0"/>
                          </a:xfrm>
                          <a:custGeom>
                            <a:avLst/>
                            <a:gdLst/>
                            <a:ahLst/>
                            <a:cxnLst/>
                            <a:rect l="0" t="0" r="0" b="0"/>
                            <a:pathLst>
                              <a:path w="39852">
                                <a:moveTo>
                                  <a:pt x="0" y="0"/>
                                </a:moveTo>
                                <a:lnTo>
                                  <a:pt x="398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523" style="width:3.13797pt;height:0.398pt;mso-position-horizontal-relative:char;mso-position-vertical-relative:line" coordsize="398,50">
                <v:shape id="Shape 3522" style="position:absolute;width:398;height:0;left:0;top:0;" coordsize="39852,0" path="m0,0l39852,0">
                  <v:stroke weight="0.398pt" endcap="flat" joinstyle="miter" miterlimit="10" on="true" color="#000000"/>
                  <v:fill on="false" color="#000000" opacity="0"/>
                </v:shape>
              </v:group>
            </w:pict>
          </mc:Fallback>
        </mc:AlternateContent>
      </w:r>
      <w:r>
        <w:rPr>
          <w:rFonts w:ascii="Calibri" w:eastAsia="Calibri" w:hAnsi="Calibri" w:cs="Calibri"/>
        </w:rPr>
        <w:t xml:space="preserve">receivers </w:t>
      </w:r>
      <w:r>
        <w:t xml:space="preserve">(+8.1%) and </w:t>
      </w:r>
      <w:r>
        <w:rPr>
          <w:rFonts w:ascii="Calibri" w:eastAsia="Calibri" w:hAnsi="Calibri" w:cs="Calibri"/>
        </w:rPr>
        <w:t xml:space="preserve">sender amount min </w:t>
      </w:r>
      <w:r>
        <w:t>(+7.3%). Unlike XGBoost, the DQN places significant weight on the payment type itself rather than purely on network diversity, reflecting the partially different decision strategy observed in the global SHAP analysis.</w:t>
      </w:r>
    </w:p>
    <w:p w14:paraId="520FE089" w14:textId="77777777" w:rsidR="00453D7A" w:rsidRDefault="00000000">
      <w:pPr>
        <w:spacing w:after="539" w:line="259" w:lineRule="auto"/>
        <w:ind w:left="0" w:right="0" w:firstLine="0"/>
        <w:jc w:val="left"/>
      </w:pPr>
      <w:r>
        <w:rPr>
          <w:noProof/>
        </w:rPr>
        <w:drawing>
          <wp:inline distT="0" distB="0" distL="0" distR="0" wp14:anchorId="7ECD3196" wp14:editId="20F446CC">
            <wp:extent cx="5612406" cy="3337208"/>
            <wp:effectExtent l="0" t="0" r="0" b="0"/>
            <wp:docPr id="3546" name="Picture 3546"/>
            <wp:cNvGraphicFramePr/>
            <a:graphic xmlns:a="http://schemas.openxmlformats.org/drawingml/2006/main">
              <a:graphicData uri="http://schemas.openxmlformats.org/drawingml/2006/picture">
                <pic:pic xmlns:pic="http://schemas.openxmlformats.org/drawingml/2006/picture">
                  <pic:nvPicPr>
                    <pic:cNvPr id="3546" name="Picture 3546"/>
                    <pic:cNvPicPr/>
                  </pic:nvPicPr>
                  <pic:blipFill>
                    <a:blip r:embed="rId16"/>
                    <a:stretch>
                      <a:fillRect/>
                    </a:stretch>
                  </pic:blipFill>
                  <pic:spPr>
                    <a:xfrm>
                      <a:off x="0" y="0"/>
                      <a:ext cx="5612406" cy="3337208"/>
                    </a:xfrm>
                    <a:prstGeom prst="rect">
                      <a:avLst/>
                    </a:prstGeom>
                  </pic:spPr>
                </pic:pic>
              </a:graphicData>
            </a:graphic>
          </wp:inline>
        </w:drawing>
      </w:r>
    </w:p>
    <w:p w14:paraId="4625C235" w14:textId="77777777" w:rsidR="00453D7A" w:rsidRDefault="00000000">
      <w:pPr>
        <w:spacing w:after="303"/>
        <w:ind w:left="-5" w:right="900"/>
      </w:pPr>
      <w:r>
        <w:lastRenderedPageBreak/>
        <w:t>Figure 6: DQN feature contributions for a correctly flagged laundering transaction (suspicion score: 0.8859)</w:t>
      </w:r>
    </w:p>
    <w:p w14:paraId="31984E4F" w14:textId="77777777" w:rsidR="00453D7A" w:rsidRDefault="00000000">
      <w:pPr>
        <w:ind w:left="-15" w:right="900" w:firstLine="299"/>
      </w:pPr>
      <w:r>
        <w:t xml:space="preserve">Figure </w:t>
      </w:r>
      <w:r>
        <w:rPr>
          <w:color w:val="0000FF"/>
        </w:rPr>
        <w:t xml:space="preserve">7 </w:t>
      </w:r>
      <w:r>
        <w:t xml:space="preserve">shows a normal transaction correctly cleared by XGBoost with a suspicion score of 0.0. The dominant signal pulling the score down is </w:t>
      </w:r>
      <w:r>
        <w:rPr>
          <w:rFonts w:ascii="Calibri" w:eastAsia="Calibri" w:hAnsi="Calibri" w:cs="Calibri"/>
        </w:rPr>
        <w:t xml:space="preserve">receiver unique senders </w:t>
      </w:r>
      <w:r>
        <w:t xml:space="preserve">= 1 (-47.2%), meaning the receiver account has only ever received money from a single sender, the opposite of a fan-in pattern. </w:t>
      </w:r>
      <w:r>
        <w:rPr>
          <w:rFonts w:ascii="Calibri" w:eastAsia="Calibri" w:hAnsi="Calibri" w:cs="Calibri"/>
        </w:rPr>
        <w:t>receiver amount std</w:t>
      </w:r>
      <w:r>
        <w:t xml:space="preserve">, </w:t>
      </w:r>
      <w:r>
        <w:rPr>
          <w:rFonts w:ascii="Calibri" w:eastAsia="Calibri" w:hAnsi="Calibri" w:cs="Calibri"/>
        </w:rPr>
        <w:t xml:space="preserve">receiver </w:t>
      </w:r>
      <w:r>
        <w:rPr>
          <w:rFonts w:ascii="Calibri" w:eastAsia="Calibri" w:hAnsi="Calibri" w:cs="Calibri"/>
          <w:noProof/>
          <w:sz w:val="22"/>
        </w:rPr>
        <mc:AlternateContent>
          <mc:Choice Requires="wpg">
            <w:drawing>
              <wp:inline distT="0" distB="0" distL="0" distR="0" wp14:anchorId="564CCAF6" wp14:editId="5B132AD0">
                <wp:extent cx="39853" cy="5055"/>
                <wp:effectExtent l="0" t="0" r="0" b="0"/>
                <wp:docPr id="45705" name="Group 45705"/>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3567" name="Shape 3567"/>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705" style="width:3.138pt;height:0.398pt;mso-position-horizontal-relative:char;mso-position-vertical-relative:line" coordsize="398,50">
                <v:shape id="Shape 3567"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tx count</w:t>
      </w:r>
      <w:r>
        <w:t xml:space="preserve">, and </w:t>
      </w:r>
      <w:r>
        <w:rPr>
          <w:rFonts w:ascii="Calibri" w:eastAsia="Calibri" w:hAnsi="Calibri" w:cs="Calibri"/>
        </w:rPr>
        <w:t xml:space="preserve">Payment </w:t>
      </w:r>
      <w:r>
        <w:rPr>
          <w:rFonts w:ascii="Calibri" w:eastAsia="Calibri" w:hAnsi="Calibri" w:cs="Calibri"/>
          <w:noProof/>
          <w:sz w:val="22"/>
        </w:rPr>
        <mc:AlternateContent>
          <mc:Choice Requires="wpg">
            <w:drawing>
              <wp:inline distT="0" distB="0" distL="0" distR="0" wp14:anchorId="095E598A" wp14:editId="039DACCC">
                <wp:extent cx="39853" cy="5055"/>
                <wp:effectExtent l="0" t="0" r="0" b="0"/>
                <wp:docPr id="45706" name="Group 45706"/>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3573" name="Shape 3573"/>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706" style="width:3.138pt;height:0.398pt;mso-position-horizontal-relative:char;mso-position-vertical-relative:line" coordsize="398,50">
                <v:shape id="Shape 3573"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 xml:space="preserve">type = ACH </w:t>
      </w:r>
      <w:r>
        <w:t>all contribute further negative signals, collectively building a strong case for legitimacy.</w:t>
      </w:r>
    </w:p>
    <w:p w14:paraId="3B010B7C" w14:textId="77777777" w:rsidR="00453D7A" w:rsidRDefault="00000000">
      <w:pPr>
        <w:spacing w:after="539" w:line="259" w:lineRule="auto"/>
        <w:ind w:left="0" w:right="0" w:firstLine="0"/>
        <w:jc w:val="left"/>
      </w:pPr>
      <w:r>
        <w:rPr>
          <w:noProof/>
        </w:rPr>
        <w:drawing>
          <wp:inline distT="0" distB="0" distL="0" distR="0" wp14:anchorId="52FAC149" wp14:editId="78D5E9AE">
            <wp:extent cx="5612441" cy="3341730"/>
            <wp:effectExtent l="0" t="0" r="0" b="0"/>
            <wp:docPr id="3584" name="Picture 3584"/>
            <wp:cNvGraphicFramePr/>
            <a:graphic xmlns:a="http://schemas.openxmlformats.org/drawingml/2006/main">
              <a:graphicData uri="http://schemas.openxmlformats.org/drawingml/2006/picture">
                <pic:pic xmlns:pic="http://schemas.openxmlformats.org/drawingml/2006/picture">
                  <pic:nvPicPr>
                    <pic:cNvPr id="3584" name="Picture 3584"/>
                    <pic:cNvPicPr/>
                  </pic:nvPicPr>
                  <pic:blipFill>
                    <a:blip r:embed="rId17"/>
                    <a:stretch>
                      <a:fillRect/>
                    </a:stretch>
                  </pic:blipFill>
                  <pic:spPr>
                    <a:xfrm>
                      <a:off x="0" y="0"/>
                      <a:ext cx="5612441" cy="3341730"/>
                    </a:xfrm>
                    <a:prstGeom prst="rect">
                      <a:avLst/>
                    </a:prstGeom>
                  </pic:spPr>
                </pic:pic>
              </a:graphicData>
            </a:graphic>
          </wp:inline>
        </w:drawing>
      </w:r>
    </w:p>
    <w:p w14:paraId="32226545" w14:textId="77777777" w:rsidR="00453D7A" w:rsidRDefault="00000000">
      <w:pPr>
        <w:spacing w:after="303"/>
        <w:ind w:left="-5" w:right="900"/>
      </w:pPr>
      <w:r>
        <w:t>Figure 7: XGBoost feature contributions for a correctly cleared normal transaction (suspicion score: 0.0)</w:t>
      </w:r>
    </w:p>
    <w:p w14:paraId="6C93DE02" w14:textId="77777777" w:rsidR="00453D7A" w:rsidRDefault="00000000">
      <w:pPr>
        <w:ind w:left="-15" w:right="900" w:firstLine="299"/>
      </w:pPr>
      <w:r>
        <w:t xml:space="preserve">Figure </w:t>
      </w:r>
      <w:r>
        <w:rPr>
          <w:color w:val="0000FF"/>
        </w:rPr>
        <w:t xml:space="preserve">8 </w:t>
      </w:r>
      <w:r>
        <w:t xml:space="preserve">shows a normal transaction scored by the DQN with a suspicion score of 0.4506. While the transaction is ultimately classified as normal, the score is notably higher than the XGBoost equivalent, indicating the DQN is less confident in its normal classification. The dominant negative signal is again </w:t>
      </w:r>
      <w:r>
        <w:rPr>
          <w:rFonts w:ascii="Calibri" w:eastAsia="Calibri" w:hAnsi="Calibri" w:cs="Calibri"/>
        </w:rPr>
        <w:t xml:space="preserve">receiver unique senders </w:t>
      </w:r>
      <w:r>
        <w:t xml:space="preserve">(-33.4%), but several features such as </w:t>
      </w:r>
      <w:r>
        <w:rPr>
          <w:rFonts w:ascii="Calibri" w:eastAsia="Calibri" w:hAnsi="Calibri" w:cs="Calibri"/>
        </w:rPr>
        <w:t xml:space="preserve">sender amount min </w:t>
      </w:r>
      <w:r>
        <w:t xml:space="preserve">(+19.0%) and </w:t>
      </w:r>
      <w:r>
        <w:rPr>
          <w:rFonts w:ascii="Calibri" w:eastAsia="Calibri" w:hAnsi="Calibri" w:cs="Calibri"/>
        </w:rPr>
        <w:t xml:space="preserve">sender tx count </w:t>
      </w:r>
      <w:r>
        <w:t>(+6.1%) push the score upward, creating more uncertainty. This illustrates the DQN’s tendency to produce less decisive scores on normal transactions compared to XGBoost.</w:t>
      </w:r>
    </w:p>
    <w:p w14:paraId="7FB8D9AD" w14:textId="77777777" w:rsidR="00453D7A" w:rsidRDefault="00000000">
      <w:pPr>
        <w:spacing w:after="539" w:line="259" w:lineRule="auto"/>
        <w:ind w:left="0" w:right="0" w:firstLine="0"/>
        <w:jc w:val="left"/>
      </w:pPr>
      <w:r>
        <w:rPr>
          <w:noProof/>
        </w:rPr>
        <w:lastRenderedPageBreak/>
        <w:drawing>
          <wp:inline distT="0" distB="0" distL="0" distR="0" wp14:anchorId="4172A216" wp14:editId="65C0F2CB">
            <wp:extent cx="5612441" cy="3341730"/>
            <wp:effectExtent l="0" t="0" r="0" b="0"/>
            <wp:docPr id="3622" name="Picture 3622"/>
            <wp:cNvGraphicFramePr/>
            <a:graphic xmlns:a="http://schemas.openxmlformats.org/drawingml/2006/main">
              <a:graphicData uri="http://schemas.openxmlformats.org/drawingml/2006/picture">
                <pic:pic xmlns:pic="http://schemas.openxmlformats.org/drawingml/2006/picture">
                  <pic:nvPicPr>
                    <pic:cNvPr id="3622" name="Picture 3622"/>
                    <pic:cNvPicPr/>
                  </pic:nvPicPr>
                  <pic:blipFill>
                    <a:blip r:embed="rId18"/>
                    <a:stretch>
                      <a:fillRect/>
                    </a:stretch>
                  </pic:blipFill>
                  <pic:spPr>
                    <a:xfrm>
                      <a:off x="0" y="0"/>
                      <a:ext cx="5612441" cy="3341730"/>
                    </a:xfrm>
                    <a:prstGeom prst="rect">
                      <a:avLst/>
                    </a:prstGeom>
                  </pic:spPr>
                </pic:pic>
              </a:graphicData>
            </a:graphic>
          </wp:inline>
        </w:drawing>
      </w:r>
    </w:p>
    <w:p w14:paraId="7183B1B7" w14:textId="77777777" w:rsidR="00453D7A" w:rsidRDefault="00000000">
      <w:pPr>
        <w:spacing w:after="288"/>
        <w:ind w:left="-5" w:right="900"/>
      </w:pPr>
      <w:r>
        <w:t>Figure 8: DQN feature contributions for a correctly cleared normal transaction (suspicion score: 0.4506)</w:t>
      </w:r>
    </w:p>
    <w:p w14:paraId="64459AA9" w14:textId="77777777" w:rsidR="00453D7A" w:rsidRDefault="00000000">
      <w:pPr>
        <w:spacing w:after="285"/>
        <w:ind w:left="-15" w:right="900" w:firstLine="299"/>
      </w:pPr>
      <w:r>
        <w:rPr>
          <w:b/>
        </w:rPr>
        <w:t xml:space="preserve">Per-pattern SHAP analysis. </w:t>
      </w:r>
      <w:r>
        <w:t xml:space="preserve">The </w:t>
      </w:r>
      <w:r>
        <w:rPr>
          <w:rFonts w:ascii="Calibri" w:eastAsia="Calibri" w:hAnsi="Calibri" w:cs="Calibri"/>
        </w:rPr>
        <w:t xml:space="preserve">Laundering type </w:t>
      </w:r>
      <w:r>
        <w:t>column, retained in the test set for posthoc analysis, was used to assess whether model performance and feature attribution differ across the 17 suspicious typologies in SAML-D. [PLACEHOLDER: insert per-pattern breakdown here once analysis is complete]</w:t>
      </w:r>
    </w:p>
    <w:p w14:paraId="5D4B35DC" w14:textId="77777777" w:rsidR="00453D7A" w:rsidRDefault="00000000">
      <w:pPr>
        <w:pStyle w:val="Heading3"/>
        <w:ind w:left="685" w:right="900" w:hanging="700"/>
      </w:pPr>
      <w:r>
        <w:t>Model Complexity</w:t>
      </w:r>
    </w:p>
    <w:p w14:paraId="295E2B6A" w14:textId="77777777" w:rsidR="00453D7A" w:rsidRDefault="00000000">
      <w:pPr>
        <w:spacing w:after="376"/>
        <w:ind w:left="-5" w:right="900"/>
      </w:pPr>
      <w:r>
        <w:t xml:space="preserve">Table </w:t>
      </w:r>
      <w:r>
        <w:rPr>
          <w:color w:val="0000FF"/>
        </w:rPr>
        <w:t xml:space="preserve">17 </w:t>
      </w:r>
      <w:r>
        <w:t>compares the structural complexity of both models.</w:t>
      </w:r>
    </w:p>
    <w:p w14:paraId="1CB449F7" w14:textId="77777777" w:rsidR="00453D7A" w:rsidRDefault="00000000">
      <w:pPr>
        <w:spacing w:after="0" w:line="265" w:lineRule="auto"/>
        <w:ind w:right="915"/>
        <w:jc w:val="center"/>
      </w:pPr>
      <w:r>
        <w:t>Table 17: Model complexity comparison</w:t>
      </w:r>
    </w:p>
    <w:tbl>
      <w:tblPr>
        <w:tblStyle w:val="TableGrid"/>
        <w:tblW w:w="8839" w:type="dxa"/>
        <w:tblInd w:w="0" w:type="dxa"/>
        <w:tblCellMar>
          <w:top w:w="32" w:type="dxa"/>
          <w:left w:w="121" w:type="dxa"/>
          <w:bottom w:w="0" w:type="dxa"/>
          <w:right w:w="121" w:type="dxa"/>
        </w:tblCellMar>
        <w:tblLook w:val="04A0" w:firstRow="1" w:lastRow="0" w:firstColumn="1" w:lastColumn="0" w:noHBand="0" w:noVBand="1"/>
      </w:tblPr>
      <w:tblGrid>
        <w:gridCol w:w="2635"/>
        <w:gridCol w:w="3102"/>
        <w:gridCol w:w="3102"/>
      </w:tblGrid>
      <w:tr w:rsidR="00453D7A" w14:paraId="0E3083C1" w14:textId="77777777">
        <w:trPr>
          <w:trHeight w:val="249"/>
        </w:trPr>
        <w:tc>
          <w:tcPr>
            <w:tcW w:w="2636" w:type="dxa"/>
            <w:tcBorders>
              <w:top w:val="single" w:sz="3" w:space="0" w:color="000000"/>
              <w:left w:val="single" w:sz="3" w:space="0" w:color="000000"/>
              <w:bottom w:val="single" w:sz="3" w:space="0" w:color="000000"/>
              <w:right w:val="single" w:sz="3" w:space="0" w:color="000000"/>
            </w:tcBorders>
          </w:tcPr>
          <w:p w14:paraId="4B865502" w14:textId="77777777" w:rsidR="00453D7A" w:rsidRDefault="00000000">
            <w:pPr>
              <w:spacing w:after="0" w:line="259" w:lineRule="auto"/>
              <w:ind w:left="0" w:right="0" w:firstLine="0"/>
              <w:jc w:val="left"/>
            </w:pPr>
            <w:r>
              <w:rPr>
                <w:b/>
              </w:rPr>
              <w:t>Criterion</w:t>
            </w:r>
          </w:p>
        </w:tc>
        <w:tc>
          <w:tcPr>
            <w:tcW w:w="3102" w:type="dxa"/>
            <w:tcBorders>
              <w:top w:val="single" w:sz="3" w:space="0" w:color="000000"/>
              <w:left w:val="single" w:sz="3" w:space="0" w:color="000000"/>
              <w:bottom w:val="single" w:sz="3" w:space="0" w:color="000000"/>
              <w:right w:val="single" w:sz="3" w:space="0" w:color="000000"/>
            </w:tcBorders>
          </w:tcPr>
          <w:p w14:paraId="7B78041E" w14:textId="77777777" w:rsidR="00453D7A" w:rsidRDefault="00000000">
            <w:pPr>
              <w:spacing w:after="0" w:line="259" w:lineRule="auto"/>
              <w:ind w:left="0" w:right="0" w:firstLine="0"/>
              <w:jc w:val="left"/>
            </w:pPr>
            <w:r>
              <w:rPr>
                <w:b/>
              </w:rPr>
              <w:t>XGBoost</w:t>
            </w:r>
          </w:p>
        </w:tc>
        <w:tc>
          <w:tcPr>
            <w:tcW w:w="3102" w:type="dxa"/>
            <w:tcBorders>
              <w:top w:val="single" w:sz="3" w:space="0" w:color="000000"/>
              <w:left w:val="single" w:sz="3" w:space="0" w:color="000000"/>
              <w:bottom w:val="single" w:sz="3" w:space="0" w:color="000000"/>
              <w:right w:val="single" w:sz="3" w:space="0" w:color="000000"/>
            </w:tcBorders>
          </w:tcPr>
          <w:p w14:paraId="4642DD4C" w14:textId="77777777" w:rsidR="00453D7A" w:rsidRDefault="00000000">
            <w:pPr>
              <w:spacing w:after="0" w:line="259" w:lineRule="auto"/>
              <w:ind w:left="0" w:right="0" w:firstLine="0"/>
              <w:jc w:val="left"/>
            </w:pPr>
            <w:r>
              <w:rPr>
                <w:b/>
              </w:rPr>
              <w:t>DQN</w:t>
            </w:r>
          </w:p>
        </w:tc>
      </w:tr>
      <w:tr w:rsidR="00453D7A" w14:paraId="1D4EEE2C" w14:textId="77777777">
        <w:trPr>
          <w:trHeight w:val="249"/>
        </w:trPr>
        <w:tc>
          <w:tcPr>
            <w:tcW w:w="2636" w:type="dxa"/>
            <w:tcBorders>
              <w:top w:val="single" w:sz="3" w:space="0" w:color="000000"/>
              <w:left w:val="single" w:sz="3" w:space="0" w:color="000000"/>
              <w:bottom w:val="single" w:sz="3" w:space="0" w:color="000000"/>
              <w:right w:val="single" w:sz="3" w:space="0" w:color="000000"/>
            </w:tcBorders>
          </w:tcPr>
          <w:p w14:paraId="763B401A" w14:textId="77777777" w:rsidR="00453D7A" w:rsidRDefault="00000000">
            <w:pPr>
              <w:spacing w:after="0" w:line="259" w:lineRule="auto"/>
              <w:ind w:left="0" w:right="0" w:firstLine="0"/>
              <w:jc w:val="left"/>
            </w:pPr>
            <w:r>
              <w:t>Architecture</w:t>
            </w:r>
          </w:p>
        </w:tc>
        <w:tc>
          <w:tcPr>
            <w:tcW w:w="3102" w:type="dxa"/>
            <w:tcBorders>
              <w:top w:val="single" w:sz="3" w:space="0" w:color="000000"/>
              <w:left w:val="single" w:sz="3" w:space="0" w:color="000000"/>
              <w:bottom w:val="single" w:sz="3" w:space="0" w:color="000000"/>
              <w:right w:val="single" w:sz="3" w:space="0" w:color="000000"/>
            </w:tcBorders>
          </w:tcPr>
          <w:p w14:paraId="5A17201A" w14:textId="77777777" w:rsidR="00453D7A" w:rsidRDefault="00000000">
            <w:pPr>
              <w:spacing w:after="0" w:line="259" w:lineRule="auto"/>
              <w:ind w:left="0" w:right="0" w:firstLine="0"/>
              <w:jc w:val="left"/>
            </w:pPr>
            <w:r>
              <w:t>Gradient boosted trees</w:t>
            </w:r>
          </w:p>
        </w:tc>
        <w:tc>
          <w:tcPr>
            <w:tcW w:w="3102" w:type="dxa"/>
            <w:tcBorders>
              <w:top w:val="single" w:sz="3" w:space="0" w:color="000000"/>
              <w:left w:val="single" w:sz="3" w:space="0" w:color="000000"/>
              <w:bottom w:val="single" w:sz="3" w:space="0" w:color="000000"/>
              <w:right w:val="single" w:sz="3" w:space="0" w:color="000000"/>
            </w:tcBorders>
          </w:tcPr>
          <w:p w14:paraId="44376C9F" w14:textId="77777777" w:rsidR="00453D7A" w:rsidRDefault="00000000">
            <w:pPr>
              <w:spacing w:after="0" w:line="259" w:lineRule="auto"/>
              <w:ind w:left="0" w:right="0" w:firstLine="0"/>
              <w:jc w:val="left"/>
            </w:pPr>
            <w:r>
              <w:t>4-layer neural network</w:t>
            </w:r>
          </w:p>
        </w:tc>
      </w:tr>
      <w:tr w:rsidR="00453D7A" w14:paraId="140141DF" w14:textId="77777777">
        <w:trPr>
          <w:trHeight w:val="491"/>
        </w:trPr>
        <w:tc>
          <w:tcPr>
            <w:tcW w:w="2636" w:type="dxa"/>
            <w:tcBorders>
              <w:top w:val="single" w:sz="3" w:space="0" w:color="000000"/>
              <w:left w:val="single" w:sz="3" w:space="0" w:color="000000"/>
              <w:bottom w:val="single" w:sz="3" w:space="0" w:color="000000"/>
              <w:right w:val="single" w:sz="3" w:space="0" w:color="000000"/>
            </w:tcBorders>
          </w:tcPr>
          <w:p w14:paraId="7813E2BA" w14:textId="77777777" w:rsidR="00453D7A" w:rsidRDefault="00000000">
            <w:pPr>
              <w:spacing w:after="0" w:line="259" w:lineRule="auto"/>
              <w:ind w:left="0" w:right="0" w:firstLine="0"/>
              <w:jc w:val="left"/>
            </w:pPr>
            <w:r>
              <w:t>Learnable parameters</w:t>
            </w:r>
          </w:p>
        </w:tc>
        <w:tc>
          <w:tcPr>
            <w:tcW w:w="3102" w:type="dxa"/>
            <w:tcBorders>
              <w:top w:val="single" w:sz="3" w:space="0" w:color="000000"/>
              <w:left w:val="single" w:sz="3" w:space="0" w:color="000000"/>
              <w:bottom w:val="single" w:sz="3" w:space="0" w:color="000000"/>
              <w:right w:val="single" w:sz="3" w:space="0" w:color="000000"/>
            </w:tcBorders>
          </w:tcPr>
          <w:p w14:paraId="2DEDE41F" w14:textId="77777777" w:rsidR="00453D7A" w:rsidRDefault="00000000">
            <w:pPr>
              <w:spacing w:after="0" w:line="259" w:lineRule="auto"/>
              <w:ind w:left="0" w:right="0" w:firstLine="0"/>
              <w:jc w:val="left"/>
            </w:pPr>
            <w:r>
              <w:t>35 trees with gbtree booster</w:t>
            </w:r>
          </w:p>
        </w:tc>
        <w:tc>
          <w:tcPr>
            <w:tcW w:w="3102" w:type="dxa"/>
            <w:tcBorders>
              <w:top w:val="single" w:sz="3" w:space="0" w:color="000000"/>
              <w:left w:val="single" w:sz="3" w:space="0" w:color="000000"/>
              <w:bottom w:val="single" w:sz="3" w:space="0" w:color="000000"/>
              <w:right w:val="single" w:sz="3" w:space="0" w:color="000000"/>
            </w:tcBorders>
          </w:tcPr>
          <w:p w14:paraId="1A5537FB" w14:textId="77777777" w:rsidR="00453D7A" w:rsidRDefault="00000000">
            <w:pPr>
              <w:spacing w:after="0" w:line="259" w:lineRule="auto"/>
              <w:ind w:left="0" w:right="0" w:firstLine="0"/>
              <w:jc w:val="left"/>
            </w:pPr>
            <w:r>
              <w:t>90×124 + 124×62 + 62×31 +</w:t>
            </w:r>
          </w:p>
          <w:p w14:paraId="52514CEF" w14:textId="77777777" w:rsidR="00453D7A" w:rsidRDefault="00000000">
            <w:pPr>
              <w:spacing w:after="0" w:line="259" w:lineRule="auto"/>
              <w:ind w:left="0" w:right="0" w:firstLine="0"/>
              <w:jc w:val="left"/>
            </w:pPr>
            <w:r>
              <w:t>31×15 + 15×2 = 19</w:t>
            </w:r>
            <w:r>
              <w:rPr>
                <w:i/>
              </w:rPr>
              <w:t>,</w:t>
            </w:r>
            <w:r>
              <w:t>339</w:t>
            </w:r>
          </w:p>
        </w:tc>
      </w:tr>
      <w:tr w:rsidR="00453D7A" w14:paraId="6A6A7E5F" w14:textId="77777777">
        <w:trPr>
          <w:trHeight w:val="973"/>
        </w:trPr>
        <w:tc>
          <w:tcPr>
            <w:tcW w:w="2636" w:type="dxa"/>
            <w:tcBorders>
              <w:top w:val="single" w:sz="3" w:space="0" w:color="000000"/>
              <w:left w:val="single" w:sz="3" w:space="0" w:color="000000"/>
              <w:bottom w:val="single" w:sz="3" w:space="0" w:color="000000"/>
              <w:right w:val="single" w:sz="3" w:space="0" w:color="000000"/>
            </w:tcBorders>
          </w:tcPr>
          <w:p w14:paraId="0F48C1B6" w14:textId="77777777" w:rsidR="00453D7A" w:rsidRDefault="00000000">
            <w:pPr>
              <w:spacing w:after="0" w:line="259" w:lineRule="auto"/>
              <w:ind w:left="0" w:right="0" w:firstLine="0"/>
              <w:jc w:val="left"/>
            </w:pPr>
            <w:r>
              <w:t>Hyperparameter sensitivity</w:t>
            </w:r>
          </w:p>
        </w:tc>
        <w:tc>
          <w:tcPr>
            <w:tcW w:w="3102" w:type="dxa"/>
            <w:tcBorders>
              <w:top w:val="single" w:sz="3" w:space="0" w:color="000000"/>
              <w:left w:val="single" w:sz="3" w:space="0" w:color="000000"/>
              <w:bottom w:val="single" w:sz="3" w:space="0" w:color="000000"/>
              <w:right w:val="single" w:sz="3" w:space="0" w:color="000000"/>
            </w:tcBorders>
          </w:tcPr>
          <w:p w14:paraId="753C1158" w14:textId="77777777" w:rsidR="00453D7A" w:rsidRDefault="00000000">
            <w:pPr>
              <w:spacing w:after="0" w:line="244" w:lineRule="auto"/>
              <w:ind w:left="0" w:right="0" w:firstLine="0"/>
            </w:pPr>
            <w:r>
              <w:t>Moderate (sensitive to learning rate and subsample rate, but defaults land in a well-performing</w:t>
            </w:r>
          </w:p>
          <w:p w14:paraId="1C725FF2" w14:textId="77777777" w:rsidR="00453D7A" w:rsidRDefault="00000000">
            <w:pPr>
              <w:spacing w:after="0" w:line="259" w:lineRule="auto"/>
              <w:ind w:left="0" w:right="0" w:firstLine="0"/>
              <w:jc w:val="left"/>
            </w:pPr>
            <w:r>
              <w:t>region for this dataset)</w:t>
            </w:r>
          </w:p>
        </w:tc>
        <w:tc>
          <w:tcPr>
            <w:tcW w:w="3102" w:type="dxa"/>
            <w:tcBorders>
              <w:top w:val="single" w:sz="3" w:space="0" w:color="000000"/>
              <w:left w:val="single" w:sz="3" w:space="0" w:color="000000"/>
              <w:bottom w:val="single" w:sz="3" w:space="0" w:color="000000"/>
              <w:right w:val="single" w:sz="3" w:space="0" w:color="000000"/>
            </w:tcBorders>
          </w:tcPr>
          <w:p w14:paraId="6AD78DDE" w14:textId="77777777" w:rsidR="00453D7A" w:rsidRDefault="00000000">
            <w:pPr>
              <w:spacing w:after="0" w:line="259" w:lineRule="auto"/>
              <w:ind w:left="0" w:right="0" w:firstLine="0"/>
            </w:pPr>
            <w:r>
              <w:t>High (sensitive to epsilon decay, reward function, batch size)</w:t>
            </w:r>
          </w:p>
        </w:tc>
      </w:tr>
      <w:tr w:rsidR="00453D7A" w14:paraId="208DA742" w14:textId="77777777">
        <w:trPr>
          <w:trHeight w:val="491"/>
        </w:trPr>
        <w:tc>
          <w:tcPr>
            <w:tcW w:w="2636" w:type="dxa"/>
            <w:tcBorders>
              <w:top w:val="single" w:sz="3" w:space="0" w:color="000000"/>
              <w:left w:val="single" w:sz="3" w:space="0" w:color="000000"/>
              <w:bottom w:val="single" w:sz="3" w:space="0" w:color="000000"/>
              <w:right w:val="single" w:sz="3" w:space="0" w:color="000000"/>
            </w:tcBorders>
          </w:tcPr>
          <w:p w14:paraId="127F04F7" w14:textId="77777777" w:rsidR="00453D7A" w:rsidRDefault="00000000">
            <w:pPr>
              <w:spacing w:after="0" w:line="259" w:lineRule="auto"/>
              <w:ind w:left="0" w:right="0" w:firstLine="0"/>
              <w:jc w:val="left"/>
            </w:pPr>
            <w:r>
              <w:t>Training procedure</w:t>
            </w:r>
          </w:p>
        </w:tc>
        <w:tc>
          <w:tcPr>
            <w:tcW w:w="3102" w:type="dxa"/>
            <w:tcBorders>
              <w:top w:val="single" w:sz="3" w:space="0" w:color="000000"/>
              <w:left w:val="single" w:sz="3" w:space="0" w:color="000000"/>
              <w:bottom w:val="single" w:sz="3" w:space="0" w:color="000000"/>
              <w:right w:val="single" w:sz="3" w:space="0" w:color="000000"/>
            </w:tcBorders>
          </w:tcPr>
          <w:p w14:paraId="2DEE3446" w14:textId="77777777" w:rsidR="00453D7A" w:rsidRDefault="00000000">
            <w:pPr>
              <w:spacing w:after="0" w:line="259" w:lineRule="auto"/>
              <w:ind w:left="0" w:right="0" w:firstLine="0"/>
              <w:jc w:val="left"/>
            </w:pPr>
            <w:r>
              <w:t>Single-pass gradient boosting</w:t>
            </w:r>
          </w:p>
        </w:tc>
        <w:tc>
          <w:tcPr>
            <w:tcW w:w="3102" w:type="dxa"/>
            <w:tcBorders>
              <w:top w:val="single" w:sz="3" w:space="0" w:color="000000"/>
              <w:left w:val="single" w:sz="3" w:space="0" w:color="000000"/>
              <w:bottom w:val="single" w:sz="3" w:space="0" w:color="000000"/>
              <w:right w:val="single" w:sz="3" w:space="0" w:color="000000"/>
            </w:tcBorders>
          </w:tcPr>
          <w:p w14:paraId="26583247" w14:textId="77777777" w:rsidR="00453D7A" w:rsidRDefault="00000000">
            <w:pPr>
              <w:spacing w:after="0" w:line="259" w:lineRule="auto"/>
              <w:ind w:left="0" w:right="0" w:firstLine="0"/>
            </w:pPr>
            <w:r>
              <w:t>Multi-epoch RL with experience replay and target network</w:t>
            </w:r>
          </w:p>
        </w:tc>
      </w:tr>
      <w:tr w:rsidR="00453D7A" w14:paraId="2FB7CF73" w14:textId="77777777">
        <w:trPr>
          <w:trHeight w:val="973"/>
        </w:trPr>
        <w:tc>
          <w:tcPr>
            <w:tcW w:w="2636" w:type="dxa"/>
            <w:tcBorders>
              <w:top w:val="single" w:sz="3" w:space="0" w:color="000000"/>
              <w:left w:val="single" w:sz="3" w:space="0" w:color="000000"/>
              <w:bottom w:val="single" w:sz="3" w:space="0" w:color="000000"/>
              <w:right w:val="single" w:sz="3" w:space="0" w:color="000000"/>
            </w:tcBorders>
          </w:tcPr>
          <w:p w14:paraId="7556642B" w14:textId="77777777" w:rsidR="00453D7A" w:rsidRDefault="00000000">
            <w:pPr>
              <w:spacing w:after="0" w:line="259" w:lineRule="auto"/>
              <w:ind w:left="0" w:right="0" w:firstLine="0"/>
              <w:jc w:val="left"/>
            </w:pPr>
            <w:r>
              <w:t>Explainability</w:t>
            </w:r>
          </w:p>
        </w:tc>
        <w:tc>
          <w:tcPr>
            <w:tcW w:w="3102" w:type="dxa"/>
            <w:tcBorders>
              <w:top w:val="single" w:sz="3" w:space="0" w:color="000000"/>
              <w:left w:val="single" w:sz="3" w:space="0" w:color="000000"/>
              <w:bottom w:val="single" w:sz="3" w:space="0" w:color="000000"/>
              <w:right w:val="single" w:sz="3" w:space="0" w:color="000000"/>
            </w:tcBorders>
          </w:tcPr>
          <w:p w14:paraId="0E4DB39F" w14:textId="77777777" w:rsidR="00453D7A" w:rsidRDefault="00000000">
            <w:pPr>
              <w:spacing w:after="0" w:line="259" w:lineRule="auto"/>
              <w:ind w:left="0" w:right="0" w:firstLine="0"/>
              <w:jc w:val="left"/>
            </w:pPr>
            <w:r>
              <w:t>SHAP values</w:t>
            </w:r>
          </w:p>
        </w:tc>
        <w:tc>
          <w:tcPr>
            <w:tcW w:w="3102" w:type="dxa"/>
            <w:tcBorders>
              <w:top w:val="single" w:sz="3" w:space="0" w:color="000000"/>
              <w:left w:val="single" w:sz="3" w:space="0" w:color="000000"/>
              <w:bottom w:val="single" w:sz="3" w:space="0" w:color="000000"/>
              <w:right w:val="single" w:sz="3" w:space="0" w:color="000000"/>
            </w:tcBorders>
          </w:tcPr>
          <w:p w14:paraId="55F080C0" w14:textId="77777777" w:rsidR="00453D7A" w:rsidRDefault="00000000">
            <w:pPr>
              <w:spacing w:after="0" w:line="244" w:lineRule="auto"/>
              <w:ind w:left="0" w:right="0" w:firstLine="0"/>
            </w:pPr>
            <w:r>
              <w:t>SHAP values (the required onehot-encoding makes the SHAP values less interpretable than the</w:t>
            </w:r>
          </w:p>
          <w:p w14:paraId="0688231D" w14:textId="77777777" w:rsidR="00453D7A" w:rsidRDefault="00000000">
            <w:pPr>
              <w:spacing w:after="0" w:line="259" w:lineRule="auto"/>
              <w:ind w:left="0" w:right="0" w:firstLine="0"/>
              <w:jc w:val="left"/>
            </w:pPr>
            <w:r>
              <w:t>XGBoost SHAP values)</w:t>
            </w:r>
          </w:p>
        </w:tc>
      </w:tr>
    </w:tbl>
    <w:p w14:paraId="399E464B" w14:textId="77777777" w:rsidR="00453D7A" w:rsidRDefault="00000000">
      <w:pPr>
        <w:ind w:left="-15" w:right="900" w:firstLine="299"/>
      </w:pPr>
      <w:r>
        <w:t>XGBoost is structurally simpler from a configuration standpoint, achieving strong performance with default hyperparameters. The DQN, while having a relatively small number of learnable parameters, requires substantially more design decisions, including the reward function, epsilon schedule, replay buffer, and target network update frequency, each of which can significantly affect performance.</w:t>
      </w:r>
    </w:p>
    <w:p w14:paraId="07FB8B15" w14:textId="77777777" w:rsidR="00453D7A" w:rsidRDefault="00000000">
      <w:pPr>
        <w:pStyle w:val="Heading3"/>
        <w:ind w:left="685" w:right="900" w:hanging="700"/>
      </w:pPr>
      <w:r>
        <w:lastRenderedPageBreak/>
        <w:t>Resource Demand</w:t>
      </w:r>
    </w:p>
    <w:p w14:paraId="58136451" w14:textId="77777777" w:rsidR="00453D7A" w:rsidRDefault="00000000">
      <w:pPr>
        <w:spacing w:after="394"/>
        <w:ind w:left="-5" w:right="900"/>
      </w:pPr>
      <w:r>
        <w:t xml:space="preserve">Table </w:t>
      </w:r>
      <w:r>
        <w:rPr>
          <w:color w:val="0000FF"/>
        </w:rPr>
        <w:t xml:space="preserve">18 </w:t>
      </w:r>
      <w:r>
        <w:t>compares the computational cost of training both models.</w:t>
      </w:r>
    </w:p>
    <w:p w14:paraId="7AFC6066" w14:textId="77777777" w:rsidR="00453D7A" w:rsidRDefault="00000000">
      <w:pPr>
        <w:spacing w:after="0" w:line="265" w:lineRule="auto"/>
        <w:ind w:right="915"/>
        <w:jc w:val="center"/>
      </w:pPr>
      <w:r>
        <w:t>Table 18: Resource demand comparison</w:t>
      </w:r>
    </w:p>
    <w:tbl>
      <w:tblPr>
        <w:tblStyle w:val="TableGrid"/>
        <w:tblW w:w="8519" w:type="dxa"/>
        <w:tblInd w:w="160" w:type="dxa"/>
        <w:tblCellMar>
          <w:top w:w="32" w:type="dxa"/>
          <w:left w:w="120" w:type="dxa"/>
          <w:bottom w:w="0" w:type="dxa"/>
          <w:right w:w="119" w:type="dxa"/>
        </w:tblCellMar>
        <w:tblLook w:val="04A0" w:firstRow="1" w:lastRow="0" w:firstColumn="1" w:lastColumn="0" w:noHBand="0" w:noVBand="1"/>
      </w:tblPr>
      <w:tblGrid>
        <w:gridCol w:w="2371"/>
        <w:gridCol w:w="2507"/>
        <w:gridCol w:w="3641"/>
      </w:tblGrid>
      <w:tr w:rsidR="00453D7A" w14:paraId="726EF3BF" w14:textId="77777777">
        <w:trPr>
          <w:trHeight w:val="247"/>
        </w:trPr>
        <w:tc>
          <w:tcPr>
            <w:tcW w:w="2371" w:type="dxa"/>
            <w:tcBorders>
              <w:top w:val="single" w:sz="3" w:space="0" w:color="000000"/>
              <w:left w:val="single" w:sz="3" w:space="0" w:color="000000"/>
              <w:bottom w:val="single" w:sz="3" w:space="0" w:color="000000"/>
              <w:right w:val="single" w:sz="3" w:space="0" w:color="000000"/>
            </w:tcBorders>
          </w:tcPr>
          <w:p w14:paraId="3F0B1540" w14:textId="77777777" w:rsidR="00453D7A" w:rsidRDefault="00000000">
            <w:pPr>
              <w:spacing w:after="0" w:line="259" w:lineRule="auto"/>
              <w:ind w:left="0" w:right="0" w:firstLine="0"/>
              <w:jc w:val="left"/>
            </w:pPr>
            <w:r>
              <w:rPr>
                <w:b/>
              </w:rPr>
              <w:t>Criterion</w:t>
            </w:r>
          </w:p>
        </w:tc>
        <w:tc>
          <w:tcPr>
            <w:tcW w:w="2507" w:type="dxa"/>
            <w:tcBorders>
              <w:top w:val="single" w:sz="3" w:space="0" w:color="000000"/>
              <w:left w:val="single" w:sz="3" w:space="0" w:color="000000"/>
              <w:bottom w:val="single" w:sz="3" w:space="0" w:color="000000"/>
              <w:right w:val="single" w:sz="3" w:space="0" w:color="000000"/>
            </w:tcBorders>
          </w:tcPr>
          <w:p w14:paraId="273B1D2E" w14:textId="77777777" w:rsidR="00453D7A" w:rsidRDefault="00000000">
            <w:pPr>
              <w:spacing w:after="0" w:line="259" w:lineRule="auto"/>
              <w:ind w:left="0" w:right="0" w:firstLine="0"/>
              <w:jc w:val="left"/>
            </w:pPr>
            <w:r>
              <w:rPr>
                <w:b/>
              </w:rPr>
              <w:t>XGBoost</w:t>
            </w:r>
          </w:p>
        </w:tc>
        <w:tc>
          <w:tcPr>
            <w:tcW w:w="3641" w:type="dxa"/>
            <w:tcBorders>
              <w:top w:val="single" w:sz="3" w:space="0" w:color="000000"/>
              <w:left w:val="single" w:sz="3" w:space="0" w:color="000000"/>
              <w:bottom w:val="single" w:sz="3" w:space="0" w:color="000000"/>
              <w:right w:val="single" w:sz="3" w:space="0" w:color="000000"/>
            </w:tcBorders>
          </w:tcPr>
          <w:p w14:paraId="21DB3AE4" w14:textId="77777777" w:rsidR="00453D7A" w:rsidRDefault="00000000">
            <w:pPr>
              <w:spacing w:after="0" w:line="259" w:lineRule="auto"/>
              <w:ind w:left="0" w:right="0" w:firstLine="0"/>
              <w:jc w:val="left"/>
            </w:pPr>
            <w:r>
              <w:rPr>
                <w:b/>
              </w:rPr>
              <w:t>DQN</w:t>
            </w:r>
          </w:p>
        </w:tc>
      </w:tr>
      <w:tr w:rsidR="00453D7A" w14:paraId="613C9359" w14:textId="77777777">
        <w:trPr>
          <w:trHeight w:val="247"/>
        </w:trPr>
        <w:tc>
          <w:tcPr>
            <w:tcW w:w="2371" w:type="dxa"/>
            <w:tcBorders>
              <w:top w:val="single" w:sz="3" w:space="0" w:color="000000"/>
              <w:left w:val="single" w:sz="3" w:space="0" w:color="000000"/>
              <w:bottom w:val="single" w:sz="3" w:space="0" w:color="000000"/>
              <w:right w:val="single" w:sz="3" w:space="0" w:color="000000"/>
            </w:tcBorders>
          </w:tcPr>
          <w:p w14:paraId="2589EC10" w14:textId="77777777" w:rsidR="00453D7A" w:rsidRDefault="00000000">
            <w:pPr>
              <w:spacing w:after="0" w:line="259" w:lineRule="auto"/>
              <w:ind w:left="0" w:right="0" w:firstLine="0"/>
              <w:jc w:val="left"/>
            </w:pPr>
            <w:r>
              <w:t>Iteration 1 training time</w:t>
            </w:r>
          </w:p>
        </w:tc>
        <w:tc>
          <w:tcPr>
            <w:tcW w:w="2507" w:type="dxa"/>
            <w:tcBorders>
              <w:top w:val="single" w:sz="3" w:space="0" w:color="000000"/>
              <w:left w:val="single" w:sz="3" w:space="0" w:color="000000"/>
              <w:bottom w:val="single" w:sz="3" w:space="0" w:color="000000"/>
              <w:right w:val="single" w:sz="3" w:space="0" w:color="000000"/>
            </w:tcBorders>
          </w:tcPr>
          <w:p w14:paraId="3731D716" w14:textId="77777777" w:rsidR="00453D7A" w:rsidRDefault="00000000">
            <w:pPr>
              <w:spacing w:after="0" w:line="259" w:lineRule="auto"/>
              <w:ind w:left="0" w:right="0" w:firstLine="0"/>
              <w:jc w:val="left"/>
            </w:pPr>
            <w:r>
              <w:t>12 seconds</w:t>
            </w:r>
          </w:p>
        </w:tc>
        <w:tc>
          <w:tcPr>
            <w:tcW w:w="3641" w:type="dxa"/>
            <w:tcBorders>
              <w:top w:val="single" w:sz="3" w:space="0" w:color="000000"/>
              <w:left w:val="single" w:sz="3" w:space="0" w:color="000000"/>
              <w:bottom w:val="single" w:sz="3" w:space="0" w:color="000000"/>
              <w:right w:val="single" w:sz="3" w:space="0" w:color="000000"/>
            </w:tcBorders>
          </w:tcPr>
          <w:p w14:paraId="0E154674" w14:textId="77777777" w:rsidR="00453D7A" w:rsidRDefault="00000000">
            <w:pPr>
              <w:spacing w:after="0" w:line="259" w:lineRule="auto"/>
              <w:ind w:left="0" w:right="0" w:firstLine="0"/>
              <w:jc w:val="left"/>
            </w:pPr>
            <w:r>
              <w:t>∼10 minutes (10 epochs)</w:t>
            </w:r>
          </w:p>
        </w:tc>
      </w:tr>
      <w:tr w:rsidR="00453D7A" w14:paraId="38972286" w14:textId="77777777">
        <w:trPr>
          <w:trHeight w:val="486"/>
        </w:trPr>
        <w:tc>
          <w:tcPr>
            <w:tcW w:w="2371" w:type="dxa"/>
            <w:tcBorders>
              <w:top w:val="single" w:sz="3" w:space="0" w:color="000000"/>
              <w:left w:val="single" w:sz="3" w:space="0" w:color="000000"/>
              <w:bottom w:val="single" w:sz="3" w:space="0" w:color="000000"/>
              <w:right w:val="single" w:sz="3" w:space="0" w:color="000000"/>
            </w:tcBorders>
          </w:tcPr>
          <w:p w14:paraId="6BEDBAE9" w14:textId="77777777" w:rsidR="00453D7A" w:rsidRDefault="00000000">
            <w:pPr>
              <w:spacing w:after="0" w:line="259" w:lineRule="auto"/>
              <w:ind w:left="0" w:right="0" w:firstLine="0"/>
              <w:jc w:val="left"/>
            </w:pPr>
            <w:r>
              <w:t>Iteration 2 training time</w:t>
            </w:r>
          </w:p>
        </w:tc>
        <w:tc>
          <w:tcPr>
            <w:tcW w:w="2507" w:type="dxa"/>
            <w:tcBorders>
              <w:top w:val="single" w:sz="3" w:space="0" w:color="000000"/>
              <w:left w:val="single" w:sz="3" w:space="0" w:color="000000"/>
              <w:bottom w:val="single" w:sz="3" w:space="0" w:color="000000"/>
              <w:right w:val="single" w:sz="3" w:space="0" w:color="000000"/>
            </w:tcBorders>
          </w:tcPr>
          <w:p w14:paraId="1A2866F8" w14:textId="77777777" w:rsidR="00453D7A" w:rsidRDefault="00000000">
            <w:pPr>
              <w:spacing w:after="0" w:line="259" w:lineRule="auto"/>
              <w:ind w:left="0" w:right="0" w:firstLine="0"/>
              <w:jc w:val="left"/>
            </w:pPr>
            <w:r>
              <w:t>∼46 minutes (150 combi-</w:t>
            </w:r>
          </w:p>
          <w:p w14:paraId="1B030858" w14:textId="77777777" w:rsidR="00453D7A" w:rsidRDefault="00000000">
            <w:pPr>
              <w:spacing w:after="0" w:line="259" w:lineRule="auto"/>
              <w:ind w:left="0" w:right="0" w:firstLine="0"/>
              <w:jc w:val="left"/>
            </w:pPr>
            <w:r>
              <w:t>nations)</w:t>
            </w:r>
          </w:p>
        </w:tc>
        <w:tc>
          <w:tcPr>
            <w:tcW w:w="3641" w:type="dxa"/>
            <w:tcBorders>
              <w:top w:val="single" w:sz="3" w:space="0" w:color="000000"/>
              <w:left w:val="single" w:sz="3" w:space="0" w:color="000000"/>
              <w:bottom w:val="single" w:sz="3" w:space="0" w:color="000000"/>
              <w:right w:val="single" w:sz="3" w:space="0" w:color="000000"/>
            </w:tcBorders>
          </w:tcPr>
          <w:p w14:paraId="5E63E00C" w14:textId="77777777" w:rsidR="00453D7A" w:rsidRDefault="00000000">
            <w:pPr>
              <w:spacing w:after="0" w:line="259" w:lineRule="auto"/>
              <w:ind w:left="0" w:right="0" w:firstLine="0"/>
              <w:jc w:val="left"/>
            </w:pPr>
            <w:r>
              <w:t>∼27 minutes (34 epochs)</w:t>
            </w:r>
          </w:p>
        </w:tc>
      </w:tr>
      <w:tr w:rsidR="00453D7A" w14:paraId="087CE4D2" w14:textId="77777777">
        <w:trPr>
          <w:trHeight w:val="247"/>
        </w:trPr>
        <w:tc>
          <w:tcPr>
            <w:tcW w:w="2371" w:type="dxa"/>
            <w:tcBorders>
              <w:top w:val="single" w:sz="3" w:space="0" w:color="000000"/>
              <w:left w:val="single" w:sz="3" w:space="0" w:color="000000"/>
              <w:bottom w:val="single" w:sz="3" w:space="0" w:color="000000"/>
              <w:right w:val="single" w:sz="3" w:space="0" w:color="000000"/>
            </w:tcBorders>
          </w:tcPr>
          <w:p w14:paraId="19143351" w14:textId="77777777" w:rsidR="00453D7A" w:rsidRDefault="00000000">
            <w:pPr>
              <w:spacing w:after="0" w:line="259" w:lineRule="auto"/>
              <w:ind w:left="0" w:right="0" w:firstLine="0"/>
              <w:jc w:val="left"/>
            </w:pPr>
            <w:r>
              <w:t>Hardware</w:t>
            </w:r>
          </w:p>
        </w:tc>
        <w:tc>
          <w:tcPr>
            <w:tcW w:w="2507" w:type="dxa"/>
            <w:tcBorders>
              <w:top w:val="single" w:sz="3" w:space="0" w:color="000000"/>
              <w:left w:val="single" w:sz="3" w:space="0" w:color="000000"/>
              <w:bottom w:val="single" w:sz="3" w:space="0" w:color="000000"/>
              <w:right w:val="single" w:sz="3" w:space="0" w:color="000000"/>
            </w:tcBorders>
          </w:tcPr>
          <w:p w14:paraId="37016C97" w14:textId="77777777" w:rsidR="00453D7A" w:rsidRDefault="00000000">
            <w:pPr>
              <w:spacing w:after="0" w:line="259" w:lineRule="auto"/>
              <w:ind w:left="0" w:right="0" w:firstLine="0"/>
              <w:jc w:val="left"/>
            </w:pPr>
            <w:r>
              <w:t>CPU / GPU</w:t>
            </w:r>
          </w:p>
        </w:tc>
        <w:tc>
          <w:tcPr>
            <w:tcW w:w="3641" w:type="dxa"/>
            <w:tcBorders>
              <w:top w:val="single" w:sz="3" w:space="0" w:color="000000"/>
              <w:left w:val="single" w:sz="3" w:space="0" w:color="000000"/>
              <w:bottom w:val="single" w:sz="3" w:space="0" w:color="000000"/>
              <w:right w:val="single" w:sz="3" w:space="0" w:color="000000"/>
            </w:tcBorders>
          </w:tcPr>
          <w:p w14:paraId="4CAF9F3E" w14:textId="77777777" w:rsidR="00453D7A" w:rsidRDefault="00000000">
            <w:pPr>
              <w:spacing w:after="0" w:line="259" w:lineRule="auto"/>
              <w:ind w:left="0" w:right="0" w:firstLine="0"/>
              <w:jc w:val="left"/>
            </w:pPr>
            <w:r>
              <w:t>GPU</w:t>
            </w:r>
          </w:p>
        </w:tc>
      </w:tr>
      <w:tr w:rsidR="00453D7A" w14:paraId="40270214" w14:textId="77777777">
        <w:trPr>
          <w:trHeight w:val="725"/>
        </w:trPr>
        <w:tc>
          <w:tcPr>
            <w:tcW w:w="2371" w:type="dxa"/>
            <w:tcBorders>
              <w:top w:val="single" w:sz="3" w:space="0" w:color="000000"/>
              <w:left w:val="single" w:sz="3" w:space="0" w:color="000000"/>
              <w:bottom w:val="single" w:sz="3" w:space="0" w:color="000000"/>
              <w:right w:val="single" w:sz="3" w:space="0" w:color="000000"/>
            </w:tcBorders>
          </w:tcPr>
          <w:p w14:paraId="3A62F0DB" w14:textId="77777777" w:rsidR="00453D7A" w:rsidRDefault="00000000">
            <w:pPr>
              <w:spacing w:after="0" w:line="259" w:lineRule="auto"/>
              <w:ind w:left="0" w:right="0" w:firstLine="0"/>
              <w:jc w:val="left"/>
            </w:pPr>
            <w:r>
              <w:t>Grid search feasibility</w:t>
            </w:r>
          </w:p>
        </w:tc>
        <w:tc>
          <w:tcPr>
            <w:tcW w:w="2507" w:type="dxa"/>
            <w:tcBorders>
              <w:top w:val="single" w:sz="3" w:space="0" w:color="000000"/>
              <w:left w:val="single" w:sz="3" w:space="0" w:color="000000"/>
              <w:bottom w:val="single" w:sz="3" w:space="0" w:color="000000"/>
              <w:right w:val="single" w:sz="3" w:space="0" w:color="000000"/>
            </w:tcBorders>
          </w:tcPr>
          <w:p w14:paraId="00BECD9D" w14:textId="77777777" w:rsidR="00453D7A" w:rsidRDefault="00000000">
            <w:pPr>
              <w:spacing w:after="0" w:line="259" w:lineRule="auto"/>
              <w:ind w:left="0" w:right="0" w:firstLine="0"/>
            </w:pPr>
            <w:r>
              <w:t>Feasible due to histogrambased algorithm</w:t>
            </w:r>
          </w:p>
        </w:tc>
        <w:tc>
          <w:tcPr>
            <w:tcW w:w="3641" w:type="dxa"/>
            <w:tcBorders>
              <w:top w:val="single" w:sz="3" w:space="0" w:color="000000"/>
              <w:left w:val="single" w:sz="3" w:space="0" w:color="000000"/>
              <w:bottom w:val="single" w:sz="3" w:space="0" w:color="000000"/>
              <w:right w:val="single" w:sz="3" w:space="0" w:color="000000"/>
            </w:tcBorders>
          </w:tcPr>
          <w:p w14:paraId="32E2C186" w14:textId="77777777" w:rsidR="00453D7A" w:rsidRDefault="00000000">
            <w:pPr>
              <w:spacing w:after="0" w:line="259" w:lineRule="auto"/>
              <w:ind w:left="0" w:right="0" w:firstLine="0"/>
            </w:pPr>
            <w:r>
              <w:t>Feasible but extremely time-consuming at ∼27 minutes per run, therefore not performed</w:t>
            </w:r>
          </w:p>
        </w:tc>
      </w:tr>
    </w:tbl>
    <w:p w14:paraId="33879AC9" w14:textId="77777777" w:rsidR="00453D7A" w:rsidRDefault="00000000">
      <w:pPr>
        <w:spacing w:after="337"/>
        <w:ind w:left="-15" w:right="900" w:firstLine="299"/>
      </w:pPr>
      <w:r>
        <w:t>XGBoost’s histogram-based training algorithm (</w:t>
      </w:r>
      <w:r>
        <w:rPr>
          <w:rFonts w:ascii="Calibri" w:eastAsia="Calibri" w:hAnsi="Calibri" w:cs="Calibri"/>
        </w:rPr>
        <w:t>tree method=hist</w:t>
      </w:r>
      <w:r>
        <w:t xml:space="preserve">) was specifically designed to handle large datasets efficiently </w:t>
      </w:r>
      <w:r>
        <w:rPr>
          <w:color w:val="0000FF"/>
        </w:rPr>
        <w:t xml:space="preserve">Chen and Guestrin </w:t>
      </w:r>
      <w:r>
        <w:t>(</w:t>
      </w:r>
      <w:r>
        <w:rPr>
          <w:color w:val="0000FF"/>
        </w:rPr>
        <w:t>2016</w:t>
      </w:r>
      <w:r>
        <w:t xml:space="preserve">), allowing a single model to train in approximately 12 seconds on 6.6 million transactions. This speed made a 150-combination grid search feasible at a total cost of 46 minutes. The DQN, by contrast, processes transactions episode by episode and required approximately 10 minutes for Iteration 1 and 27 minutes for Iteration 2, with the faster per-epoch time in Iteration 2 likely attributable to the larger batch size of 256 compared to 20 in Iteration 1, improving GPU utilisation. A full grid search for the DQN would require running dozens of configurations at this cost each, making it infeasible within the scope of this </w:t>
      </w:r>
      <w:commentRangeStart w:id="11"/>
      <w:r>
        <w:t>research</w:t>
      </w:r>
      <w:commentRangeEnd w:id="11"/>
      <w:r w:rsidR="00DB06EB">
        <w:rPr>
          <w:rStyle w:val="CommentReference"/>
          <w:sz w:val="20"/>
          <w:szCs w:val="24"/>
        </w:rPr>
        <w:commentReference w:id="11"/>
      </w:r>
      <w:r>
        <w:t>.</w:t>
      </w:r>
    </w:p>
    <w:p w14:paraId="7449E742" w14:textId="77777777" w:rsidR="00453D7A" w:rsidRDefault="00000000">
      <w:pPr>
        <w:pStyle w:val="Heading2"/>
        <w:ind w:left="598" w:hanging="613"/>
      </w:pPr>
      <w:r>
        <w:t>Stakeholder Evaluation Results</w:t>
      </w:r>
    </w:p>
    <w:p w14:paraId="5239D1CD" w14:textId="77777777" w:rsidR="00453D7A" w:rsidRDefault="00000000">
      <w:pPr>
        <w:ind w:left="-5" w:right="900"/>
      </w:pPr>
      <w:r>
        <w:t xml:space="preserve">NO STAKEHOLDER EVALUATION HAS TAKEN PLACE YET process of how testing went and the feedback received? idk please help me on this </w:t>
      </w:r>
      <w:commentRangeStart w:id="12"/>
      <w:r>
        <w:t>one</w:t>
      </w:r>
      <w:commentRangeEnd w:id="12"/>
      <w:r w:rsidR="00374476">
        <w:rPr>
          <w:rStyle w:val="CommentReference"/>
          <w:sz w:val="20"/>
          <w:szCs w:val="24"/>
        </w:rPr>
        <w:commentReference w:id="12"/>
      </w:r>
      <w:r>
        <w:t>.</w:t>
      </w:r>
      <w:r>
        <w:br w:type="page"/>
      </w:r>
    </w:p>
    <w:p w14:paraId="0F3284DC" w14:textId="77777777" w:rsidR="00453D7A" w:rsidRDefault="00000000">
      <w:pPr>
        <w:pStyle w:val="Heading1"/>
        <w:ind w:left="469" w:hanging="484"/>
      </w:pPr>
      <w:commentRangeStart w:id="13"/>
      <w:r>
        <w:lastRenderedPageBreak/>
        <w:t>Discussion</w:t>
      </w:r>
      <w:commentRangeEnd w:id="13"/>
      <w:r w:rsidR="00DB06EB">
        <w:rPr>
          <w:rStyle w:val="CommentReference"/>
          <w:sz w:val="29"/>
          <w:szCs w:val="24"/>
        </w:rPr>
        <w:commentReference w:id="13"/>
      </w:r>
    </w:p>
    <w:p w14:paraId="201FA82B" w14:textId="77777777" w:rsidR="00453D7A" w:rsidRPr="009132E9" w:rsidRDefault="00000000">
      <w:pPr>
        <w:spacing w:after="0" w:line="252" w:lineRule="auto"/>
        <w:ind w:left="-5" w:right="900"/>
        <w:rPr>
          <w:lang w:val="nl-NL"/>
        </w:rPr>
      </w:pPr>
      <w:r w:rsidRPr="009132E9">
        <w:rPr>
          <w:b/>
          <w:lang w:val="nl-NL"/>
        </w:rPr>
        <w:t>HALLO! DIT IS NOG DE DISCUSSIE SECTIE VAN MIJN PVA MAAR IK HEB ERG VEEL SLAAP DUS IK DOE DIT WEL NA DE 70% VERSIE. IK NEEM AAN DAT ALS IK DISCUSSIE EN CONCLUSIE OPEN LAAT, DE WIKI NOG MOET UPDATEN EN HET PROTOTYPE EN STAKEHOLDER EVALUATIE ENZO DAT DAT WEL TE DOEN IS VOOR 12 JUNI. en dan zorg ik er eventueel voor dat de onderdelen die ik maak na de 70% versie dat ik daar apart feedback voor vraag zodat ik niet inlever zonder feedback?</w:t>
      </w:r>
    </w:p>
    <w:p w14:paraId="79832E98" w14:textId="77777777" w:rsidR="00453D7A" w:rsidRDefault="00000000">
      <w:pPr>
        <w:spacing w:after="338"/>
        <w:ind w:left="-15" w:right="900" w:firstLine="299"/>
      </w:pPr>
      <w:r>
        <w:t>This chapter outlines the anticipated limitations, risks, and safeguards that are relevant to the validity and reliability of this research.</w:t>
      </w:r>
    </w:p>
    <w:p w14:paraId="389F672B" w14:textId="77777777" w:rsidR="00453D7A" w:rsidRDefault="00000000">
      <w:pPr>
        <w:pStyle w:val="Heading2"/>
        <w:ind w:left="598" w:hanging="613"/>
      </w:pPr>
      <w:r>
        <w:t>Anticipated Limitations</w:t>
      </w:r>
    </w:p>
    <w:p w14:paraId="5645B051" w14:textId="77777777" w:rsidR="00453D7A" w:rsidRDefault="00000000">
      <w:pPr>
        <w:ind w:left="-5" w:right="900"/>
      </w:pPr>
      <w:r>
        <w:t>Several limitations are anticipated that may affect the findings of this research.</w:t>
      </w:r>
    </w:p>
    <w:p w14:paraId="4A89E925" w14:textId="77777777" w:rsidR="00453D7A" w:rsidRDefault="00000000">
      <w:pPr>
        <w:ind w:left="-15" w:right="900" w:firstLine="299"/>
      </w:pPr>
      <w:r>
        <w:rPr>
          <w:b/>
        </w:rPr>
        <w:t xml:space="preserve">Synthetic dataset. </w:t>
      </w:r>
      <w:r>
        <w:t>The SAML-D dataset is synthetic, meaning the results may not fully translate to real banking environments. Patterns present in real transaction data may differ from those encoded in the dataset’s.</w:t>
      </w:r>
    </w:p>
    <w:p w14:paraId="27C2027D" w14:textId="77777777" w:rsidR="00453D7A" w:rsidRDefault="00000000">
      <w:pPr>
        <w:ind w:left="-15" w:right="900" w:firstLine="299"/>
      </w:pPr>
      <w:r>
        <w:rPr>
          <w:b/>
        </w:rPr>
        <w:t xml:space="preserve">Single dataset. </w:t>
      </w:r>
      <w:r>
        <w:t>This research evaluates both models on a single dataset. Results may therefore be specific to the characteristics of SAML-D and may not hold across different datasets or banking contexts.</w:t>
      </w:r>
    </w:p>
    <w:p w14:paraId="58E64B47" w14:textId="77777777" w:rsidR="00453D7A" w:rsidRDefault="00000000">
      <w:pPr>
        <w:ind w:left="-15" w:right="900" w:firstLine="299"/>
      </w:pPr>
      <w:r>
        <w:rPr>
          <w:b/>
        </w:rPr>
        <w:t xml:space="preserve">DQN reward function design. </w:t>
      </w:r>
      <w:r>
        <w:t>The performance of a DQN is highly sensitive to the design of the reward function. A poorly designed reward may lead to suboptimal behaviour, such as the agent learning to avoid flagging transactions altogether to minimise penalties. Designing a reward function that accurately reflects the cost of false positives and false negatives in an AML context is a non-trivial challenge.</w:t>
      </w:r>
    </w:p>
    <w:p w14:paraId="15E2C2C7" w14:textId="77777777" w:rsidR="00453D7A" w:rsidRDefault="00000000">
      <w:pPr>
        <w:spacing w:after="338"/>
        <w:ind w:left="-15" w:right="900" w:firstLine="299"/>
      </w:pPr>
      <w:r>
        <w:rPr>
          <w:b/>
        </w:rPr>
        <w:t xml:space="preserve">Explainability of DQN. </w:t>
      </w:r>
      <w:r>
        <w:t>While SHAP values will be applied post-hoc to interpret the DQN’s decisions, it is not guaranteed that these explanations will be as reliable or consistent as those produced by XGBoost, which does not require additional explainability methods as its decision-making process is transparent by design.</w:t>
      </w:r>
    </w:p>
    <w:p w14:paraId="375719EB" w14:textId="77777777" w:rsidR="00453D7A" w:rsidRDefault="00000000">
      <w:pPr>
        <w:pStyle w:val="Heading2"/>
        <w:ind w:left="598" w:hanging="613"/>
      </w:pPr>
      <w:r>
        <w:t>Risk Analysis</w:t>
      </w:r>
    </w:p>
    <w:p w14:paraId="238A2D1B" w14:textId="77777777" w:rsidR="00453D7A" w:rsidRDefault="00000000">
      <w:pPr>
        <w:ind w:left="-5" w:right="900"/>
      </w:pPr>
      <w:r>
        <w:t>The following risks are identified that could affect the successful completion of this research.</w:t>
      </w:r>
    </w:p>
    <w:p w14:paraId="06F12B65" w14:textId="77777777" w:rsidR="00453D7A" w:rsidRDefault="00000000">
      <w:pPr>
        <w:ind w:left="-15" w:right="900" w:firstLine="299"/>
      </w:pPr>
      <w:r>
        <w:rPr>
          <w:b/>
        </w:rPr>
        <w:t xml:space="preserve">DQN convergence. </w:t>
      </w:r>
      <w:r>
        <w:t xml:space="preserve">Deep Q-Networks can be difficult to train and may fail to converge, particularly on highly imbalanced datasets. If the DQN fails to learn a meaningful policy, the comparison with XGBoost would not be informative. This risk is mitigated by closely following the architecture and hyperparameters used by Qayoom et al. </w:t>
      </w:r>
      <w:r>
        <w:rPr>
          <w:color w:val="0000FF"/>
        </w:rPr>
        <w:t xml:space="preserve">Qayoom et al. </w:t>
      </w:r>
      <w:r>
        <w:t>(</w:t>
      </w:r>
      <w:r>
        <w:rPr>
          <w:color w:val="0000FF"/>
        </w:rPr>
        <w:t>2024</w:t>
      </w:r>
      <w:r>
        <w:t>) as a starting point.</w:t>
      </w:r>
    </w:p>
    <w:p w14:paraId="6D1A7936" w14:textId="77777777" w:rsidR="00453D7A" w:rsidRDefault="00000000">
      <w:pPr>
        <w:ind w:left="-15" w:right="900" w:firstLine="299"/>
      </w:pPr>
      <w:r>
        <w:rPr>
          <w:b/>
        </w:rPr>
        <w:t xml:space="preserve">Computational resources. </w:t>
      </w:r>
      <w:r>
        <w:t>Training a DQN on 9.5 million transactions may require significant computational resources. If training time becomes prohibitive, a smaller subset of the SAML-D dataset may be used, which could affect the generalizability of the results.</w:t>
      </w:r>
    </w:p>
    <w:p w14:paraId="2BA8FD50" w14:textId="77777777" w:rsidR="00453D7A" w:rsidRDefault="00000000">
      <w:pPr>
        <w:ind w:left="-15" w:right="900" w:firstLine="299"/>
      </w:pPr>
      <w:r>
        <w:rPr>
          <w:b/>
        </w:rPr>
        <w:t xml:space="preserve">Class imbalance impact. </w:t>
      </w:r>
      <w:r>
        <w:t xml:space="preserve">The extreme class imbalance of 0.104% may make it difficult for both models to learn meaningful patterns. If neither model achieves satisfactory performance, the results may be inconclusive. This risk is mitigated by using AUPRC as the evaluation metric and applying threshold-based classification. If the imbalance proves too extreme during experimentation, the SAMLD data generator </w:t>
      </w:r>
      <w:r>
        <w:rPr>
          <w:color w:val="0000FF"/>
        </w:rPr>
        <w:t xml:space="preserve">Oztas et al. </w:t>
      </w:r>
      <w:r>
        <w:t>(</w:t>
      </w:r>
      <w:r>
        <w:rPr>
          <w:color w:val="0000FF"/>
        </w:rPr>
        <w:t>2023</w:t>
      </w:r>
      <w:r>
        <w:t>) can be used to generate additional laundering cases, reducing the imbalance to a more manageable ratio.</w:t>
      </w:r>
    </w:p>
    <w:p w14:paraId="0D0AA0BC" w14:textId="77777777" w:rsidR="00453D7A" w:rsidRDefault="00000000">
      <w:pPr>
        <w:ind w:left="-15" w:right="900" w:firstLine="299"/>
      </w:pPr>
      <w:r>
        <w:rPr>
          <w:b/>
        </w:rPr>
        <w:t xml:space="preserve">Stakeholder availability. </w:t>
      </w:r>
      <w:r>
        <w:t>The stakeholder evaluation with DLL depends on the availability of relevant personnel. If this evaluation cannot be conducted, several fallback options are available. As a first alternative, the evaluation will be conducted with a domain expert who has over 13 years of experience at ABN AMRO and holds an AML certification, providing equivalent industry expertise. If this is also not feasible, the evaluation will be conducted with a data scientist familiar with AML systems. In the worst case, the explainability analysis will be limited to a theoretical assessment based on the SHAP outputs alone.</w:t>
      </w:r>
    </w:p>
    <w:p w14:paraId="6BC50863" w14:textId="77777777" w:rsidR="00453D7A" w:rsidRDefault="00000000">
      <w:pPr>
        <w:pStyle w:val="Heading2"/>
        <w:ind w:left="598" w:hanging="613"/>
      </w:pPr>
      <w:r>
        <w:t>Planned Validity and Reliability Safeguards</w:t>
      </w:r>
    </w:p>
    <w:p w14:paraId="00DFB1BC" w14:textId="77777777" w:rsidR="00453D7A" w:rsidRDefault="00000000">
      <w:pPr>
        <w:ind w:left="-5" w:right="900"/>
      </w:pPr>
      <w:r>
        <w:t>The following measures are planned to ensure the validity and reliability of the research findings.</w:t>
      </w:r>
    </w:p>
    <w:p w14:paraId="20B21ED7" w14:textId="77777777" w:rsidR="00453D7A" w:rsidRDefault="00000000">
      <w:pPr>
        <w:ind w:left="-15" w:right="900" w:firstLine="299"/>
      </w:pPr>
      <w:r>
        <w:rPr>
          <w:b/>
        </w:rPr>
        <w:lastRenderedPageBreak/>
        <w:t xml:space="preserve">Reproducibility. </w:t>
      </w:r>
      <w:r>
        <w:t>All experiments will be conducted with a fixed random seed to ensure that results can be reproduced.</w:t>
      </w:r>
    </w:p>
    <w:p w14:paraId="6C55D1A8" w14:textId="77777777" w:rsidR="00453D7A" w:rsidRDefault="00000000">
      <w:pPr>
        <w:ind w:left="-15" w:right="900" w:firstLine="299"/>
      </w:pPr>
      <w:r>
        <w:rPr>
          <w:b/>
        </w:rPr>
        <w:t xml:space="preserve">Fair comparison. </w:t>
      </w:r>
      <w:r>
        <w:t>Both models will be trained and evaluated on the same dataset, using the same chronological 70/15/15 train/validation/test split and the same evaluation metric.</w:t>
      </w:r>
    </w:p>
    <w:p w14:paraId="3358FE2D" w14:textId="77777777" w:rsidR="00453D7A" w:rsidRDefault="00000000">
      <w:pPr>
        <w:ind w:left="-15" w:right="900" w:firstLine="299"/>
      </w:pPr>
      <w:r>
        <w:rPr>
          <w:b/>
        </w:rPr>
        <w:t xml:space="preserve">Transparent reporting. </w:t>
      </w:r>
      <w:r>
        <w:t>Both positive and negative results will be reported honestly. If XGBoost outperforms the DQN, this will be reported and interpreted rather than dismissed.</w:t>
      </w:r>
    </w:p>
    <w:p w14:paraId="781BC1DC" w14:textId="77777777" w:rsidR="00453D7A" w:rsidRDefault="00000000">
      <w:pPr>
        <w:ind w:left="-15" w:right="900" w:firstLine="299"/>
      </w:pPr>
      <w:r>
        <w:rPr>
          <w:b/>
        </w:rPr>
        <w:t xml:space="preserve">Literature alignment. </w:t>
      </w:r>
      <w:r>
        <w:t>All methodological choices are grounded in the existing literature and industry practice, as documented throughout this thesis. This ensures that the research design is defensible and comparable to prior work.</w:t>
      </w:r>
      <w:r>
        <w:br w:type="page"/>
      </w:r>
    </w:p>
    <w:p w14:paraId="5BE919FE" w14:textId="77777777" w:rsidR="00453D7A" w:rsidRDefault="00000000">
      <w:pPr>
        <w:pStyle w:val="Heading1"/>
        <w:ind w:left="631" w:hanging="646"/>
      </w:pPr>
      <w:commentRangeStart w:id="14"/>
      <w:r>
        <w:lastRenderedPageBreak/>
        <w:t>Conclusion</w:t>
      </w:r>
      <w:commentRangeEnd w:id="14"/>
      <w:r w:rsidR="00DB06EB">
        <w:rPr>
          <w:rStyle w:val="CommentReference"/>
          <w:sz w:val="29"/>
          <w:szCs w:val="24"/>
        </w:rPr>
        <w:commentReference w:id="14"/>
      </w:r>
    </w:p>
    <w:p w14:paraId="189715E5" w14:textId="77777777" w:rsidR="00453D7A" w:rsidRDefault="00000000">
      <w:pPr>
        <w:spacing w:after="338"/>
        <w:ind w:left="-5" w:right="900"/>
      </w:pPr>
      <w:r>
        <w:t>This chapter summarises the research objective, the planned deliverables, and the milestones that structure the execution of this research.</w:t>
      </w:r>
    </w:p>
    <w:p w14:paraId="772FA5E4" w14:textId="77777777" w:rsidR="00453D7A" w:rsidRDefault="00000000">
      <w:pPr>
        <w:pStyle w:val="Heading2"/>
        <w:ind w:left="732" w:hanging="747"/>
      </w:pPr>
      <w:r>
        <w:t>Clear Objective</w:t>
      </w:r>
    </w:p>
    <w:p w14:paraId="79FC0267" w14:textId="77777777" w:rsidR="00453D7A" w:rsidRDefault="00000000">
      <w:pPr>
        <w:spacing w:after="338"/>
        <w:ind w:left="-5" w:right="900"/>
      </w:pPr>
      <w:r>
        <w:t>This research investigates whether Reinforcement Learning can effectively detect money laundering and how it compares to leading supervised learning methods on tabular banking transaction data. To answer this, a Deep Q-Network is implemented and benchmarked against XGBoost, the current industry and academic standard, on the SAML-D dataset. The research additionally addresses the explainability requirement imposed by the Wwft by incorporating SHAP-based explanations into the proposed model.</w:t>
      </w:r>
    </w:p>
    <w:p w14:paraId="53F51CE2" w14:textId="77777777" w:rsidR="00453D7A" w:rsidRDefault="00000000">
      <w:pPr>
        <w:pStyle w:val="Heading2"/>
        <w:ind w:left="732" w:hanging="747"/>
      </w:pPr>
      <w:r>
        <w:t>Deliverables</w:t>
      </w:r>
    </w:p>
    <w:p w14:paraId="7D61E07E" w14:textId="77777777" w:rsidR="00453D7A" w:rsidRDefault="00000000">
      <w:pPr>
        <w:spacing w:after="235"/>
        <w:ind w:left="-5" w:right="900"/>
      </w:pPr>
      <w:r>
        <w:t>This research produces the following deliverables:</w:t>
      </w:r>
    </w:p>
    <w:p w14:paraId="2EEE2C2C" w14:textId="77777777" w:rsidR="00453D7A" w:rsidRDefault="00000000">
      <w:pPr>
        <w:numPr>
          <w:ilvl w:val="0"/>
          <w:numId w:val="3"/>
        </w:numPr>
        <w:spacing w:after="211"/>
        <w:ind w:right="900" w:hanging="199"/>
      </w:pPr>
      <w:r>
        <w:t>A trained XGBoost baseline model evaluated on the SAML-D dataset.</w:t>
      </w:r>
    </w:p>
    <w:p w14:paraId="02216B21" w14:textId="77777777" w:rsidR="00453D7A" w:rsidRDefault="00000000">
      <w:pPr>
        <w:numPr>
          <w:ilvl w:val="0"/>
          <w:numId w:val="3"/>
        </w:numPr>
        <w:spacing w:after="211"/>
        <w:ind w:right="900" w:hanging="199"/>
      </w:pPr>
      <w:r>
        <w:t>A trained Deep Q-Network model evaluated on the same dataset under identical conditions.</w:t>
      </w:r>
    </w:p>
    <w:p w14:paraId="57178DFB" w14:textId="77777777" w:rsidR="00453D7A" w:rsidRDefault="00000000">
      <w:pPr>
        <w:numPr>
          <w:ilvl w:val="0"/>
          <w:numId w:val="3"/>
        </w:numPr>
        <w:spacing w:after="211"/>
        <w:ind w:right="900" w:hanging="199"/>
      </w:pPr>
      <w:r>
        <w:t>A quantitative performance comparison between both models using AUPRC.</w:t>
      </w:r>
    </w:p>
    <w:p w14:paraId="3DAEAA7B" w14:textId="77777777" w:rsidR="00453D7A" w:rsidRDefault="00000000">
      <w:pPr>
        <w:numPr>
          <w:ilvl w:val="0"/>
          <w:numId w:val="3"/>
        </w:numPr>
        <w:spacing w:after="211"/>
        <w:ind w:right="900" w:hanging="199"/>
      </w:pPr>
      <w:r>
        <w:t>SHAP-based explanations for flagged transactions produced by both models.</w:t>
      </w:r>
    </w:p>
    <w:p w14:paraId="70CF086C" w14:textId="77777777" w:rsidR="00453D7A" w:rsidRDefault="00000000">
      <w:pPr>
        <w:numPr>
          <w:ilvl w:val="0"/>
          <w:numId w:val="3"/>
        </w:numPr>
        <w:spacing w:after="211"/>
        <w:ind w:right="900" w:hanging="199"/>
      </w:pPr>
      <w:r>
        <w:t>A stakeholder testing report based on feedback from DLL.</w:t>
      </w:r>
    </w:p>
    <w:p w14:paraId="51830BF9" w14:textId="77777777" w:rsidR="00453D7A" w:rsidRDefault="00000000">
      <w:pPr>
        <w:numPr>
          <w:ilvl w:val="0"/>
          <w:numId w:val="3"/>
        </w:numPr>
        <w:spacing w:after="352"/>
        <w:ind w:right="900" w:hanging="199"/>
      </w:pPr>
      <w:r>
        <w:t>A thesis document, serving as the full research report.</w:t>
      </w:r>
    </w:p>
    <w:p w14:paraId="2B6F2926" w14:textId="77777777" w:rsidR="00453D7A" w:rsidRDefault="00000000">
      <w:pPr>
        <w:pStyle w:val="Heading2"/>
        <w:ind w:left="732" w:hanging="747"/>
      </w:pPr>
      <w:r>
        <w:t>Realistic Planning and Milestones</w:t>
      </w:r>
    </w:p>
    <w:p w14:paraId="628A5A8A" w14:textId="77777777" w:rsidR="00453D7A" w:rsidRDefault="00000000">
      <w:pPr>
        <w:spacing w:after="384"/>
        <w:ind w:left="-5" w:right="900"/>
      </w:pPr>
      <w:r>
        <w:t>The research is planned according to the following milestones:</w:t>
      </w:r>
    </w:p>
    <w:p w14:paraId="70C041C3" w14:textId="77777777" w:rsidR="00453D7A" w:rsidRDefault="00000000">
      <w:pPr>
        <w:spacing w:after="0" w:line="265" w:lineRule="auto"/>
        <w:ind w:right="915"/>
        <w:jc w:val="center"/>
      </w:pPr>
      <w:r>
        <w:t>Table 19: Planning and Milestones</w:t>
      </w:r>
    </w:p>
    <w:tbl>
      <w:tblPr>
        <w:tblStyle w:val="TableGrid"/>
        <w:tblW w:w="6136" w:type="dxa"/>
        <w:tblInd w:w="1351" w:type="dxa"/>
        <w:tblCellMar>
          <w:top w:w="33" w:type="dxa"/>
          <w:left w:w="120" w:type="dxa"/>
          <w:bottom w:w="0" w:type="dxa"/>
          <w:right w:w="115" w:type="dxa"/>
        </w:tblCellMar>
        <w:tblLook w:val="04A0" w:firstRow="1" w:lastRow="0" w:firstColumn="1" w:lastColumn="0" w:noHBand="0" w:noVBand="1"/>
      </w:tblPr>
      <w:tblGrid>
        <w:gridCol w:w="1524"/>
        <w:gridCol w:w="4612"/>
      </w:tblGrid>
      <w:tr w:rsidR="00453D7A" w14:paraId="02747A8E" w14:textId="77777777">
        <w:trPr>
          <w:trHeight w:val="247"/>
        </w:trPr>
        <w:tc>
          <w:tcPr>
            <w:tcW w:w="1524" w:type="dxa"/>
            <w:tcBorders>
              <w:top w:val="single" w:sz="3" w:space="0" w:color="000000"/>
              <w:left w:val="single" w:sz="3" w:space="0" w:color="000000"/>
              <w:bottom w:val="single" w:sz="3" w:space="0" w:color="000000"/>
              <w:right w:val="single" w:sz="3" w:space="0" w:color="000000"/>
            </w:tcBorders>
          </w:tcPr>
          <w:p w14:paraId="1AA7C9AE" w14:textId="77777777" w:rsidR="00453D7A" w:rsidRDefault="00000000">
            <w:pPr>
              <w:spacing w:after="0" w:line="259" w:lineRule="auto"/>
              <w:ind w:left="0" w:right="0" w:firstLine="0"/>
              <w:jc w:val="left"/>
            </w:pPr>
            <w:r>
              <w:rPr>
                <w:b/>
              </w:rPr>
              <w:t>Date</w:t>
            </w:r>
          </w:p>
        </w:tc>
        <w:tc>
          <w:tcPr>
            <w:tcW w:w="4612" w:type="dxa"/>
            <w:tcBorders>
              <w:top w:val="single" w:sz="3" w:space="0" w:color="000000"/>
              <w:left w:val="single" w:sz="3" w:space="0" w:color="000000"/>
              <w:bottom w:val="single" w:sz="3" w:space="0" w:color="000000"/>
              <w:right w:val="single" w:sz="3" w:space="0" w:color="000000"/>
            </w:tcBorders>
          </w:tcPr>
          <w:p w14:paraId="31F0EB02" w14:textId="77777777" w:rsidR="00453D7A" w:rsidRDefault="00000000">
            <w:pPr>
              <w:spacing w:after="0" w:line="259" w:lineRule="auto"/>
              <w:ind w:left="0" w:right="0" w:firstLine="0"/>
              <w:jc w:val="left"/>
            </w:pPr>
            <w:r>
              <w:rPr>
                <w:b/>
              </w:rPr>
              <w:t>Milestone</w:t>
            </w:r>
          </w:p>
        </w:tc>
      </w:tr>
      <w:tr w:rsidR="00453D7A" w14:paraId="687E28A0" w14:textId="77777777">
        <w:trPr>
          <w:trHeight w:val="247"/>
        </w:trPr>
        <w:tc>
          <w:tcPr>
            <w:tcW w:w="1524" w:type="dxa"/>
            <w:tcBorders>
              <w:top w:val="single" w:sz="3" w:space="0" w:color="000000"/>
              <w:left w:val="single" w:sz="3" w:space="0" w:color="000000"/>
              <w:bottom w:val="single" w:sz="3" w:space="0" w:color="000000"/>
              <w:right w:val="single" w:sz="3" w:space="0" w:color="000000"/>
            </w:tcBorders>
          </w:tcPr>
          <w:p w14:paraId="498E505C" w14:textId="77777777" w:rsidR="00453D7A" w:rsidRDefault="00000000">
            <w:pPr>
              <w:spacing w:after="0" w:line="259" w:lineRule="auto"/>
              <w:ind w:left="0" w:right="0" w:firstLine="0"/>
              <w:jc w:val="left"/>
            </w:pPr>
            <w:r>
              <w:t>23 March 2026</w:t>
            </w:r>
          </w:p>
        </w:tc>
        <w:tc>
          <w:tcPr>
            <w:tcW w:w="4612" w:type="dxa"/>
            <w:tcBorders>
              <w:top w:val="single" w:sz="3" w:space="0" w:color="000000"/>
              <w:left w:val="single" w:sz="3" w:space="0" w:color="000000"/>
              <w:bottom w:val="single" w:sz="3" w:space="0" w:color="000000"/>
              <w:right w:val="single" w:sz="3" w:space="0" w:color="000000"/>
            </w:tcBorders>
          </w:tcPr>
          <w:p w14:paraId="73ADAACB" w14:textId="77777777" w:rsidR="00453D7A" w:rsidRDefault="00000000">
            <w:pPr>
              <w:spacing w:after="0" w:line="259" w:lineRule="auto"/>
              <w:ind w:left="0" w:right="0" w:firstLine="0"/>
              <w:jc w:val="left"/>
            </w:pPr>
            <w:r>
              <w:t>Ethics Peer Review presentation</w:t>
            </w:r>
          </w:p>
        </w:tc>
      </w:tr>
      <w:tr w:rsidR="00453D7A" w14:paraId="4DA8BAF3" w14:textId="77777777">
        <w:trPr>
          <w:trHeight w:val="247"/>
        </w:trPr>
        <w:tc>
          <w:tcPr>
            <w:tcW w:w="1524" w:type="dxa"/>
            <w:tcBorders>
              <w:top w:val="single" w:sz="3" w:space="0" w:color="000000"/>
              <w:left w:val="single" w:sz="3" w:space="0" w:color="000000"/>
              <w:bottom w:val="single" w:sz="3" w:space="0" w:color="000000"/>
              <w:right w:val="single" w:sz="3" w:space="0" w:color="000000"/>
            </w:tcBorders>
          </w:tcPr>
          <w:p w14:paraId="4AE97E22" w14:textId="77777777" w:rsidR="00453D7A" w:rsidRDefault="00000000">
            <w:pPr>
              <w:spacing w:after="0" w:line="259" w:lineRule="auto"/>
              <w:ind w:left="0" w:right="0" w:firstLine="0"/>
              <w:jc w:val="left"/>
            </w:pPr>
            <w:r>
              <w:t>1 April 2026</w:t>
            </w:r>
          </w:p>
        </w:tc>
        <w:tc>
          <w:tcPr>
            <w:tcW w:w="4612" w:type="dxa"/>
            <w:tcBorders>
              <w:top w:val="single" w:sz="3" w:space="0" w:color="000000"/>
              <w:left w:val="single" w:sz="3" w:space="0" w:color="000000"/>
              <w:bottom w:val="single" w:sz="3" w:space="0" w:color="000000"/>
              <w:right w:val="single" w:sz="3" w:space="0" w:color="000000"/>
            </w:tcBorders>
          </w:tcPr>
          <w:p w14:paraId="7A98A96D" w14:textId="77777777" w:rsidR="00453D7A" w:rsidRDefault="00000000">
            <w:pPr>
              <w:spacing w:after="0" w:line="259" w:lineRule="auto"/>
              <w:ind w:left="0" w:right="0" w:firstLine="0"/>
              <w:jc w:val="left"/>
            </w:pPr>
            <w:r>
              <w:t>Progress meeting Block 3 and feedback processing</w:t>
            </w:r>
          </w:p>
        </w:tc>
      </w:tr>
      <w:tr w:rsidR="00453D7A" w14:paraId="343F13E7" w14:textId="77777777">
        <w:trPr>
          <w:trHeight w:val="247"/>
        </w:trPr>
        <w:tc>
          <w:tcPr>
            <w:tcW w:w="1524" w:type="dxa"/>
            <w:tcBorders>
              <w:top w:val="single" w:sz="3" w:space="0" w:color="000000"/>
              <w:left w:val="single" w:sz="3" w:space="0" w:color="000000"/>
              <w:bottom w:val="single" w:sz="3" w:space="0" w:color="000000"/>
              <w:right w:val="single" w:sz="3" w:space="0" w:color="000000"/>
            </w:tcBorders>
          </w:tcPr>
          <w:p w14:paraId="5D18DBF6" w14:textId="77777777" w:rsidR="00453D7A" w:rsidRDefault="00000000">
            <w:pPr>
              <w:spacing w:after="0" w:line="259" w:lineRule="auto"/>
              <w:ind w:left="0" w:right="0" w:firstLine="0"/>
              <w:jc w:val="left"/>
            </w:pPr>
            <w:r>
              <w:t>11 May 2026</w:t>
            </w:r>
          </w:p>
        </w:tc>
        <w:tc>
          <w:tcPr>
            <w:tcW w:w="4612" w:type="dxa"/>
            <w:tcBorders>
              <w:top w:val="single" w:sz="3" w:space="0" w:color="000000"/>
              <w:left w:val="single" w:sz="3" w:space="0" w:color="000000"/>
              <w:bottom w:val="single" w:sz="3" w:space="0" w:color="000000"/>
              <w:right w:val="single" w:sz="3" w:space="0" w:color="000000"/>
            </w:tcBorders>
          </w:tcPr>
          <w:p w14:paraId="1DBB447C" w14:textId="77777777" w:rsidR="00453D7A" w:rsidRDefault="00000000">
            <w:pPr>
              <w:spacing w:after="0" w:line="259" w:lineRule="auto"/>
              <w:ind w:left="0" w:right="0" w:firstLine="0"/>
              <w:jc w:val="left"/>
            </w:pPr>
            <w:r>
              <w:t>70% version</w:t>
            </w:r>
          </w:p>
        </w:tc>
      </w:tr>
      <w:tr w:rsidR="00453D7A" w14:paraId="0024998F" w14:textId="77777777">
        <w:trPr>
          <w:trHeight w:val="247"/>
        </w:trPr>
        <w:tc>
          <w:tcPr>
            <w:tcW w:w="1524" w:type="dxa"/>
            <w:tcBorders>
              <w:top w:val="single" w:sz="3" w:space="0" w:color="000000"/>
              <w:left w:val="single" w:sz="3" w:space="0" w:color="000000"/>
              <w:bottom w:val="single" w:sz="3" w:space="0" w:color="000000"/>
              <w:right w:val="single" w:sz="3" w:space="0" w:color="000000"/>
            </w:tcBorders>
          </w:tcPr>
          <w:p w14:paraId="72EB4A00" w14:textId="77777777" w:rsidR="00453D7A" w:rsidRDefault="00000000">
            <w:pPr>
              <w:spacing w:after="0" w:line="259" w:lineRule="auto"/>
              <w:ind w:left="0" w:right="0" w:firstLine="0"/>
              <w:jc w:val="left"/>
            </w:pPr>
            <w:r>
              <w:t>4 May 2026</w:t>
            </w:r>
          </w:p>
        </w:tc>
        <w:tc>
          <w:tcPr>
            <w:tcW w:w="4612" w:type="dxa"/>
            <w:tcBorders>
              <w:top w:val="single" w:sz="3" w:space="0" w:color="000000"/>
              <w:left w:val="single" w:sz="3" w:space="0" w:color="000000"/>
              <w:bottom w:val="single" w:sz="3" w:space="0" w:color="000000"/>
              <w:right w:val="single" w:sz="3" w:space="0" w:color="000000"/>
            </w:tcBorders>
          </w:tcPr>
          <w:p w14:paraId="4782CDF9" w14:textId="77777777" w:rsidR="00453D7A" w:rsidRDefault="00000000">
            <w:pPr>
              <w:spacing w:after="0" w:line="259" w:lineRule="auto"/>
              <w:ind w:left="0" w:right="0" w:firstLine="0"/>
              <w:jc w:val="left"/>
            </w:pPr>
            <w:r>
              <w:t>Progress meeting Block 4</w:t>
            </w:r>
          </w:p>
        </w:tc>
      </w:tr>
      <w:tr w:rsidR="00453D7A" w14:paraId="715B2017" w14:textId="77777777">
        <w:trPr>
          <w:trHeight w:val="247"/>
        </w:trPr>
        <w:tc>
          <w:tcPr>
            <w:tcW w:w="1524" w:type="dxa"/>
            <w:tcBorders>
              <w:top w:val="single" w:sz="3" w:space="0" w:color="000000"/>
              <w:left w:val="single" w:sz="3" w:space="0" w:color="000000"/>
              <w:bottom w:val="single" w:sz="3" w:space="0" w:color="000000"/>
              <w:right w:val="single" w:sz="3" w:space="0" w:color="000000"/>
            </w:tcBorders>
          </w:tcPr>
          <w:p w14:paraId="1723BD19" w14:textId="77777777" w:rsidR="00453D7A" w:rsidRDefault="00000000">
            <w:pPr>
              <w:spacing w:after="0" w:line="259" w:lineRule="auto"/>
              <w:ind w:left="0" w:right="0" w:firstLine="0"/>
              <w:jc w:val="left"/>
            </w:pPr>
            <w:r>
              <w:t>13 May 2026</w:t>
            </w:r>
          </w:p>
        </w:tc>
        <w:tc>
          <w:tcPr>
            <w:tcW w:w="4612" w:type="dxa"/>
            <w:tcBorders>
              <w:top w:val="single" w:sz="3" w:space="0" w:color="000000"/>
              <w:left w:val="single" w:sz="3" w:space="0" w:color="000000"/>
              <w:bottom w:val="single" w:sz="3" w:space="0" w:color="000000"/>
              <w:right w:val="single" w:sz="3" w:space="0" w:color="000000"/>
            </w:tcBorders>
          </w:tcPr>
          <w:p w14:paraId="511A19C3" w14:textId="77777777" w:rsidR="00453D7A" w:rsidRDefault="00000000">
            <w:pPr>
              <w:spacing w:after="0" w:line="259" w:lineRule="auto"/>
              <w:ind w:left="0" w:right="0" w:firstLine="0"/>
              <w:jc w:val="left"/>
            </w:pPr>
            <w:r>
              <w:t>Feedback processing Block 4</w:t>
            </w:r>
          </w:p>
        </w:tc>
      </w:tr>
      <w:tr w:rsidR="00453D7A" w14:paraId="4E01D3F1" w14:textId="77777777">
        <w:trPr>
          <w:trHeight w:val="247"/>
        </w:trPr>
        <w:tc>
          <w:tcPr>
            <w:tcW w:w="1524" w:type="dxa"/>
            <w:tcBorders>
              <w:top w:val="single" w:sz="3" w:space="0" w:color="000000"/>
              <w:left w:val="single" w:sz="3" w:space="0" w:color="000000"/>
              <w:bottom w:val="single" w:sz="3" w:space="0" w:color="000000"/>
              <w:right w:val="single" w:sz="3" w:space="0" w:color="000000"/>
            </w:tcBorders>
          </w:tcPr>
          <w:p w14:paraId="4FEB04FF" w14:textId="77777777" w:rsidR="00453D7A" w:rsidRDefault="00000000">
            <w:pPr>
              <w:spacing w:after="0" w:line="259" w:lineRule="auto"/>
              <w:ind w:left="0" w:right="0" w:firstLine="0"/>
              <w:jc w:val="left"/>
            </w:pPr>
            <w:r>
              <w:t>12 June 2026</w:t>
            </w:r>
          </w:p>
        </w:tc>
        <w:tc>
          <w:tcPr>
            <w:tcW w:w="4612" w:type="dxa"/>
            <w:tcBorders>
              <w:top w:val="single" w:sz="3" w:space="0" w:color="000000"/>
              <w:left w:val="single" w:sz="3" w:space="0" w:color="000000"/>
              <w:bottom w:val="single" w:sz="3" w:space="0" w:color="000000"/>
              <w:right w:val="single" w:sz="3" w:space="0" w:color="000000"/>
            </w:tcBorders>
          </w:tcPr>
          <w:p w14:paraId="062B8108" w14:textId="77777777" w:rsidR="00453D7A" w:rsidRDefault="00000000">
            <w:pPr>
              <w:spacing w:after="0" w:line="259" w:lineRule="auto"/>
              <w:ind w:left="0" w:right="0" w:firstLine="0"/>
              <w:jc w:val="left"/>
            </w:pPr>
            <w:r>
              <w:t>100% version</w:t>
            </w:r>
          </w:p>
        </w:tc>
      </w:tr>
    </w:tbl>
    <w:p w14:paraId="372C9BB1" w14:textId="77777777" w:rsidR="00453D7A" w:rsidRDefault="00000000">
      <w:pPr>
        <w:pStyle w:val="Heading1"/>
        <w:numPr>
          <w:ilvl w:val="0"/>
          <w:numId w:val="0"/>
        </w:numPr>
        <w:ind w:left="-5"/>
      </w:pPr>
      <w:r>
        <w:t>References</w:t>
      </w:r>
    </w:p>
    <w:p w14:paraId="455DB8A8" w14:textId="77777777" w:rsidR="00453D7A" w:rsidRDefault="00000000">
      <w:pPr>
        <w:spacing w:after="149"/>
        <w:ind w:left="184" w:right="900" w:hanging="199"/>
      </w:pPr>
      <w:r>
        <w:t xml:space="preserve">Alarab, I., Prakoonwit, S., and Nacer, M. I. (2020). Competence of graph convolutional networks for anti-money laundering in bitcoin blockchain. In </w:t>
      </w:r>
      <w:r>
        <w:rPr>
          <w:i/>
        </w:rPr>
        <w:t>Proceedings of the 2020 5th International Conference on Machine Learning Technologies</w:t>
      </w:r>
      <w:r>
        <w:t xml:space="preserve">, page 23–27. Association for Computing Machinery. </w:t>
      </w:r>
      <w:hyperlink r:id="rId19">
        <w:r>
          <w:rPr>
            <w:rFonts w:ascii="Calibri" w:eastAsia="Calibri" w:hAnsi="Calibri" w:cs="Calibri"/>
            <w:color w:val="0000FF"/>
          </w:rPr>
          <w:t xml:space="preserve">https: </w:t>
        </w:r>
      </w:hyperlink>
      <w:hyperlink r:id="rId20">
        <w:r>
          <w:rPr>
            <w:rFonts w:ascii="Calibri" w:eastAsia="Calibri" w:hAnsi="Calibri" w:cs="Calibri"/>
            <w:color w:val="0000FF"/>
          </w:rPr>
          <w:t>//doi.org/10.1145/3409073.3409080</w:t>
        </w:r>
      </w:hyperlink>
      <w:hyperlink r:id="rId21">
        <w:r>
          <w:t>.</w:t>
        </w:r>
      </w:hyperlink>
    </w:p>
    <w:p w14:paraId="3781D954" w14:textId="77777777" w:rsidR="00453D7A" w:rsidRDefault="00000000">
      <w:pPr>
        <w:spacing w:after="114" w:line="265" w:lineRule="auto"/>
        <w:ind w:left="194" w:right="900" w:hanging="209"/>
      </w:pPr>
      <w:r>
        <w:t xml:space="preserve">Altman, E. (2019). IBM transactions for anti money laundering (AML). </w:t>
      </w:r>
      <w:hyperlink r:id="rId22">
        <w:r>
          <w:rPr>
            <w:rFonts w:ascii="Calibri" w:eastAsia="Calibri" w:hAnsi="Calibri" w:cs="Calibri"/>
            <w:color w:val="0000FF"/>
          </w:rPr>
          <w:t xml:space="preserve">https://www.kaggle.com/ </w:t>
        </w:r>
      </w:hyperlink>
      <w:hyperlink r:id="rId23">
        <w:r>
          <w:rPr>
            <w:rFonts w:ascii="Calibri" w:eastAsia="Calibri" w:hAnsi="Calibri" w:cs="Calibri"/>
            <w:color w:val="0000FF"/>
          </w:rPr>
          <w:t>datasets/ealtman2019/ibm-transactions-for-anti-money-laundering-aml</w:t>
        </w:r>
      </w:hyperlink>
      <w:hyperlink r:id="rId24">
        <w:r>
          <w:t>.</w:t>
        </w:r>
      </w:hyperlink>
    </w:p>
    <w:p w14:paraId="0B7B2C42" w14:textId="77777777" w:rsidR="00453D7A" w:rsidRDefault="00000000">
      <w:pPr>
        <w:spacing w:after="157"/>
        <w:ind w:left="184" w:right="900" w:hanging="199"/>
      </w:pPr>
      <w:r w:rsidRPr="009132E9">
        <w:rPr>
          <w:lang w:val="nl-NL"/>
        </w:rPr>
        <w:t xml:space="preserve">Attard, M. and de Bruijn, L. (2026). Machine learning binnen ING. Guest lecture at Hogeschool van Amsterdam. </w:t>
      </w:r>
      <w:r>
        <w:t>Personal notes taken during presentation.</w:t>
      </w:r>
    </w:p>
    <w:p w14:paraId="0F5D910F" w14:textId="77777777" w:rsidR="00453D7A" w:rsidRDefault="00000000">
      <w:pPr>
        <w:spacing w:after="114" w:line="265" w:lineRule="auto"/>
        <w:ind w:left="194" w:right="900" w:hanging="209"/>
      </w:pPr>
      <w:r>
        <w:lastRenderedPageBreak/>
        <w:t xml:space="preserve">Bryansky, S., Tony, krivoship, CPMP, and Giba (2019). 2nd solution, CPMP view. </w:t>
      </w:r>
      <w:hyperlink r:id="rId25">
        <w:r>
          <w:rPr>
            <w:rFonts w:ascii="Calibri" w:eastAsia="Calibri" w:hAnsi="Calibri" w:cs="Calibri"/>
            <w:color w:val="0000FF"/>
          </w:rPr>
          <w:t xml:space="preserve">https://www.kaggle.com/competitions/ieee-fraud-detection/writeups/ </w:t>
        </w:r>
      </w:hyperlink>
      <w:hyperlink r:id="rId26">
        <w:r>
          <w:rPr>
            <w:rFonts w:ascii="Calibri" w:eastAsia="Calibri" w:hAnsi="Calibri" w:cs="Calibri"/>
            <w:color w:val="0000FF"/>
          </w:rPr>
          <w:t>2-uncles-and-3-puppies-2nd-solution-cpmp-view</w:t>
        </w:r>
      </w:hyperlink>
      <w:hyperlink r:id="rId27">
        <w:r>
          <w:t>.</w:t>
        </w:r>
      </w:hyperlink>
    </w:p>
    <w:p w14:paraId="13929EF4" w14:textId="77777777" w:rsidR="00453D7A" w:rsidRDefault="00000000">
      <w:pPr>
        <w:spacing w:after="151" w:line="254" w:lineRule="auto"/>
        <w:ind w:left="194" w:right="900" w:hanging="209"/>
      </w:pPr>
      <w:r>
        <w:t xml:space="preserve">Chen, T. and Guestrin, C. (2016). Xgboost: A scalable tree boosting system. In </w:t>
      </w:r>
      <w:r>
        <w:rPr>
          <w:i/>
        </w:rPr>
        <w:t>Proceedings of the 22nd ACM SIGKDD International Conference on Knowledge Discovery and Data Mining</w:t>
      </w:r>
      <w:r>
        <w:t xml:space="preserve">, pages 785–794. </w:t>
      </w:r>
      <w:hyperlink r:id="rId28">
        <w:r>
          <w:rPr>
            <w:rFonts w:ascii="Calibri" w:eastAsia="Calibri" w:hAnsi="Calibri" w:cs="Calibri"/>
            <w:color w:val="0000FF"/>
          </w:rPr>
          <w:t>https://doi.org/10.1145/2939672.2939785</w:t>
        </w:r>
      </w:hyperlink>
      <w:hyperlink r:id="rId29">
        <w:r>
          <w:t>.</w:t>
        </w:r>
      </w:hyperlink>
    </w:p>
    <w:p w14:paraId="7AE8BA73" w14:textId="77777777" w:rsidR="00453D7A" w:rsidRDefault="00000000">
      <w:pPr>
        <w:spacing w:after="124"/>
        <w:ind w:left="184" w:right="900" w:hanging="199"/>
      </w:pPr>
      <w:r>
        <w:t xml:space="preserve">Cox, D. (2012). What is money laundering? In </w:t>
      </w:r>
      <w:r>
        <w:rPr>
          <w:i/>
        </w:rPr>
        <w:t>Handbook of Anti Money Laundering</w:t>
      </w:r>
      <w:r>
        <w:t xml:space="preserve">, chapter 1, pages 5–13. John Wiley Sons, Ltd. </w:t>
      </w:r>
      <w:hyperlink r:id="rId30">
        <w:r>
          <w:rPr>
            <w:rFonts w:ascii="Calibri" w:eastAsia="Calibri" w:hAnsi="Calibri" w:cs="Calibri"/>
            <w:color w:val="0000FF"/>
          </w:rPr>
          <w:t>https://doi.org/10.1002/9780470685280.ch1</w:t>
        </w:r>
      </w:hyperlink>
      <w:hyperlink r:id="rId31">
        <w:r>
          <w:t>.</w:t>
        </w:r>
      </w:hyperlink>
    </w:p>
    <w:p w14:paraId="4D45B660" w14:textId="77777777" w:rsidR="00453D7A" w:rsidRDefault="00000000">
      <w:pPr>
        <w:spacing w:after="154"/>
        <w:ind w:left="184" w:right="900" w:hanging="199"/>
      </w:pPr>
      <w:r>
        <w:t xml:space="preserve">Cui, Y., Han, X., Chen, J., Zhang, X., Yang, J., and Zhang, X. (2025). FraudGNN-RL: A graph neural network with reinforcement learning for adaptive financial fraud detection. </w:t>
      </w:r>
      <w:r>
        <w:rPr>
          <w:i/>
        </w:rPr>
        <w:t>IEEE Open Journal of the Computer Society</w:t>
      </w:r>
      <w:r>
        <w:t xml:space="preserve">, 6:426–437. </w:t>
      </w:r>
      <w:hyperlink r:id="rId32">
        <w:r>
          <w:rPr>
            <w:rFonts w:ascii="Calibri" w:eastAsia="Calibri" w:hAnsi="Calibri" w:cs="Calibri"/>
            <w:color w:val="0000FF"/>
          </w:rPr>
          <w:t>https://doi.org/10.1109/OJCS.2025.3543450</w:t>
        </w:r>
      </w:hyperlink>
      <w:hyperlink r:id="rId33">
        <w:r>
          <w:t>.</w:t>
        </w:r>
      </w:hyperlink>
    </w:p>
    <w:p w14:paraId="06727099" w14:textId="77777777" w:rsidR="00453D7A" w:rsidRDefault="00000000">
      <w:pPr>
        <w:spacing w:after="142" w:line="260" w:lineRule="auto"/>
        <w:ind w:left="0" w:right="0" w:firstLine="0"/>
        <w:jc w:val="center"/>
      </w:pPr>
      <w:r>
        <w:t>Deotte, C. and Yakovlev, K. (2019).</w:t>
      </w:r>
      <w:r>
        <w:tab/>
        <w:t xml:space="preserve">1st place solution - part 2. </w:t>
      </w:r>
      <w:hyperlink r:id="rId34">
        <w:r>
          <w:rPr>
            <w:rFonts w:ascii="Calibri" w:eastAsia="Calibri" w:hAnsi="Calibri" w:cs="Calibri"/>
            <w:color w:val="0000FF"/>
          </w:rPr>
          <w:t xml:space="preserve">https://www.kaggle.com/ </w:t>
        </w:r>
      </w:hyperlink>
      <w:hyperlink r:id="rId35">
        <w:r>
          <w:rPr>
            <w:rFonts w:ascii="Calibri" w:eastAsia="Calibri" w:hAnsi="Calibri" w:cs="Calibri"/>
            <w:color w:val="0000FF"/>
          </w:rPr>
          <w:t>competitions/ieee-fraud-detection/writeups/fraudsquad-1st-place-solution-part-2</w:t>
        </w:r>
      </w:hyperlink>
      <w:hyperlink r:id="rId36">
        <w:r>
          <w:t>.</w:t>
        </w:r>
      </w:hyperlink>
    </w:p>
    <w:p w14:paraId="6F564A63" w14:textId="77777777" w:rsidR="00453D7A" w:rsidRDefault="00000000">
      <w:pPr>
        <w:spacing w:after="144"/>
        <w:ind w:left="184" w:right="900" w:hanging="199"/>
      </w:pPr>
      <w:r>
        <w:t xml:space="preserve">European Parliament and Council of the European Union (2016). Regulation (EU) 2016/679 — general data protection regulation (GDPR). </w:t>
      </w:r>
      <w:hyperlink r:id="rId37">
        <w:r>
          <w:rPr>
            <w:rFonts w:ascii="Calibri" w:eastAsia="Calibri" w:hAnsi="Calibri" w:cs="Calibri"/>
            <w:color w:val="0000FF"/>
          </w:rPr>
          <w:t xml:space="preserve">https://www.privacy-regulation.eu/nl/ </w:t>
        </w:r>
      </w:hyperlink>
      <w:hyperlink r:id="rId38">
        <w:r>
          <w:rPr>
            <w:rFonts w:ascii="Calibri" w:eastAsia="Calibri" w:hAnsi="Calibri" w:cs="Calibri"/>
            <w:color w:val="0000FF"/>
          </w:rPr>
          <w:t>artikel-9-verwerking-van-bijzondere-categorieen-van-persoonsgegevens-EU-AVG.htm</w:t>
        </w:r>
      </w:hyperlink>
      <w:hyperlink r:id="rId39">
        <w:r>
          <w:t>.</w:t>
        </w:r>
      </w:hyperlink>
    </w:p>
    <w:p w14:paraId="5C70A9A1" w14:textId="77777777" w:rsidR="00453D7A" w:rsidRDefault="00000000">
      <w:pPr>
        <w:spacing w:after="149"/>
        <w:ind w:left="184" w:right="900" w:hanging="199"/>
      </w:pPr>
      <w:r>
        <w:t xml:space="preserve">Financial Crimes Enforcement Network (FinCEN) (n.d.). What is money laundering? Retrieved March 12, 2026, from </w:t>
      </w:r>
      <w:hyperlink r:id="rId40">
        <w:r>
          <w:rPr>
            <w:rFonts w:ascii="Calibri" w:eastAsia="Calibri" w:hAnsi="Calibri" w:cs="Calibri"/>
            <w:color w:val="0000FF"/>
          </w:rPr>
          <w:t>https://www.fincen.gov/what-money-laundering</w:t>
        </w:r>
      </w:hyperlink>
      <w:hyperlink r:id="rId41">
        <w:r>
          <w:t>.</w:t>
        </w:r>
      </w:hyperlink>
    </w:p>
    <w:p w14:paraId="69287474" w14:textId="77777777" w:rsidR="00453D7A" w:rsidRDefault="00000000">
      <w:pPr>
        <w:spacing w:after="121"/>
        <w:ind w:left="184" w:right="900" w:hanging="199"/>
      </w:pPr>
      <w:r>
        <w:t>FIU-the Netherlands (2023). What is money laundering?</w:t>
      </w:r>
      <w:r>
        <w:tab/>
        <w:t xml:space="preserve">Retrieved March 12, 2026, from </w:t>
      </w:r>
      <w:hyperlink r:id="rId42">
        <w:r>
          <w:rPr>
            <w:rFonts w:ascii="Calibri" w:eastAsia="Calibri" w:hAnsi="Calibri" w:cs="Calibri"/>
            <w:color w:val="0000FF"/>
          </w:rPr>
          <w:t xml:space="preserve">https: </w:t>
        </w:r>
      </w:hyperlink>
      <w:hyperlink r:id="rId43">
        <w:r>
          <w:rPr>
            <w:rFonts w:ascii="Calibri" w:eastAsia="Calibri" w:hAnsi="Calibri" w:cs="Calibri"/>
            <w:color w:val="0000FF"/>
          </w:rPr>
          <w:t>//www.fiu-nederland.nl/en/home/what-is-money-laundering/</w:t>
        </w:r>
      </w:hyperlink>
      <w:hyperlink r:id="rId44">
        <w:r>
          <w:t>.</w:t>
        </w:r>
      </w:hyperlink>
    </w:p>
    <w:p w14:paraId="500886B8" w14:textId="77777777" w:rsidR="00453D7A" w:rsidRDefault="00000000">
      <w:pPr>
        <w:spacing w:after="129"/>
        <w:ind w:left="184" w:right="900" w:hanging="199"/>
      </w:pPr>
      <w:r>
        <w:t xml:space="preserve">Harris, D. A., Pyndiura, K. L., Sturrock, S. L., and Christensen, R. A. (2021). Using real-world transaction data to identify money laundering: Leveraging traditional regression and machine learning techniques. </w:t>
      </w:r>
      <w:r>
        <w:rPr>
          <w:i/>
        </w:rPr>
        <w:t>STEM Fellowship Journal</w:t>
      </w:r>
      <w:r>
        <w:t xml:space="preserve">, 7(1):1–11. </w:t>
      </w:r>
      <w:hyperlink r:id="rId45">
        <w:r>
          <w:rPr>
            <w:rFonts w:ascii="Calibri" w:eastAsia="Calibri" w:hAnsi="Calibri" w:cs="Calibri"/>
            <w:color w:val="0000FF"/>
          </w:rPr>
          <w:t>https://doi.org/10.17975/sfj-2021-006</w:t>
        </w:r>
      </w:hyperlink>
      <w:hyperlink r:id="rId46">
        <w:r>
          <w:t>.</w:t>
        </w:r>
      </w:hyperlink>
    </w:p>
    <w:p w14:paraId="72250EFE" w14:textId="77777777" w:rsidR="00453D7A" w:rsidRDefault="00000000">
      <w:pPr>
        <w:spacing w:after="124"/>
        <w:ind w:left="184" w:right="900" w:hanging="199"/>
      </w:pPr>
      <w:r>
        <w:t xml:space="preserve">IEEE Computational Intelligence Society (2019). IEEE-CIS fraud detection: Improve fraud prevention accuracy. Kaggle. </w:t>
      </w:r>
      <w:hyperlink r:id="rId47">
        <w:r>
          <w:rPr>
            <w:rFonts w:ascii="Calibri" w:eastAsia="Calibri" w:hAnsi="Calibri" w:cs="Calibri"/>
            <w:color w:val="0000FF"/>
          </w:rPr>
          <w:t>https://www.kaggle.com/competitions/ieee-fraud-detection/overview</w:t>
        </w:r>
      </w:hyperlink>
      <w:hyperlink r:id="rId48">
        <w:r>
          <w:t>.</w:t>
        </w:r>
      </w:hyperlink>
    </w:p>
    <w:p w14:paraId="12BD116D" w14:textId="77777777" w:rsidR="00453D7A" w:rsidRDefault="00000000">
      <w:pPr>
        <w:spacing w:after="152"/>
        <w:ind w:left="184" w:right="900" w:hanging="199"/>
      </w:pPr>
      <w:r>
        <w:t xml:space="preserve">Jensen, R. I. T., Ferwerda, J., Jørgensen, K. S., Jensen, E. R., Borg, M., Krogh, M. P., Jensen, J. B., and Iosifidis, A. (2023). A synthetic data set to benchmark anti-money laundering methods. </w:t>
      </w:r>
      <w:r>
        <w:rPr>
          <w:i/>
        </w:rPr>
        <w:t>Scientific Data</w:t>
      </w:r>
      <w:r>
        <w:t xml:space="preserve">, 10. </w:t>
      </w:r>
      <w:hyperlink r:id="rId49">
        <w:r>
          <w:rPr>
            <w:rFonts w:ascii="Calibri" w:eastAsia="Calibri" w:hAnsi="Calibri" w:cs="Calibri"/>
            <w:color w:val="0000FF"/>
          </w:rPr>
          <w:t>https://doi.org/10.1038/s41597-023-02569-2</w:t>
        </w:r>
      </w:hyperlink>
      <w:hyperlink r:id="rId50">
        <w:r>
          <w:t>.</w:t>
        </w:r>
      </w:hyperlink>
    </w:p>
    <w:p w14:paraId="7A522C54" w14:textId="77777777" w:rsidR="00453D7A" w:rsidRDefault="00000000">
      <w:pPr>
        <w:spacing w:after="154"/>
        <w:ind w:left="184" w:right="900" w:hanging="199"/>
      </w:pPr>
      <w:r>
        <w:t>Lin, E., Chen, Q., and Qi, X. (2019).</w:t>
      </w:r>
      <w:r>
        <w:tab/>
        <w:t xml:space="preserve">Deep reinforcement learning for imbalanced classification. </w:t>
      </w:r>
      <w:hyperlink r:id="rId51">
        <w:r>
          <w:rPr>
            <w:rFonts w:ascii="Calibri" w:eastAsia="Calibri" w:hAnsi="Calibri" w:cs="Calibri"/>
            <w:color w:val="0000FF"/>
          </w:rPr>
          <w:t>https://arxiv.org/abs/1901.01379</w:t>
        </w:r>
      </w:hyperlink>
      <w:hyperlink r:id="rId52">
        <w:r>
          <w:t>.</w:t>
        </w:r>
      </w:hyperlink>
    </w:p>
    <w:p w14:paraId="3D7B9963" w14:textId="77777777" w:rsidR="00453D7A" w:rsidRDefault="00000000">
      <w:pPr>
        <w:spacing w:after="114" w:line="265" w:lineRule="auto"/>
        <w:ind w:left="194" w:right="900" w:hanging="209"/>
      </w:pPr>
      <w:r>
        <w:t xml:space="preserve">Mahootiha, M. (2023). money laundering data. </w:t>
      </w:r>
      <w:hyperlink r:id="rId53">
        <w:r>
          <w:rPr>
            <w:rFonts w:ascii="Calibri" w:eastAsia="Calibri" w:hAnsi="Calibri" w:cs="Calibri"/>
            <w:color w:val="0000FF"/>
          </w:rPr>
          <w:t xml:space="preserve">https://www.kaggle.com/datasets/maryam1212/ </w:t>
        </w:r>
      </w:hyperlink>
      <w:hyperlink r:id="rId54">
        <w:r>
          <w:rPr>
            <w:rFonts w:ascii="Calibri" w:eastAsia="Calibri" w:hAnsi="Calibri" w:cs="Calibri"/>
            <w:color w:val="0000FF"/>
          </w:rPr>
          <w:t>money-laundering-data</w:t>
        </w:r>
      </w:hyperlink>
      <w:hyperlink r:id="rId55">
        <w:r>
          <w:t>.</w:t>
        </w:r>
      </w:hyperlink>
    </w:p>
    <w:p w14:paraId="49B84301" w14:textId="77777777" w:rsidR="00453D7A" w:rsidRPr="009132E9" w:rsidRDefault="00000000">
      <w:pPr>
        <w:spacing w:after="157"/>
        <w:ind w:left="184" w:right="900" w:hanging="199"/>
        <w:rPr>
          <w:lang w:val="nl-NL"/>
        </w:rPr>
      </w:pPr>
      <w:r>
        <w:t xml:space="preserve">Menon, S. and Nguyen, T. (2026). </w:t>
      </w:r>
      <w:r w:rsidRPr="009132E9">
        <w:rPr>
          <w:lang w:val="nl-NL"/>
        </w:rPr>
        <w:t>AML at ABN AMRO. Guest lecture at Hogeschool van Amsterdam. Personal notes taken during presentation.</w:t>
      </w:r>
    </w:p>
    <w:p w14:paraId="3CEF679D" w14:textId="77777777" w:rsidR="00453D7A" w:rsidRPr="009132E9" w:rsidRDefault="00000000">
      <w:pPr>
        <w:ind w:left="184" w:right="900" w:hanging="199"/>
        <w:rPr>
          <w:lang w:val="nl-NL"/>
        </w:rPr>
      </w:pPr>
      <w:r w:rsidRPr="009132E9">
        <w:rPr>
          <w:lang w:val="nl-NL"/>
        </w:rPr>
        <w:t xml:space="preserve">Ministerie van Financi¨en (2008). Wet ter voorkoming van witwassen en financieren van terrorisme (Wwft). Retrieved March 14, 2026, from </w:t>
      </w:r>
      <w:hyperlink r:id="rId56" w:anchor="Hoofdstuk3">
        <w:r w:rsidRPr="009132E9">
          <w:rPr>
            <w:rFonts w:ascii="Calibri" w:eastAsia="Calibri" w:hAnsi="Calibri" w:cs="Calibri"/>
            <w:color w:val="0000FF"/>
            <w:lang w:val="nl-NL"/>
          </w:rPr>
          <w:t xml:space="preserve">https://wetten.overheid.nl/BWBR0024282/ </w:t>
        </w:r>
      </w:hyperlink>
      <w:hyperlink r:id="rId57" w:anchor="Hoofdstuk3">
        <w:r w:rsidRPr="009132E9">
          <w:rPr>
            <w:rFonts w:ascii="Calibri" w:eastAsia="Calibri" w:hAnsi="Calibri" w:cs="Calibri"/>
            <w:color w:val="0000FF"/>
            <w:lang w:val="nl-NL"/>
          </w:rPr>
          <w:t>2026-01-01#Hoofdstuk3</w:t>
        </w:r>
      </w:hyperlink>
      <w:hyperlink r:id="rId58" w:anchor="Hoofdstuk3">
        <w:r w:rsidRPr="009132E9">
          <w:rPr>
            <w:lang w:val="nl-NL"/>
          </w:rPr>
          <w:t>.</w:t>
        </w:r>
      </w:hyperlink>
    </w:p>
    <w:p w14:paraId="4766BB3D" w14:textId="77777777" w:rsidR="00453D7A" w:rsidRDefault="00000000">
      <w:pPr>
        <w:spacing w:after="147"/>
        <w:ind w:left="184" w:right="900" w:hanging="199"/>
      </w:pPr>
      <w:r w:rsidRPr="009132E9">
        <w:rPr>
          <w:lang w:val="nl-NL"/>
        </w:rPr>
        <w:t xml:space="preserve">Mnih, V., Kavukcuoglu, K., Silver, D., Rusu, A. A., Veness, J., Bellemare, M. G., Graves, A., Riedmiller, M., Fidjeland, A. K., Ostrovski, G., Petersen, S., Beattie, C., Sadik, A., Antonoglou, I., King, H., Kumaran, D., Wierstra, D., Legg, S., and Hassabis, D. (2015). </w:t>
      </w:r>
      <w:r>
        <w:t xml:space="preserve">Human-level control through deep reinforcement learning. </w:t>
      </w:r>
      <w:r>
        <w:rPr>
          <w:i/>
        </w:rPr>
        <w:t>Nature</w:t>
      </w:r>
      <w:r>
        <w:t xml:space="preserve">, 518(7540):529–533. </w:t>
      </w:r>
      <w:hyperlink r:id="rId59">
        <w:r>
          <w:rPr>
            <w:rFonts w:ascii="Calibri" w:eastAsia="Calibri" w:hAnsi="Calibri" w:cs="Calibri"/>
            <w:color w:val="0000FF"/>
          </w:rPr>
          <w:t>https://doi.org/10.1038/nature14236</w:t>
        </w:r>
      </w:hyperlink>
      <w:hyperlink r:id="rId60">
        <w:r>
          <w:t>.</w:t>
        </w:r>
      </w:hyperlink>
    </w:p>
    <w:p w14:paraId="4B29FEC2" w14:textId="77777777" w:rsidR="00453D7A" w:rsidRDefault="00000000">
      <w:pPr>
        <w:spacing w:after="137"/>
        <w:ind w:left="184" w:right="900" w:hanging="199"/>
      </w:pPr>
      <w:r>
        <w:t xml:space="preserve">Oztas, B., Cetinkaya, D., Adedoyin, F., Budka, M., Dogan, H., and Aksu, G. (2023). Enhancing anti-money laundering: Development of a synthetic transaction monitoring dataset. In </w:t>
      </w:r>
      <w:r>
        <w:rPr>
          <w:i/>
        </w:rPr>
        <w:t>2023 IEEE International Conference on e-Business Engineering (ICEBE)</w:t>
      </w:r>
      <w:r>
        <w:t xml:space="preserve">, pages 47–54. </w:t>
      </w:r>
      <w:hyperlink r:id="rId61">
        <w:r>
          <w:rPr>
            <w:rFonts w:ascii="Calibri" w:eastAsia="Calibri" w:hAnsi="Calibri" w:cs="Calibri"/>
            <w:color w:val="0000FF"/>
          </w:rPr>
          <w:t xml:space="preserve">https://doi.org/10. </w:t>
        </w:r>
      </w:hyperlink>
      <w:hyperlink r:id="rId62">
        <w:r>
          <w:rPr>
            <w:rFonts w:ascii="Calibri" w:eastAsia="Calibri" w:hAnsi="Calibri" w:cs="Calibri"/>
            <w:color w:val="0000FF"/>
          </w:rPr>
          <w:t>1109/ICEBE59045.2023.00028</w:t>
        </w:r>
      </w:hyperlink>
      <w:hyperlink r:id="rId63">
        <w:r>
          <w:t>.</w:t>
        </w:r>
      </w:hyperlink>
    </w:p>
    <w:p w14:paraId="251F2C06" w14:textId="77777777" w:rsidR="00453D7A" w:rsidRDefault="00000000">
      <w:pPr>
        <w:spacing w:after="138"/>
        <w:ind w:left="184" w:right="900" w:hanging="199"/>
      </w:pPr>
      <w:r>
        <w:lastRenderedPageBreak/>
        <w:t xml:space="preserve">Probst, P., Boulesteix, A.-L., and Bischl, B. (2019). Tunability: Importance of hyperparameters of machine learning algorithms. </w:t>
      </w:r>
      <w:r>
        <w:rPr>
          <w:i/>
        </w:rPr>
        <w:t>Journal of Machine Learning Research</w:t>
      </w:r>
      <w:r>
        <w:t xml:space="preserve">, 20:1–32. </w:t>
      </w:r>
      <w:hyperlink r:id="rId64">
        <w:r>
          <w:rPr>
            <w:rFonts w:ascii="Calibri" w:eastAsia="Calibri" w:hAnsi="Calibri" w:cs="Calibri"/>
            <w:color w:val="0000FF"/>
          </w:rPr>
          <w:t xml:space="preserve">http://jmlr.org/ </w:t>
        </w:r>
      </w:hyperlink>
      <w:hyperlink r:id="rId65">
        <w:r>
          <w:rPr>
            <w:rFonts w:ascii="Calibri" w:eastAsia="Calibri" w:hAnsi="Calibri" w:cs="Calibri"/>
            <w:color w:val="0000FF"/>
          </w:rPr>
          <w:t>papers/v20/18-444.html</w:t>
        </w:r>
      </w:hyperlink>
      <w:hyperlink r:id="rId66">
        <w:r>
          <w:t>.</w:t>
        </w:r>
      </w:hyperlink>
    </w:p>
    <w:p w14:paraId="37E8A9F6" w14:textId="77777777" w:rsidR="00453D7A" w:rsidRDefault="00000000">
      <w:pPr>
        <w:spacing w:after="179"/>
        <w:ind w:left="184" w:right="900" w:hanging="199"/>
      </w:pPr>
      <w:r w:rsidRPr="009132E9">
        <w:rPr>
          <w:lang w:val="de-DE"/>
        </w:rPr>
        <w:t xml:space="preserve">Qayoom, A., Khuhro, M., Kumar, K., Waqas, M., Saeed, U., ur Rehman, S., Wu, Y., and Wang, S. (2024). </w:t>
      </w:r>
      <w:r>
        <w:t xml:space="preserve">A novel approach for credit card fraud transaction detection using deep reinforcement learning scheme. </w:t>
      </w:r>
      <w:r>
        <w:rPr>
          <w:i/>
        </w:rPr>
        <w:t>PeerJ Computer Science</w:t>
      </w:r>
      <w:r>
        <w:t xml:space="preserve">, 10:e1998. </w:t>
      </w:r>
      <w:hyperlink r:id="rId67">
        <w:r>
          <w:rPr>
            <w:rFonts w:ascii="Calibri" w:eastAsia="Calibri" w:hAnsi="Calibri" w:cs="Calibri"/>
            <w:color w:val="0000FF"/>
          </w:rPr>
          <w:t>https://doi.org/10.7717/peerj-cs.1998</w:t>
        </w:r>
      </w:hyperlink>
      <w:hyperlink r:id="rId68">
        <w:r>
          <w:t>.</w:t>
        </w:r>
      </w:hyperlink>
    </w:p>
    <w:p w14:paraId="73CD1CA7" w14:textId="77777777" w:rsidR="00453D7A" w:rsidRDefault="00000000">
      <w:pPr>
        <w:spacing w:after="156" w:line="265" w:lineRule="auto"/>
        <w:ind w:left="194" w:right="900" w:hanging="209"/>
      </w:pPr>
      <w:r>
        <w:t>Team Lions (2019).</w:t>
      </w:r>
      <w:r>
        <w:tab/>
        <w:t>5th place solution:</w:t>
      </w:r>
      <w:r>
        <w:tab/>
        <w:t>Lions.</w:t>
      </w:r>
      <w:r>
        <w:tab/>
      </w:r>
      <w:hyperlink r:id="rId69">
        <w:r>
          <w:rPr>
            <w:rFonts w:ascii="Calibri" w:eastAsia="Calibri" w:hAnsi="Calibri" w:cs="Calibri"/>
            <w:color w:val="0000FF"/>
          </w:rPr>
          <w:t xml:space="preserve">https://www.kaggle.com/competitions/ </w:t>
        </w:r>
      </w:hyperlink>
      <w:hyperlink r:id="rId70">
        <w:r>
          <w:rPr>
            <w:rFonts w:ascii="Calibri" w:eastAsia="Calibri" w:hAnsi="Calibri" w:cs="Calibri"/>
            <w:color w:val="0000FF"/>
          </w:rPr>
          <w:t>ieee-fraud-detection/writeups/lions-5th-place-solution-lions</w:t>
        </w:r>
      </w:hyperlink>
      <w:hyperlink r:id="rId71">
        <w:r>
          <w:t>.</w:t>
        </w:r>
      </w:hyperlink>
    </w:p>
    <w:p w14:paraId="1ED12E27" w14:textId="77777777" w:rsidR="00453D7A" w:rsidRDefault="00000000">
      <w:pPr>
        <w:spacing w:after="141"/>
        <w:ind w:left="184" w:right="900" w:hanging="199"/>
      </w:pPr>
      <w:r>
        <w:t xml:space="preserve">Tertychnyi, P., Godgildieva, M., Dumas, M., and Ollikainen, M. (2022). Time-aware and interpretable predictive monitoring system for anti-money laundering. </w:t>
      </w:r>
      <w:r>
        <w:rPr>
          <w:i/>
        </w:rPr>
        <w:t>Machine Learning with Applications</w:t>
      </w:r>
      <w:r>
        <w:t xml:space="preserve">, 8:100306. </w:t>
      </w:r>
      <w:hyperlink r:id="rId72">
        <w:r>
          <w:rPr>
            <w:rFonts w:ascii="Calibri" w:eastAsia="Calibri" w:hAnsi="Calibri" w:cs="Calibri"/>
            <w:color w:val="0000FF"/>
          </w:rPr>
          <w:t>https://doi.org/10.1016/j.mlwa.2022.100306</w:t>
        </w:r>
      </w:hyperlink>
      <w:hyperlink r:id="rId73">
        <w:r>
          <w:t>.</w:t>
        </w:r>
      </w:hyperlink>
    </w:p>
    <w:p w14:paraId="59E44ED4" w14:textId="77777777" w:rsidR="00453D7A" w:rsidRDefault="00000000">
      <w:pPr>
        <w:spacing w:after="143"/>
        <w:ind w:left="184" w:right="900" w:hanging="199"/>
      </w:pPr>
      <w:r>
        <w:t xml:space="preserve">Vimal, S., Kayathwal, K., Wadhwa, H., and Dhama, G. (2021). Application of deep reinforcement learning to payment fraud. </w:t>
      </w:r>
      <w:hyperlink r:id="rId74">
        <w:r>
          <w:rPr>
            <w:rFonts w:ascii="Calibri" w:eastAsia="Calibri" w:hAnsi="Calibri" w:cs="Calibri"/>
            <w:color w:val="0000FF"/>
          </w:rPr>
          <w:t>https://arxiv.org/abs/2112.04236</w:t>
        </w:r>
      </w:hyperlink>
      <w:hyperlink r:id="rId75">
        <w:r>
          <w:t>.</w:t>
        </w:r>
      </w:hyperlink>
    </w:p>
    <w:p w14:paraId="26B111DB" w14:textId="77777777" w:rsidR="00453D7A" w:rsidRDefault="00000000">
      <w:pPr>
        <w:ind w:left="184" w:right="900" w:hanging="199"/>
      </w:pPr>
      <w:r>
        <w:t xml:space="preserve">Weber, M., Chen, J., Suzumura, T., Pareja, A., Ma, T., Kanezashi, H., Kaler, T., Leiserson, C. E., and Schardl, T. B. (2018). Scalable graph learning for anti-money laundering: A first look. </w:t>
      </w:r>
      <w:hyperlink r:id="rId76">
        <w:r>
          <w:rPr>
            <w:rFonts w:ascii="Calibri" w:eastAsia="Calibri" w:hAnsi="Calibri" w:cs="Calibri"/>
            <w:color w:val="0000FF"/>
          </w:rPr>
          <w:t>https:</w:t>
        </w:r>
      </w:hyperlink>
    </w:p>
    <w:p w14:paraId="7206B52E" w14:textId="77777777" w:rsidR="00453D7A" w:rsidRDefault="00000000">
      <w:pPr>
        <w:spacing w:after="114" w:line="265" w:lineRule="auto"/>
        <w:ind w:left="199" w:right="900" w:firstLine="0"/>
      </w:pPr>
      <w:hyperlink r:id="rId77">
        <w:r>
          <w:rPr>
            <w:rFonts w:ascii="Calibri" w:eastAsia="Calibri" w:hAnsi="Calibri" w:cs="Calibri"/>
            <w:color w:val="0000FF"/>
          </w:rPr>
          <w:t>//arxiv.org/abs/1812.00076</w:t>
        </w:r>
      </w:hyperlink>
      <w:hyperlink r:id="rId78">
        <w:r>
          <w:t>.</w:t>
        </w:r>
      </w:hyperlink>
    </w:p>
    <w:p w14:paraId="06618F83" w14:textId="77777777" w:rsidR="00453D7A" w:rsidRDefault="00000000">
      <w:pPr>
        <w:spacing w:after="173"/>
        <w:ind w:left="184" w:right="900" w:hanging="199"/>
      </w:pPr>
      <w:r>
        <w:t xml:space="preserve">Weber, M., Domeniconi, G., Chen, J., Weidele, D. K. I., Bellei, C., Robinson, T., and Leiserson, C. E. (2019). Anti-money laundering in bitcoin: Experimenting with graph convolutional networks for financial forensics. </w:t>
      </w:r>
      <w:hyperlink r:id="rId79">
        <w:r>
          <w:rPr>
            <w:rFonts w:ascii="Calibri" w:eastAsia="Calibri" w:hAnsi="Calibri" w:cs="Calibri"/>
            <w:color w:val="0000FF"/>
          </w:rPr>
          <w:t>https://arxiv.org/abs/1908.02591</w:t>
        </w:r>
      </w:hyperlink>
      <w:hyperlink r:id="rId80">
        <w:r>
          <w:t>.</w:t>
        </w:r>
      </w:hyperlink>
    </w:p>
    <w:p w14:paraId="67CB5A59" w14:textId="77777777" w:rsidR="00453D7A" w:rsidRDefault="00000000">
      <w:pPr>
        <w:spacing w:after="139"/>
        <w:ind w:left="184" w:right="900" w:hanging="199"/>
      </w:pPr>
      <w:r>
        <w:t xml:space="preserve">XGBoost Developers (2024). XGBoost parameters. Retrieved May 2026, from </w:t>
      </w:r>
      <w:hyperlink r:id="rId81">
        <w:r>
          <w:rPr>
            <w:rFonts w:ascii="Calibri" w:eastAsia="Calibri" w:hAnsi="Calibri" w:cs="Calibri"/>
            <w:color w:val="0000FF"/>
          </w:rPr>
          <w:t xml:space="preserve">https://xgboost. </w:t>
        </w:r>
      </w:hyperlink>
      <w:hyperlink r:id="rId82">
        <w:r>
          <w:rPr>
            <w:rFonts w:ascii="Calibri" w:eastAsia="Calibri" w:hAnsi="Calibri" w:cs="Calibri"/>
            <w:color w:val="0000FF"/>
          </w:rPr>
          <w:t>readthedocs.io/en/stable/parameter.html</w:t>
        </w:r>
      </w:hyperlink>
      <w:hyperlink r:id="rId83">
        <w:r>
          <w:t>.</w:t>
        </w:r>
      </w:hyperlink>
    </w:p>
    <w:p w14:paraId="7F55E64A" w14:textId="77777777" w:rsidR="00453D7A" w:rsidRDefault="00000000">
      <w:pPr>
        <w:spacing w:after="169"/>
        <w:ind w:left="184" w:right="900" w:hanging="199"/>
      </w:pPr>
      <w:r>
        <w:t xml:space="preserve">Youssef, B., Bouchra, F., and Brahim, O. (2023). State of the art literature on anti-money laundering using machine learning and deep learning techniques. In </w:t>
      </w:r>
      <w:r>
        <w:rPr>
          <w:i/>
        </w:rPr>
        <w:t>The 3rd International Conference on Artificial Intelligence and Computer Vision (AICV2023), March 5–7, 2023</w:t>
      </w:r>
      <w:r>
        <w:t xml:space="preserve">, pages 77–90. Springer Nature Switzerland. </w:t>
      </w:r>
      <w:hyperlink r:id="rId84">
        <w:r>
          <w:rPr>
            <w:rFonts w:ascii="Calibri" w:eastAsia="Calibri" w:hAnsi="Calibri" w:cs="Calibri"/>
            <w:color w:val="0000FF"/>
          </w:rPr>
          <w:t>https://rdcu.be/e8mZQ</w:t>
        </w:r>
      </w:hyperlink>
      <w:hyperlink r:id="rId85">
        <w:r>
          <w:t>.</w:t>
        </w:r>
      </w:hyperlink>
    </w:p>
    <w:p w14:paraId="1D709C8C" w14:textId="77777777" w:rsidR="00453D7A" w:rsidRDefault="00000000">
      <w:pPr>
        <w:ind w:left="184" w:right="900" w:hanging="199"/>
      </w:pPr>
      <w:r>
        <w:t xml:space="preserve">Zhinin-Vera, L., Chang, O., Valencia-Ramos, R., and Velastegui, R. (2020). Q-credit card fraud detector for imbalanced classification using reinforcement learning. In </w:t>
      </w:r>
      <w:r>
        <w:rPr>
          <w:i/>
        </w:rPr>
        <w:t>Proceedings of the 12th International Conference on Agents and Artificial Intelligence (ICAART)</w:t>
      </w:r>
      <w:r>
        <w:t xml:space="preserve">. SCITEPRESS. </w:t>
      </w:r>
      <w:hyperlink r:id="rId86">
        <w:r>
          <w:rPr>
            <w:rFonts w:ascii="Calibri" w:eastAsia="Calibri" w:hAnsi="Calibri" w:cs="Calibri"/>
            <w:color w:val="0000FF"/>
          </w:rPr>
          <w:t>https:</w:t>
        </w:r>
      </w:hyperlink>
    </w:p>
    <w:p w14:paraId="04325D7C" w14:textId="77777777" w:rsidR="00453D7A" w:rsidRDefault="00000000">
      <w:pPr>
        <w:spacing w:after="114" w:line="265" w:lineRule="auto"/>
        <w:ind w:left="199" w:right="900" w:firstLine="0"/>
      </w:pPr>
      <w:hyperlink r:id="rId87">
        <w:r>
          <w:rPr>
            <w:rFonts w:ascii="Calibri" w:eastAsia="Calibri" w:hAnsi="Calibri" w:cs="Calibri"/>
            <w:color w:val="0000FF"/>
          </w:rPr>
          <w:t>//www.scitepress.org/Papers/2020/91561/91561.pdf</w:t>
        </w:r>
      </w:hyperlink>
      <w:hyperlink r:id="rId88">
        <w:r>
          <w:t>.</w:t>
        </w:r>
      </w:hyperlink>
    </w:p>
    <w:sectPr w:rsidR="00453D7A">
      <w:footerReference w:type="even" r:id="rId89"/>
      <w:footerReference w:type="default" r:id="rId90"/>
      <w:footerReference w:type="first" r:id="rId91"/>
      <w:pgSz w:w="12240" w:h="15840"/>
      <w:pgMar w:top="1134" w:right="786" w:bottom="1090" w:left="1701" w:header="720" w:footer="49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iel Bontenbal" w:date="2026-05-21T15:50:00Z" w:initials="MB">
    <w:p w14:paraId="609CB5ED" w14:textId="77777777" w:rsidR="009132E9" w:rsidRDefault="009132E9" w:rsidP="009132E9">
      <w:pPr>
        <w:jc w:val="left"/>
      </w:pPr>
      <w:r>
        <w:rPr>
          <w:rStyle w:val="CommentReference"/>
        </w:rPr>
        <w:annotationRef/>
      </w:r>
      <w:r>
        <w:rPr>
          <w:szCs w:val="20"/>
        </w:rPr>
        <w:t>updaten svp</w:t>
      </w:r>
    </w:p>
    <w:p w14:paraId="2523DCAE" w14:textId="77777777" w:rsidR="009132E9" w:rsidRDefault="009132E9" w:rsidP="009132E9">
      <w:pPr>
        <w:jc w:val="left"/>
      </w:pPr>
    </w:p>
  </w:comment>
  <w:comment w:id="1" w:author="Michiel Bontenbal" w:date="2026-05-21T15:53:00Z" w:initials="MB">
    <w:p w14:paraId="68EB5BB3" w14:textId="77777777" w:rsidR="009132E9" w:rsidRDefault="009132E9" w:rsidP="009132E9">
      <w:pPr>
        <w:jc w:val="left"/>
      </w:pPr>
      <w:r>
        <w:rPr>
          <w:rStyle w:val="CommentReference"/>
        </w:rPr>
        <w:annotationRef/>
      </w:r>
      <w:r>
        <w:rPr>
          <w:szCs w:val="20"/>
        </w:rPr>
        <w:t>Een afsluitende zin is hier nog op zijn plaats. Worden rule based systemen dan naast ML systemen gebruikt.</w:t>
      </w:r>
    </w:p>
    <w:p w14:paraId="4E8DA32A" w14:textId="77777777" w:rsidR="009132E9" w:rsidRDefault="009132E9" w:rsidP="009132E9">
      <w:pPr>
        <w:jc w:val="left"/>
      </w:pPr>
    </w:p>
  </w:comment>
  <w:comment w:id="2" w:author="Michiel Bontenbal" w:date="2026-05-21T15:57:00Z" w:initials="MB">
    <w:p w14:paraId="30ECF98C" w14:textId="77777777" w:rsidR="003149AA" w:rsidRDefault="003149AA" w:rsidP="003149AA">
      <w:pPr>
        <w:jc w:val="left"/>
      </w:pPr>
      <w:r>
        <w:rPr>
          <w:rStyle w:val="CommentReference"/>
        </w:rPr>
        <w:annotationRef/>
      </w:r>
      <w:r>
        <w:rPr>
          <w:szCs w:val="20"/>
        </w:rPr>
        <w:t>Ook hier mag wat meer toelichting, want je gaat RL uiteindelijk gebruiken. Dat mag hier maar ook einde van de paragraaf</w:t>
      </w:r>
    </w:p>
  </w:comment>
  <w:comment w:id="3" w:author="Michiel Bontenbal" w:date="2026-05-21T16:00:00Z" w:initials="MB">
    <w:p w14:paraId="612B0624" w14:textId="77777777" w:rsidR="003149AA" w:rsidRDefault="003149AA" w:rsidP="003149AA">
      <w:pPr>
        <w:jc w:val="left"/>
      </w:pPr>
      <w:r>
        <w:rPr>
          <w:rStyle w:val="CommentReference"/>
        </w:rPr>
        <w:annotationRef/>
      </w:r>
      <w:r>
        <w:rPr>
          <w:szCs w:val="20"/>
        </w:rPr>
        <w:t>Hier nog verder uitwerken waarom die graph structures niet aanwezig zijn in de praktijk.</w:t>
      </w:r>
    </w:p>
  </w:comment>
  <w:comment w:id="4" w:author="Michiel Bontenbal" w:date="2026-05-21T16:04:00Z" w:initials="MB">
    <w:p w14:paraId="506F96E4" w14:textId="77777777" w:rsidR="003149AA" w:rsidRDefault="003149AA" w:rsidP="003149AA">
      <w:pPr>
        <w:jc w:val="left"/>
      </w:pPr>
      <w:r>
        <w:rPr>
          <w:rStyle w:val="CommentReference"/>
        </w:rPr>
        <w:annotationRef/>
      </w:r>
      <w:r>
        <w:rPr>
          <w:szCs w:val="20"/>
        </w:rPr>
        <w:t>begin de par. met deze zin.</w:t>
      </w:r>
    </w:p>
  </w:comment>
  <w:comment w:id="5" w:author="Michiel Bontenbal" w:date="2026-05-21T16:07:00Z" w:initials="MB">
    <w:p w14:paraId="22BBF365" w14:textId="77777777" w:rsidR="003149AA" w:rsidRDefault="003149AA" w:rsidP="003149AA">
      <w:pPr>
        <w:jc w:val="left"/>
      </w:pPr>
      <w:r>
        <w:rPr>
          <w:rStyle w:val="CommentReference"/>
        </w:rPr>
        <w:annotationRef/>
      </w:r>
      <w:r>
        <w:rPr>
          <w:szCs w:val="20"/>
        </w:rPr>
        <w:t>hier spreek je jezelf wat tegen: als xgboost zo goed is waarom dan nog RL gebruiken? geef aan waar toch de gap zit.</w:t>
      </w:r>
    </w:p>
  </w:comment>
  <w:comment w:id="6" w:author="Michiel Bontenbal" w:date="2026-05-21T16:10:00Z" w:initials="MB">
    <w:p w14:paraId="506D6010" w14:textId="77777777" w:rsidR="002E758F" w:rsidRDefault="002E758F" w:rsidP="002E758F">
      <w:pPr>
        <w:jc w:val="left"/>
      </w:pPr>
      <w:r>
        <w:rPr>
          <w:rStyle w:val="CommentReference"/>
        </w:rPr>
        <w:annotationRef/>
      </w:r>
      <w:r>
        <w:rPr>
          <w:szCs w:val="20"/>
        </w:rPr>
        <w:t>voorwaarde voor dqn is dat het ook nog exlainable moet zijn, niet alleen beter.</w:t>
      </w:r>
    </w:p>
  </w:comment>
  <w:comment w:id="7" w:author="Michiel Bontenbal" w:date="2026-05-21T16:14:00Z" w:initials="MB">
    <w:p w14:paraId="7654FD29" w14:textId="77777777" w:rsidR="002E758F" w:rsidRDefault="002E758F" w:rsidP="002E758F">
      <w:pPr>
        <w:jc w:val="left"/>
      </w:pPr>
      <w:r>
        <w:rPr>
          <w:rStyle w:val="CommentReference"/>
        </w:rPr>
        <w:annotationRef/>
      </w:r>
      <w:r>
        <w:rPr>
          <w:szCs w:val="20"/>
        </w:rPr>
        <w:t>where is table 8?</w:t>
      </w:r>
    </w:p>
  </w:comment>
  <w:comment w:id="8" w:author="Michiel Bontenbal" w:date="2026-05-21T16:18:00Z" w:initials="MB">
    <w:p w14:paraId="7C438ADD" w14:textId="77777777" w:rsidR="00374476" w:rsidRDefault="00374476" w:rsidP="00374476">
      <w:pPr>
        <w:jc w:val="left"/>
      </w:pPr>
      <w:r>
        <w:rPr>
          <w:rStyle w:val="CommentReference"/>
        </w:rPr>
        <w:annotationRef/>
      </w:r>
      <w:r>
        <w:rPr>
          <w:szCs w:val="20"/>
        </w:rPr>
        <w:t>2 iteraties lijkt me een prima begin maar wat zou een 3e (of 4e) iteratie opleveren? Doe je dat niet, dan graag beschrijven waarom dat geen verbetering oplevert.</w:t>
      </w:r>
    </w:p>
    <w:p w14:paraId="203B89F7" w14:textId="77777777" w:rsidR="00374476" w:rsidRDefault="00374476" w:rsidP="00374476">
      <w:pPr>
        <w:jc w:val="left"/>
      </w:pPr>
    </w:p>
  </w:comment>
  <w:comment w:id="9" w:author="Michiel Bontenbal" w:date="2026-05-21T16:23:00Z" w:initials="MB">
    <w:p w14:paraId="1DF3CC44" w14:textId="77777777" w:rsidR="00374476" w:rsidRDefault="00374476" w:rsidP="00374476">
      <w:pPr>
        <w:jc w:val="left"/>
      </w:pPr>
      <w:r>
        <w:rPr>
          <w:rStyle w:val="CommentReference"/>
        </w:rPr>
        <w:annotationRef/>
      </w:r>
      <w:r>
        <w:rPr>
          <w:szCs w:val="20"/>
        </w:rPr>
        <w:t>Zou je niet eerst apart de resultaten per model beschrijven voor je direct gaat vergelijken?</w:t>
      </w:r>
    </w:p>
  </w:comment>
  <w:comment w:id="10" w:author="Michiel Bontenbal" w:date="2026-05-21T16:24:00Z" w:initials="MB">
    <w:p w14:paraId="262BCB52" w14:textId="77777777" w:rsidR="00374476" w:rsidRDefault="00374476" w:rsidP="00374476">
      <w:pPr>
        <w:jc w:val="left"/>
      </w:pPr>
      <w:r>
        <w:rPr>
          <w:rStyle w:val="CommentReference"/>
        </w:rPr>
        <w:annotationRef/>
      </w:r>
      <w:r>
        <w:rPr>
          <w:szCs w:val="20"/>
        </w:rPr>
        <w:t>Veelbelovend. Je schrijft ook wat over DLL in de wiki. Ga door met ze en bespreek het gewoon. Je kan dat!</w:t>
      </w:r>
    </w:p>
    <w:p w14:paraId="01B3ABAC" w14:textId="77777777" w:rsidR="00374476" w:rsidRDefault="00374476" w:rsidP="00374476">
      <w:pPr>
        <w:jc w:val="left"/>
      </w:pPr>
    </w:p>
  </w:comment>
  <w:comment w:id="11" w:author="Michiel Bontenbal" w:date="2026-05-21T16:28:00Z" w:initials="MB">
    <w:p w14:paraId="4EFEB517" w14:textId="77777777" w:rsidR="00DB06EB" w:rsidRDefault="00DB06EB" w:rsidP="00DB06EB">
      <w:pPr>
        <w:jc w:val="left"/>
      </w:pPr>
      <w:r>
        <w:rPr>
          <w:rStyle w:val="CommentReference"/>
        </w:rPr>
        <w:annotationRef/>
      </w:r>
      <w:r>
        <w:rPr>
          <w:szCs w:val="20"/>
        </w:rPr>
        <w:t>Interesting - but how would running (inference) the models in practice work out?</w:t>
      </w:r>
    </w:p>
    <w:p w14:paraId="0849C2E8" w14:textId="77777777" w:rsidR="00DB06EB" w:rsidRDefault="00DB06EB" w:rsidP="00DB06EB">
      <w:pPr>
        <w:jc w:val="left"/>
      </w:pPr>
    </w:p>
  </w:comment>
  <w:comment w:id="12" w:author="Michiel Bontenbal" w:date="2026-05-21T16:27:00Z" w:initials="MB">
    <w:p w14:paraId="686ACEC3" w14:textId="77777777" w:rsidR="00374476" w:rsidRDefault="00374476" w:rsidP="00374476">
      <w:pPr>
        <w:jc w:val="left"/>
      </w:pPr>
      <w:r>
        <w:rPr>
          <w:rStyle w:val="CommentReference"/>
        </w:rPr>
        <w:annotationRef/>
      </w:r>
      <w:r>
        <w:rPr>
          <w:szCs w:val="20"/>
        </w:rPr>
        <w:t>Een combinatie van: 1) zelf toetsen aan wat ING / ABN AMRO hebben aangegeven in hun presentaties. 2) gesprek met DLL 3) wet-en regelgeving</w:t>
      </w:r>
    </w:p>
  </w:comment>
  <w:comment w:id="13" w:author="Michiel Bontenbal" w:date="2026-05-21T16:29:00Z" w:initials="MB">
    <w:p w14:paraId="51F6E5C1" w14:textId="77777777" w:rsidR="00DB06EB" w:rsidRDefault="00DB06EB" w:rsidP="00DB06EB">
      <w:pPr>
        <w:jc w:val="left"/>
      </w:pPr>
      <w:r>
        <w:rPr>
          <w:rStyle w:val="CommentReference"/>
        </w:rPr>
        <w:annotationRef/>
      </w:r>
      <w:r>
        <w:rPr>
          <w:szCs w:val="20"/>
        </w:rPr>
        <w:t>Ook dit kun je.</w:t>
      </w:r>
    </w:p>
  </w:comment>
  <w:comment w:id="14" w:author="Michiel Bontenbal" w:date="2026-05-21T16:30:00Z" w:initials="MB">
    <w:p w14:paraId="5D7CC6A2" w14:textId="77777777" w:rsidR="00DB06EB" w:rsidRDefault="00DB06EB" w:rsidP="00DB06EB">
      <w:pPr>
        <w:jc w:val="left"/>
      </w:pPr>
      <w:r>
        <w:rPr>
          <w:rStyle w:val="CommentReference"/>
        </w:rPr>
        <w:annotationRef/>
      </w:r>
      <w:r>
        <w:rPr>
          <w:szCs w:val="20"/>
        </w:rPr>
        <w:t>Hier moet je terugkomen op de hoofd en deelvragen en of deze nu beantwoord zijn. Dat zien we nu nog niet duidelijk genoeg.</w:t>
      </w:r>
    </w:p>
    <w:p w14:paraId="55E7B20A" w14:textId="77777777" w:rsidR="00DB06EB" w:rsidRDefault="00DB06EB" w:rsidP="00DB06EB">
      <w:pPr>
        <w:jc w:val="left"/>
      </w:pPr>
      <w:r>
        <w:rPr>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23DCAE" w15:done="0"/>
  <w15:commentEx w15:paraId="4E8DA32A" w15:done="0"/>
  <w15:commentEx w15:paraId="30ECF98C" w15:done="0"/>
  <w15:commentEx w15:paraId="612B0624" w15:done="0"/>
  <w15:commentEx w15:paraId="506F96E4" w15:done="0"/>
  <w15:commentEx w15:paraId="22BBF365" w15:done="0"/>
  <w15:commentEx w15:paraId="506D6010" w15:done="0"/>
  <w15:commentEx w15:paraId="7654FD29" w15:done="0"/>
  <w15:commentEx w15:paraId="203B89F7" w15:done="0"/>
  <w15:commentEx w15:paraId="1DF3CC44" w15:done="0"/>
  <w15:commentEx w15:paraId="01B3ABAC" w15:done="0"/>
  <w15:commentEx w15:paraId="0849C2E8" w15:done="0"/>
  <w15:commentEx w15:paraId="686ACEC3" w15:done="0"/>
  <w15:commentEx w15:paraId="51F6E5C1" w15:done="0"/>
  <w15:commentEx w15:paraId="55E7B2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10262E" w16cex:dateUtc="2026-05-21T13:50:00Z"/>
  <w16cex:commentExtensible w16cex:durableId="3C2EB353" w16cex:dateUtc="2026-05-21T13:53:00Z"/>
  <w16cex:commentExtensible w16cex:durableId="50DF879E" w16cex:dateUtc="2026-05-21T13:57:00Z"/>
  <w16cex:commentExtensible w16cex:durableId="708233D9" w16cex:dateUtc="2026-05-21T14:00:00Z"/>
  <w16cex:commentExtensible w16cex:durableId="65EF334C" w16cex:dateUtc="2026-05-21T14:04:00Z"/>
  <w16cex:commentExtensible w16cex:durableId="3D19CE86" w16cex:dateUtc="2026-05-21T14:07:00Z"/>
  <w16cex:commentExtensible w16cex:durableId="73682359" w16cex:dateUtc="2026-05-21T14:10:00Z"/>
  <w16cex:commentExtensible w16cex:durableId="7BDD6293" w16cex:dateUtc="2026-05-21T14:14:00Z"/>
  <w16cex:commentExtensible w16cex:durableId="38381466" w16cex:dateUtc="2026-05-21T14:18:00Z"/>
  <w16cex:commentExtensible w16cex:durableId="46396DC0" w16cex:dateUtc="2026-05-21T14:23:00Z"/>
  <w16cex:commentExtensible w16cex:durableId="7D3EB569" w16cex:dateUtc="2026-05-21T14:24:00Z"/>
  <w16cex:commentExtensible w16cex:durableId="14DF7C62" w16cex:dateUtc="2026-05-21T14:28:00Z"/>
  <w16cex:commentExtensible w16cex:durableId="649D993C" w16cex:dateUtc="2026-05-21T14:27:00Z"/>
  <w16cex:commentExtensible w16cex:durableId="12294651" w16cex:dateUtc="2026-05-21T14:29:00Z"/>
  <w16cex:commentExtensible w16cex:durableId="09EE35A5" w16cex:dateUtc="2026-05-21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23DCAE" w16cid:durableId="5A10262E"/>
  <w16cid:commentId w16cid:paraId="4E8DA32A" w16cid:durableId="3C2EB353"/>
  <w16cid:commentId w16cid:paraId="30ECF98C" w16cid:durableId="50DF879E"/>
  <w16cid:commentId w16cid:paraId="612B0624" w16cid:durableId="708233D9"/>
  <w16cid:commentId w16cid:paraId="506F96E4" w16cid:durableId="65EF334C"/>
  <w16cid:commentId w16cid:paraId="22BBF365" w16cid:durableId="3D19CE86"/>
  <w16cid:commentId w16cid:paraId="506D6010" w16cid:durableId="73682359"/>
  <w16cid:commentId w16cid:paraId="7654FD29" w16cid:durableId="7BDD6293"/>
  <w16cid:commentId w16cid:paraId="203B89F7" w16cid:durableId="38381466"/>
  <w16cid:commentId w16cid:paraId="1DF3CC44" w16cid:durableId="46396DC0"/>
  <w16cid:commentId w16cid:paraId="01B3ABAC" w16cid:durableId="7D3EB569"/>
  <w16cid:commentId w16cid:paraId="0849C2E8" w16cid:durableId="14DF7C62"/>
  <w16cid:commentId w16cid:paraId="686ACEC3" w16cid:durableId="649D993C"/>
  <w16cid:commentId w16cid:paraId="51F6E5C1" w16cid:durableId="12294651"/>
  <w16cid:commentId w16cid:paraId="55E7B20A" w16cid:durableId="09EE35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8EA69" w14:textId="77777777" w:rsidR="00FF3639" w:rsidRDefault="00FF3639">
      <w:pPr>
        <w:spacing w:after="0" w:line="240" w:lineRule="auto"/>
      </w:pPr>
      <w:r>
        <w:separator/>
      </w:r>
    </w:p>
  </w:endnote>
  <w:endnote w:type="continuationSeparator" w:id="0">
    <w:p w14:paraId="62289576" w14:textId="77777777" w:rsidR="00FF3639" w:rsidRDefault="00FF3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4E921" w14:textId="77777777" w:rsidR="00453D7A" w:rsidRDefault="00000000">
    <w:pPr>
      <w:spacing w:after="0" w:line="259" w:lineRule="auto"/>
      <w:ind w:left="0" w:right="915"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4088" w14:textId="77777777" w:rsidR="00453D7A" w:rsidRDefault="00000000">
    <w:pPr>
      <w:spacing w:after="0" w:line="259" w:lineRule="auto"/>
      <w:ind w:left="0" w:right="915"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17B8E" w14:textId="77777777" w:rsidR="00453D7A" w:rsidRDefault="00000000">
    <w:pPr>
      <w:spacing w:after="0" w:line="259" w:lineRule="auto"/>
      <w:ind w:left="0" w:right="915"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59675" w14:textId="77777777" w:rsidR="00FF3639" w:rsidRDefault="00FF3639">
      <w:pPr>
        <w:spacing w:after="0" w:line="240" w:lineRule="auto"/>
      </w:pPr>
      <w:r>
        <w:separator/>
      </w:r>
    </w:p>
  </w:footnote>
  <w:footnote w:type="continuationSeparator" w:id="0">
    <w:p w14:paraId="6E8E84ED" w14:textId="77777777" w:rsidR="00FF3639" w:rsidRDefault="00FF36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44225"/>
    <w:multiLevelType w:val="multilevel"/>
    <w:tmpl w:val="6BEE0A3E"/>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C466C22"/>
    <w:multiLevelType w:val="hybridMultilevel"/>
    <w:tmpl w:val="4FFE4134"/>
    <w:lvl w:ilvl="0" w:tplc="ECC87408">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BE680DC">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4E1F6A">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3E65138">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0A433DC">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0842E0E">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7A0A2D6">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7E6BAF0">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BC8D208">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F7D4618"/>
    <w:multiLevelType w:val="hybridMultilevel"/>
    <w:tmpl w:val="7BC48D14"/>
    <w:lvl w:ilvl="0" w:tplc="C3B469F8">
      <w:start w:val="1"/>
      <w:numFmt w:val="decimal"/>
      <w:lvlText w:val="%1."/>
      <w:lvlJc w:val="left"/>
      <w:pPr>
        <w:ind w:left="49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E17E4334">
      <w:start w:val="1"/>
      <w:numFmt w:val="lowerLetter"/>
      <w:lvlText w:val="%2"/>
      <w:lvlJc w:val="left"/>
      <w:pPr>
        <w:ind w:left="13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98FC9CAE">
      <w:start w:val="1"/>
      <w:numFmt w:val="lowerRoman"/>
      <w:lvlText w:val="%3"/>
      <w:lvlJc w:val="left"/>
      <w:pPr>
        <w:ind w:left="20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3A5C4ECC">
      <w:start w:val="1"/>
      <w:numFmt w:val="decimal"/>
      <w:lvlText w:val="%4"/>
      <w:lvlJc w:val="left"/>
      <w:pPr>
        <w:ind w:left="27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62525176">
      <w:start w:val="1"/>
      <w:numFmt w:val="lowerLetter"/>
      <w:lvlText w:val="%5"/>
      <w:lvlJc w:val="left"/>
      <w:pPr>
        <w:ind w:left="34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5E63E46">
      <w:start w:val="1"/>
      <w:numFmt w:val="lowerRoman"/>
      <w:lvlText w:val="%6"/>
      <w:lvlJc w:val="left"/>
      <w:pPr>
        <w:ind w:left="42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8BD25AC6">
      <w:start w:val="1"/>
      <w:numFmt w:val="decimal"/>
      <w:lvlText w:val="%7"/>
      <w:lvlJc w:val="left"/>
      <w:pPr>
        <w:ind w:left="49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DB9EEAFC">
      <w:start w:val="1"/>
      <w:numFmt w:val="lowerLetter"/>
      <w:lvlText w:val="%8"/>
      <w:lvlJc w:val="left"/>
      <w:pPr>
        <w:ind w:left="56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76F4FE0C">
      <w:start w:val="1"/>
      <w:numFmt w:val="lowerRoman"/>
      <w:lvlText w:val="%9"/>
      <w:lvlJc w:val="left"/>
      <w:pPr>
        <w:ind w:left="63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2AF4DB7"/>
    <w:multiLevelType w:val="hybridMultilevel"/>
    <w:tmpl w:val="52BEBE4E"/>
    <w:lvl w:ilvl="0" w:tplc="57E0C2F0">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EA60A7A">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31A5C5E">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82CA5F4">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47010A8">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3FED9FA">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8F42C92">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DD0FF88">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B98A4EE">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279847448">
    <w:abstractNumId w:val="3"/>
  </w:num>
  <w:num w:numId="2" w16cid:durableId="679744494">
    <w:abstractNumId w:val="2"/>
  </w:num>
  <w:num w:numId="3" w16cid:durableId="1525435369">
    <w:abstractNumId w:val="1"/>
  </w:num>
  <w:num w:numId="4" w16cid:durableId="16150904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iel Bontenbal">
    <w15:presenceInfo w15:providerId="AD" w15:userId="S::m.p.bontenbal@hva.nl::57333c6a-db0f-4197-a30b-f003c0e68c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D7A"/>
    <w:rsid w:val="002E758F"/>
    <w:rsid w:val="003149AA"/>
    <w:rsid w:val="00374476"/>
    <w:rsid w:val="00453D7A"/>
    <w:rsid w:val="009132E9"/>
    <w:rsid w:val="00DB06EB"/>
    <w:rsid w:val="00E84B58"/>
    <w:rsid w:val="00FF36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7876F52"/>
  <w15:docId w15:val="{8E0CC50E-A68C-8540-80FF-7AC902528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56" w:lineRule="auto"/>
      <w:ind w:left="10" w:right="144"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numPr>
        <w:numId w:val="4"/>
      </w:numPr>
      <w:spacing w:after="85"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4"/>
      </w:numPr>
      <w:spacing w:after="75" w:line="259" w:lineRule="auto"/>
      <w:ind w:left="10" w:hanging="10"/>
      <w:outlineLvl w:val="1"/>
    </w:pPr>
    <w:rPr>
      <w:rFonts w:ascii="Cambria" w:eastAsia="Cambria" w:hAnsi="Cambria" w:cs="Cambria"/>
      <w:b/>
      <w:color w:val="000000"/>
    </w:rPr>
  </w:style>
  <w:style w:type="paragraph" w:styleId="Heading3">
    <w:name w:val="heading 3"/>
    <w:next w:val="Normal"/>
    <w:link w:val="Heading3Char"/>
    <w:uiPriority w:val="9"/>
    <w:unhideWhenUsed/>
    <w:qFormat/>
    <w:pPr>
      <w:keepNext/>
      <w:keepLines/>
      <w:numPr>
        <w:ilvl w:val="2"/>
        <w:numId w:val="4"/>
      </w:numPr>
      <w:spacing w:after="130" w:line="252" w:lineRule="auto"/>
      <w:ind w:left="10" w:hanging="10"/>
      <w:jc w:val="both"/>
      <w:outlineLvl w:val="2"/>
    </w:pPr>
    <w:rPr>
      <w:rFonts w:ascii="Cambria" w:eastAsia="Cambria" w:hAnsi="Cambria" w:cs="Cambri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3Char">
    <w:name w:val="Heading 3 Char"/>
    <w:link w:val="Heading3"/>
    <w:rPr>
      <w:rFonts w:ascii="Cambria" w:eastAsia="Cambria" w:hAnsi="Cambria" w:cs="Cambria"/>
      <w:b/>
      <w:color w:val="000000"/>
      <w:sz w:val="20"/>
    </w:rPr>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9132E9"/>
    <w:rPr>
      <w:sz w:val="16"/>
      <w:szCs w:val="16"/>
    </w:rPr>
  </w:style>
  <w:style w:type="paragraph" w:styleId="CommentText">
    <w:name w:val="annotation text"/>
    <w:basedOn w:val="Normal"/>
    <w:link w:val="CommentTextChar"/>
    <w:uiPriority w:val="99"/>
    <w:semiHidden/>
    <w:unhideWhenUsed/>
    <w:rsid w:val="009132E9"/>
    <w:pPr>
      <w:spacing w:line="240" w:lineRule="auto"/>
    </w:pPr>
    <w:rPr>
      <w:szCs w:val="20"/>
    </w:rPr>
  </w:style>
  <w:style w:type="character" w:customStyle="1" w:styleId="CommentTextChar">
    <w:name w:val="Comment Text Char"/>
    <w:basedOn w:val="DefaultParagraphFont"/>
    <w:link w:val="CommentText"/>
    <w:uiPriority w:val="99"/>
    <w:semiHidden/>
    <w:rsid w:val="009132E9"/>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9132E9"/>
    <w:rPr>
      <w:b/>
      <w:bCs/>
    </w:rPr>
  </w:style>
  <w:style w:type="character" w:customStyle="1" w:styleId="CommentSubjectChar">
    <w:name w:val="Comment Subject Char"/>
    <w:basedOn w:val="CommentTextChar"/>
    <w:link w:val="CommentSubject"/>
    <w:uiPriority w:val="99"/>
    <w:semiHidden/>
    <w:rsid w:val="009132E9"/>
    <w:rPr>
      <w:rFonts w:ascii="Cambria" w:eastAsia="Cambria" w:hAnsi="Cambria" w:cs="Cambri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kaggle.com/competitions/ieee-fraud-detection/writeups/2-uncles-and-3-puppies-2nd-solution-cpmp-view" TargetMode="External"/><Relationship Id="rId21" Type="http://schemas.openxmlformats.org/officeDocument/2006/relationships/hyperlink" Target="https://doi.org/10.1145/3409073.3409080" TargetMode="External"/><Relationship Id="rId42" Type="http://schemas.openxmlformats.org/officeDocument/2006/relationships/hyperlink" Target="https://www.fiu-nederland.nl/en/home/what-is-money-laundering/" TargetMode="External"/><Relationship Id="rId47" Type="http://schemas.openxmlformats.org/officeDocument/2006/relationships/hyperlink" Target="https://www.kaggle.com/competitions/ieee-fraud-detection/overview" TargetMode="External"/><Relationship Id="rId63" Type="http://schemas.openxmlformats.org/officeDocument/2006/relationships/hyperlink" Target="https://doi.org/10.1109/ICEBE59045.2023.00028" TargetMode="External"/><Relationship Id="rId68" Type="http://schemas.openxmlformats.org/officeDocument/2006/relationships/hyperlink" Target="https://doi.org/10.7717/peerj-cs.1998" TargetMode="External"/><Relationship Id="rId84" Type="http://schemas.openxmlformats.org/officeDocument/2006/relationships/hyperlink" Target="https://rdcu.be/e8mZQ" TargetMode="External"/><Relationship Id="rId89" Type="http://schemas.openxmlformats.org/officeDocument/2006/relationships/footer" Target="footer1.xml"/><Relationship Id="rId16" Type="http://schemas.openxmlformats.org/officeDocument/2006/relationships/image" Target="media/image6.jpg"/><Relationship Id="rId11" Type="http://schemas.openxmlformats.org/officeDocument/2006/relationships/image" Target="media/image1.jpg"/><Relationship Id="rId32" Type="http://schemas.openxmlformats.org/officeDocument/2006/relationships/hyperlink" Target="https://doi.org/10.1109/OJCS.2025.3543450" TargetMode="External"/><Relationship Id="rId37" Type="http://schemas.openxmlformats.org/officeDocument/2006/relationships/hyperlink" Target="https://www.privacy-regulation.eu/nl/artikel-9-verwerking-van-bijzondere-categorieen-van-persoonsgegevens-EU-AVG.htm" TargetMode="External"/><Relationship Id="rId53" Type="http://schemas.openxmlformats.org/officeDocument/2006/relationships/hyperlink" Target="https://www.kaggle.com/datasets/maryam1212/money-laundering-data" TargetMode="External"/><Relationship Id="rId58" Type="http://schemas.openxmlformats.org/officeDocument/2006/relationships/hyperlink" Target="https://wetten.overheid.nl/BWBR0024282/2026-01-01" TargetMode="External"/><Relationship Id="rId74" Type="http://schemas.openxmlformats.org/officeDocument/2006/relationships/hyperlink" Target="https://arxiv.org/abs/2112.04236" TargetMode="External"/><Relationship Id="rId79" Type="http://schemas.openxmlformats.org/officeDocument/2006/relationships/hyperlink" Target="https://arxiv.org/abs/1908.02591" TargetMode="External"/><Relationship Id="rId5" Type="http://schemas.openxmlformats.org/officeDocument/2006/relationships/footnotes" Target="footnotes.xml"/><Relationship Id="rId90" Type="http://schemas.openxmlformats.org/officeDocument/2006/relationships/footer" Target="footer2.xml"/><Relationship Id="rId22" Type="http://schemas.openxmlformats.org/officeDocument/2006/relationships/hyperlink" Target="https://www.kaggle.com/datasets/ealtman2019/ibm-transactions-for-anti-money-laundering-aml" TargetMode="External"/><Relationship Id="rId27" Type="http://schemas.openxmlformats.org/officeDocument/2006/relationships/hyperlink" Target="https://www.kaggle.com/competitions/ieee-fraud-detection/writeups/2-uncles-and-3-puppies-2nd-solution-cpmp-view" TargetMode="External"/><Relationship Id="rId43" Type="http://schemas.openxmlformats.org/officeDocument/2006/relationships/hyperlink" Target="https://www.fiu-nederland.nl/en/home/what-is-money-laundering/" TargetMode="External"/><Relationship Id="rId48" Type="http://schemas.openxmlformats.org/officeDocument/2006/relationships/hyperlink" Target="https://www.kaggle.com/competitions/ieee-fraud-detection/overview" TargetMode="External"/><Relationship Id="rId64" Type="http://schemas.openxmlformats.org/officeDocument/2006/relationships/hyperlink" Target="http://jmlr.org/papers/v20/18-444.html" TargetMode="External"/><Relationship Id="rId69" Type="http://schemas.openxmlformats.org/officeDocument/2006/relationships/hyperlink" Target="https://www.kaggle.com/competitions/ieee-fraud-detection/writeups/lions-5th-place-solution-lions" TargetMode="External"/><Relationship Id="rId8" Type="http://schemas.microsoft.com/office/2011/relationships/commentsExtended" Target="commentsExtended.xml"/><Relationship Id="rId51" Type="http://schemas.openxmlformats.org/officeDocument/2006/relationships/hyperlink" Target="https://arxiv.org/abs/1901.01379" TargetMode="External"/><Relationship Id="rId72" Type="http://schemas.openxmlformats.org/officeDocument/2006/relationships/hyperlink" Target="https://doi.org/10.1016/j.mlwa.2022.100306" TargetMode="External"/><Relationship Id="rId80" Type="http://schemas.openxmlformats.org/officeDocument/2006/relationships/hyperlink" Target="https://arxiv.org/abs/1908.02591" TargetMode="External"/><Relationship Id="rId85" Type="http://schemas.openxmlformats.org/officeDocument/2006/relationships/hyperlink" Target="https://rdcu.be/e8mZQ" TargetMode="External"/><Relationship Id="rId93" Type="http://schemas.microsoft.com/office/2011/relationships/people" Target="people.xml"/><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hyperlink" Target="https://www.kaggle.com/competitions/ieee-fraud-detection/writeups/2-uncles-and-3-puppies-2nd-solution-cpmp-view" TargetMode="External"/><Relationship Id="rId33" Type="http://schemas.openxmlformats.org/officeDocument/2006/relationships/hyperlink" Target="https://doi.org/10.1109/OJCS.2025.3543450" TargetMode="External"/><Relationship Id="rId38" Type="http://schemas.openxmlformats.org/officeDocument/2006/relationships/hyperlink" Target="https://www.privacy-regulation.eu/nl/artikel-9-verwerking-van-bijzondere-categorieen-van-persoonsgegevens-EU-AVG.htm" TargetMode="External"/><Relationship Id="rId46" Type="http://schemas.openxmlformats.org/officeDocument/2006/relationships/hyperlink" Target="https://doi.org/10.17975/sfj-2021-006" TargetMode="External"/><Relationship Id="rId59" Type="http://schemas.openxmlformats.org/officeDocument/2006/relationships/hyperlink" Target="https://doi.org/10.1038/nature14236" TargetMode="External"/><Relationship Id="rId67" Type="http://schemas.openxmlformats.org/officeDocument/2006/relationships/hyperlink" Target="https://doi.org/10.7717/peerj-cs.1998" TargetMode="External"/><Relationship Id="rId20" Type="http://schemas.openxmlformats.org/officeDocument/2006/relationships/hyperlink" Target="https://doi.org/10.1145/3409073.3409080" TargetMode="External"/><Relationship Id="rId41" Type="http://schemas.openxmlformats.org/officeDocument/2006/relationships/hyperlink" Target="https://www.fincen.gov/what-money-laundering" TargetMode="External"/><Relationship Id="rId54" Type="http://schemas.openxmlformats.org/officeDocument/2006/relationships/hyperlink" Target="https://www.kaggle.com/datasets/maryam1212/money-laundering-data" TargetMode="External"/><Relationship Id="rId62" Type="http://schemas.openxmlformats.org/officeDocument/2006/relationships/hyperlink" Target="https://doi.org/10.1109/ICEBE59045.2023.00028" TargetMode="External"/><Relationship Id="rId70" Type="http://schemas.openxmlformats.org/officeDocument/2006/relationships/hyperlink" Target="https://www.kaggle.com/competitions/ieee-fraud-detection/writeups/lions-5th-place-solution-lions" TargetMode="External"/><Relationship Id="rId75" Type="http://schemas.openxmlformats.org/officeDocument/2006/relationships/hyperlink" Target="https://arxiv.org/abs/2112.04236" TargetMode="External"/><Relationship Id="rId83" Type="http://schemas.openxmlformats.org/officeDocument/2006/relationships/hyperlink" Target="https://xgboost.readthedocs.io/en/stable/parameter.html" TargetMode="External"/><Relationship Id="rId88" Type="http://schemas.openxmlformats.org/officeDocument/2006/relationships/hyperlink" Target="https://www.scitepress.org/Papers/2020/91561/91561.pdf" TargetMode="External"/><Relationship Id="rId9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g"/><Relationship Id="rId23" Type="http://schemas.openxmlformats.org/officeDocument/2006/relationships/hyperlink" Target="https://www.kaggle.com/datasets/ealtman2019/ibm-transactions-for-anti-money-laundering-aml" TargetMode="External"/><Relationship Id="rId28" Type="http://schemas.openxmlformats.org/officeDocument/2006/relationships/hyperlink" Target="https://doi.org/10.1145/2939672.2939785" TargetMode="External"/><Relationship Id="rId36" Type="http://schemas.openxmlformats.org/officeDocument/2006/relationships/hyperlink" Target="https://www.kaggle.com/competitions/ieee-fraud-detection/writeups/fraudsquad-1st-place-solution-part-2" TargetMode="External"/><Relationship Id="rId49" Type="http://schemas.openxmlformats.org/officeDocument/2006/relationships/hyperlink" Target="https://doi.org/10.1038/s41597-023-02569-2" TargetMode="External"/><Relationship Id="rId57" Type="http://schemas.openxmlformats.org/officeDocument/2006/relationships/hyperlink" Target="https://wetten.overheid.nl/BWBR0024282/2026-01-01" TargetMode="External"/><Relationship Id="rId10" Type="http://schemas.microsoft.com/office/2018/08/relationships/commentsExtensible" Target="commentsExtensible.xml"/><Relationship Id="rId31" Type="http://schemas.openxmlformats.org/officeDocument/2006/relationships/hyperlink" Target="https://doi.org/10.1002/9780470685280.ch1" TargetMode="External"/><Relationship Id="rId44" Type="http://schemas.openxmlformats.org/officeDocument/2006/relationships/hyperlink" Target="https://www.fiu-nederland.nl/en/home/what-is-money-laundering/" TargetMode="External"/><Relationship Id="rId52" Type="http://schemas.openxmlformats.org/officeDocument/2006/relationships/hyperlink" Target="https://arxiv.org/abs/1901.01379" TargetMode="External"/><Relationship Id="rId60" Type="http://schemas.openxmlformats.org/officeDocument/2006/relationships/hyperlink" Target="https://doi.org/10.1038/nature14236" TargetMode="External"/><Relationship Id="rId65" Type="http://schemas.openxmlformats.org/officeDocument/2006/relationships/hyperlink" Target="http://jmlr.org/papers/v20/18-444.html" TargetMode="External"/><Relationship Id="rId73" Type="http://schemas.openxmlformats.org/officeDocument/2006/relationships/hyperlink" Target="https://doi.org/10.1016/j.mlwa.2022.100306" TargetMode="External"/><Relationship Id="rId78" Type="http://schemas.openxmlformats.org/officeDocument/2006/relationships/hyperlink" Target="https://arxiv.org/abs/1812.00076" TargetMode="External"/><Relationship Id="rId81" Type="http://schemas.openxmlformats.org/officeDocument/2006/relationships/hyperlink" Target="https://xgboost.readthedocs.io/en/stable/parameter.html" TargetMode="External"/><Relationship Id="rId86" Type="http://schemas.openxmlformats.org/officeDocument/2006/relationships/hyperlink" Target="https://www.scitepress.org/Papers/2020/91561/91561.pdf" TargetMode="External"/><Relationship Id="rId94"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jpg"/><Relationship Id="rId18" Type="http://schemas.openxmlformats.org/officeDocument/2006/relationships/image" Target="media/image8.jpg"/><Relationship Id="rId39" Type="http://schemas.openxmlformats.org/officeDocument/2006/relationships/hyperlink" Target="https://www.privacy-regulation.eu/nl/artikel-9-verwerking-van-bijzondere-categorieen-van-persoonsgegevens-EU-AVG.htm" TargetMode="External"/><Relationship Id="rId34" Type="http://schemas.openxmlformats.org/officeDocument/2006/relationships/hyperlink" Target="https://www.kaggle.com/competitions/ieee-fraud-detection/writeups/fraudsquad-1st-place-solution-part-2" TargetMode="External"/><Relationship Id="rId50" Type="http://schemas.openxmlformats.org/officeDocument/2006/relationships/hyperlink" Target="https://doi.org/10.1038/s41597-023-02569-2" TargetMode="External"/><Relationship Id="rId55" Type="http://schemas.openxmlformats.org/officeDocument/2006/relationships/hyperlink" Target="https://www.kaggle.com/datasets/maryam1212/money-laundering-data" TargetMode="External"/><Relationship Id="rId76" Type="http://schemas.openxmlformats.org/officeDocument/2006/relationships/hyperlink" Target="https://arxiv.org/abs/1812.00076" TargetMode="External"/><Relationship Id="rId7" Type="http://schemas.openxmlformats.org/officeDocument/2006/relationships/comments" Target="comments.xml"/><Relationship Id="rId71" Type="http://schemas.openxmlformats.org/officeDocument/2006/relationships/hyperlink" Target="https://www.kaggle.com/competitions/ieee-fraud-detection/writeups/lions-5th-place-solution-lions"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doi.org/10.1145/2939672.2939785" TargetMode="External"/><Relationship Id="rId24" Type="http://schemas.openxmlformats.org/officeDocument/2006/relationships/hyperlink" Target="https://www.kaggle.com/datasets/ealtman2019/ibm-transactions-for-anti-money-laundering-aml" TargetMode="External"/><Relationship Id="rId40" Type="http://schemas.openxmlformats.org/officeDocument/2006/relationships/hyperlink" Target="https://www.fincen.gov/what-money-laundering" TargetMode="External"/><Relationship Id="rId45" Type="http://schemas.openxmlformats.org/officeDocument/2006/relationships/hyperlink" Target="https://doi.org/10.17975/sfj-2021-006" TargetMode="External"/><Relationship Id="rId66" Type="http://schemas.openxmlformats.org/officeDocument/2006/relationships/hyperlink" Target="http://jmlr.org/papers/v20/18-444.html" TargetMode="External"/><Relationship Id="rId87" Type="http://schemas.openxmlformats.org/officeDocument/2006/relationships/hyperlink" Target="https://www.scitepress.org/Papers/2020/91561/91561.pdf" TargetMode="External"/><Relationship Id="rId61" Type="http://schemas.openxmlformats.org/officeDocument/2006/relationships/hyperlink" Target="https://doi.org/10.1109/ICEBE59045.2023.00028" TargetMode="External"/><Relationship Id="rId82" Type="http://schemas.openxmlformats.org/officeDocument/2006/relationships/hyperlink" Target="https://xgboost.readthedocs.io/en/stable/parameter.html" TargetMode="External"/><Relationship Id="rId19" Type="http://schemas.openxmlformats.org/officeDocument/2006/relationships/hyperlink" Target="https://doi.org/10.1145/3409073.3409080" TargetMode="External"/><Relationship Id="rId14" Type="http://schemas.openxmlformats.org/officeDocument/2006/relationships/image" Target="media/image4.jpg"/><Relationship Id="rId30" Type="http://schemas.openxmlformats.org/officeDocument/2006/relationships/hyperlink" Target="https://doi.org/10.1002/9780470685280.ch1" TargetMode="External"/><Relationship Id="rId35" Type="http://schemas.openxmlformats.org/officeDocument/2006/relationships/hyperlink" Target="https://www.kaggle.com/competitions/ieee-fraud-detection/writeups/fraudsquad-1st-place-solution-part-2" TargetMode="External"/><Relationship Id="rId56" Type="http://schemas.openxmlformats.org/officeDocument/2006/relationships/hyperlink" Target="https://wetten.overheid.nl/BWBR0024282/2026-01-01" TargetMode="External"/><Relationship Id="rId77" Type="http://schemas.openxmlformats.org/officeDocument/2006/relationships/hyperlink" Target="https://arxiv.org/abs/1812.000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13063</Words>
  <Characters>74461</Characters>
  <Application>Microsoft Office Word</Application>
  <DocSecurity>0</DocSecurity>
  <Lines>620</Lines>
  <Paragraphs>174</Paragraphs>
  <ScaleCrop>false</ScaleCrop>
  <Company/>
  <LinksUpToDate>false</LinksUpToDate>
  <CharactersWithSpaces>87350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Michiel Bontenbal</dc:creator>
  <cp:keywords/>
  <cp:lastModifiedBy>Michiel Bontenbal</cp:lastModifiedBy>
  <cp:revision>2</cp:revision>
  <dcterms:created xsi:type="dcterms:W3CDTF">2026-05-21T14:30:00Z</dcterms:created>
  <dcterms:modified xsi:type="dcterms:W3CDTF">2026-05-21T14:30:00Z</dcterms:modified>
</cp:coreProperties>
</file>