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Микроконтроллер.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Питание микроконтроллера является опорное напряжение, бывают (5В, 3.3В, 1.8В).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Все сигналы сравниваются с опорным напряжением.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6115" cy="85699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775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026115" cy="856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38.3pt;height:67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ATMega328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Внутри микроконтроллера есть встроенные микроустройства (ЦП, память и т.д.)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CPU - процессор</w:t>
        <w:br/>
        <w:t xml:space="preserve">I/O ports – порты микроконтроллера (PB, PC, PD)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Порты состоят из 3х регистров: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DDR (Direction – направление) - 0:7 – вывод или считывание сигнала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PORT (регистр) 0:7 – если OUTPUT, то норм.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PIN (текущее состояние на выходе)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Жихарев</cp:lastModifiedBy>
  <cp:revision>1</cp:revision>
  <dcterms:modified xsi:type="dcterms:W3CDTF">2023-01-24T12:58:22Z</dcterms:modified>
</cp:coreProperties>
</file>