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Tư thế đứng nghiêm, đứng nghỉ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Tư thế đứng nghiêm, đứng nghỉ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Tư thế đứng nghiêm, đứng nghỉ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hợp tác và tuân thủ luật chơi; thắng không kiêu, thua không nản.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4: Động tác quay các hướng (quay trái, quay phải, quay sau)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4: Động tác quay các hướng (quay trái, quay phải, quay sau)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4: Động tác quay các hướng (quay trái, quay phải, quay sau)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vặn mình, động tác bụng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vặn mình, động tác bụng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vặn mình, động tác bụng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điều hòa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điều hòa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giữa học kì I (Chủ đề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1: Vận động của đầu, cổ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1: Vận động của đầu, cổ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1: Vận động của đầu, cổ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và đánh giá cuối học kì I (Tiết 1 -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học kì I (Tiết 2 - Đánh giá)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hướng dẫn kĩ thuật qua clip; tuyệt đối tuân thủ quy tắc an toàn khi tập.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năm học (Tiết 1 - Ôn tập, hệ thống hóa)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và đánh giá cuối năm học (Tiết 2 - Đánh giá)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năm học (Tiết 3 - Đánh giá,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