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Cho HS thể hiện hình ảnh quê hương, di tích lịch sử địa phương; giáo dục nhận biết chủ quyền lãnh thổ; có ý thức chấp hành pháp luật, nhất là pháp luật giao thông.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Chủ đề 5 (4 tiết) học liền mạch tuần 18–21; Tổ CM có thể chuyển trọn sang HKII nếu cần.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và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