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 GV chiếu video bài hát Biết ơn chị.</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NLS-GT (Cơ bản 2): Chiếu các tình huống ứng xử trên mạng gắn với “Tôn trọng sự khác biệt của người khác”.</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NLS-GT (Cơ bản 2): Chiếu các tình huống ứng xử trên mạng gắn với “Bảo vệ cái đúng, cái tốt”.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Hướng dẫn HS làm một sản phẩm số tuyên truyền cho “Bảo vệ môi trường sồng”.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NLS-GQVĐ (Cơ bản 2): Hướng dẫn HS dùng ứng dụng lịch hoặc danh sách việc cần làm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NLS-AT (Cơ bản 2): Bài “Phòng, tránh xâm hại” gắn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NLS-GQVĐ (Cơ bản 2): Cho HS nhận diện các hình thức tiêu tiền trên môi trường số liên quan “Sử dụng tiền hợp lý”.</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