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 và câu đáp cho HS nghe hai lượt</w:t>
            </w:r>
          </w:p>
          <w:p>
            <w:pPr>
              <w:spacing w:after="0"/>
            </w:pPr>
            <w:r>
              <w:rPr>
                <w:b w:val="0"/>
                <w:i w:val="0"/>
                <w:sz w:val="18"/>
              </w:rPr>
              <w:t>NLS-GT (Cơ bản 1): GV ghi âm lượt hỏi đáp chào hỏi của vài cặp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Vào bài Unit 2 Our names, GV chiếu tranh và mở tệp ghi âm mẫu câu hỏi tên, trả lời tên</w:t>
            </w:r>
          </w:p>
          <w:p>
            <w:pPr>
              <w:spacing w:after="0"/>
            </w:pPr>
            <w:r>
              <w:rPr>
                <w:b w:val="0"/>
                <w:i w:val="0"/>
                <w:sz w:val="18"/>
              </w:rPr>
              <w:t>NLS-GT (Cơ bản 1): GV chiếu bảng tên của lớp lên màn hình, mỗi em lần lượt hỏi tên bạn và gõ hoặc đọc để thầy cô ghi tên bạn vào đúng</w:t>
            </w:r>
          </w:p>
          <w:p>
            <w:pPr>
              <w:spacing w:after="0"/>
            </w:pPr>
            <w:r>
              <w:rPr>
                <w:b w:val="0"/>
                <w:i w:val="0"/>
                <w:sz w:val="18"/>
              </w:rPr>
              <w:t>NLS-AT: Bảng tên chỉ ghi tên gọi ở lớp, không ghi địa chỉ, số điện thoại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