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“Ngôi sao sân cỏ”, GV chiếu ảnh vài môn thể thao và một đoạn phim ngắn về trận bóng của thiếu nhi</w:t>
            </w:r>
          </w:p>
          <w:p>
            <w:pPr>
              <w:spacing w:after="0"/>
            </w:pPr>
            <w:r>
              <w:rPr>
                <w:b w:val="0"/>
                <w:i w:val="0"/>
                <w:sz w:val="18"/>
              </w:rPr>
              <w:t>NLS-GT (Cơ bản 2): GV ghi âm lượt đọc phân vai của các nhóm rồi mở lại cho cả lớp nghe; HS nhận xét theo tiêu chí đọc rõ, ngắt nghỉ đúng</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2): Trước khi đọc “Hang sơn đoòng”,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Trước khi đọc “Những hòn đảo trên vịnh hạ long”,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2): Trước khi đọc “Những ngọn núi nóng rẫy”,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2): Trước khi đọc “Xin chào, xa-ha-ra”,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NLS-KT (Cơ bản 2): Trước khi đọc “Tập hát quan họ”,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Trước khi đọc “Phim hoạt hình “chú ốc sên bay””,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(Cơ bản 2): Trước khi đọc “Nghệ thuật múa ba lê”,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NLS-KT (Cơ bản 2): Trước khi đọc “Sự tích chú tễu”,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