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“Biết ơn những người có công với quê hương, đất nước”, GV chiếu câu đố về nhân vật lịch sử trên tivi</w:t>
            </w:r>
          </w:p>
          <w:p>
            <w:pPr>
              <w:spacing w:after="0"/>
            </w:pPr>
            <w:r>
              <w:rPr>
                <w:b w:val="0"/>
                <w:i w:val="0"/>
                <w:sz w:val="18"/>
              </w:rPr>
              <w:t>NLS-ST (Cơ bản 2): Nhóm ghi lại hai nội dung: vì sao cần biết ơn và việc làm thể hiện lòng biết ơn, trình bày bằng sơ đồ trên giấy</w:t>
            </w:r>
          </w:p>
          <w:p>
            <w:pPr>
              <w:spacing w:after="0"/>
            </w:pPr>
            <w:r>
              <w:rPr>
                <w:b w:val="0"/>
                <w:i w:val="0"/>
                <w:sz w:val="18"/>
              </w:rPr>
              <w:t>NLS-AT: Chỉ dùng ảnh, thông tin nhân vật từ SGK và học liệu GV đưa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