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xem video bài hát “Lớn lên em sẽ làm gì?” và hình ảnh người lao động, kể được tên một số nghề</w:t>
            </w:r>
          </w:p>
          <w:p>
            <w:pPr>
              <w:spacing w:after="0"/>
            </w:pPr>
            <w:r>
              <w:rPr>
                <w:b w:val="0"/>
                <w:i w:val="0"/>
                <w:sz w:val="18"/>
              </w:rPr>
              <w:t>QPAN: Giáo dục lòng biết ơn anh hùng, liệt sĩ, người có công với cách mạng;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Năng lực số 1.2 CB2a: HS nhận ra dấu hiệu của lời kêu gọi từ thiện đáng tin và lời kêu gọi không rõ nguồn</w:t>
            </w:r>
          </w:p>
          <w:p>
            <w:pPr>
              <w:spacing w:after="0"/>
            </w:pPr>
            <w:r>
              <w:rPr>
                <w:b w:val="0"/>
                <w:i w:val="0"/>
                <w:sz w:val="18"/>
              </w:rPr>
              <w:t>QPAN: Giáo dục tinh thần đoàn kết, yêu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NLS-KT (Cơ bản 2): Ở bài “Yêu lao động”, GV chiếu bộ ảnh người lao động ở nhiều nghề.</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5.2 CB2b: HS nêu được những thứ thuộc tài sản số của người khác và cách ứng xử đúng với chúng</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CB2b: HS nêu được những thứ thuộc tài sản số của người khác và cách ứng xử đúng với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nêu được những thứ thuộc tài sản số của người khác và cách ứng xử đúng với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NLS-GT (Cơ bản 2): HS cùng xây dựng bản quy ước sử dụng phòng máy và bảng phân công trực nhật, mỗi tổ theo dõi và.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5.2 CB2b: HS kể được tài sản chung là thiết bị số ở trường và cách sử dụng, giữ gìn đúng</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kể được tài sản chung là thiết bị số ở trường và cách sử dụng, giữ gìn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5.2 CB2b: HS kể được tài sản chung là thiết bị số ở trường và cách sử dụng, giữ gìn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6. Thiết lập quan hệ bạn bè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6. Thiết lập quan hệ bạn bè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NLS-GQVĐ (Cơ bản 2): Cho HS quan sát các cách tiêu tiền trên môi trường số: mua hàng qua mạng, nạp tiền vào trò chơi, mua.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chi đơn giản và phân biệt khoản cần thiết với khoản chỉ là muốn</w:t>
            </w:r>
          </w:p>
          <w:p>
            <w:pPr>
              <w:spacing w:after="0"/>
            </w:pPr>
            <w:r>
              <w:rPr>
                <w:b w:val="0"/>
                <w:i w:val="0"/>
                <w:sz w:val="18"/>
              </w:rPr>
              <w:t>NLS: Năng lực số 5.2 CB2b: HS lập được bảng thu</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chi đơn giản và phân biệt khoản cần thiết với khoản chỉ là muốn</w:t>
            </w:r>
          </w:p>
          <w:p>
            <w:pPr>
              <w:spacing w:after="0"/>
            </w:pPr>
            <w:r>
              <w:rPr>
                <w:b w:val="0"/>
                <w:i w:val="0"/>
                <w:sz w:val="18"/>
              </w:rPr>
              <w:t>NLS: Năng lực số 5.2 CB2b: HS lập được bảng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chi đơn giản và phân biệt khoản cần thiết với khoản chỉ là muốn</w:t>
            </w:r>
          </w:p>
          <w:p>
            <w:pPr>
              <w:spacing w:after="0"/>
            </w:pPr>
            <w:r>
              <w:rPr>
                <w:b w:val="0"/>
                <w:i w:val="0"/>
                <w:sz w:val="18"/>
              </w:rPr>
              <w:t>NLS: Năng lực số 5.2 CB2b: HS lập được bảng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t>chi đơn giản và phân biệt khoản cần thiết với khoản chỉ là muốn</w:t>
            </w:r>
          </w:p>
          <w:p>
            <w:pPr>
              <w:spacing w:after="0"/>
            </w:pPr>
            <w:r>
              <w:rPr>
                <w:b w:val="0"/>
                <w:i w:val="0"/>
                <w:sz w:val="18"/>
              </w:rPr>
              <w:t>NLS: Năng lực số 5.2 CB2b: HS lập được bảng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Năng lực số 1.1 CB2c: HS chỉ ra được quyền của trẻ em bị xâm phạm trong tình huống trên môi trường mạng</w:t>
            </w:r>
          </w:p>
          <w:p>
            <w:pPr>
              <w:spacing w:after="0"/>
            </w:pPr>
            <w:r>
              <w:rPr>
                <w:b w:val="0"/>
                <w:i w:val="0"/>
                <w:sz w:val="18"/>
              </w:rPr>
              <w:t>QTE</w:t>
            </w:r>
          </w:p>
          <w:p>
            <w:pPr>
              <w:spacing w:after="0"/>
            </w:pPr>
            <w:r>
              <w:rPr>
                <w:b w:val="0"/>
                <w:i w:val="0"/>
                <w:sz w:val="18"/>
              </w:rPr>
              <w:t>QTE: trẻ em có quyền được bày tỏ ý kiến và được người lớn lắng nghe về những việc liên quan đến mình (Luật Trẻ em 2016).</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