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nhạc đệm, bản đọc mẫu Bài số 1 trên máy tính, bấm từng nốt trên đàn phím điện tử; HS nghe rồi đọc theo</w:t>
            </w:r>
          </w:p>
          <w:p>
            <w:pPr>
              <w:spacing w:after="0"/>
            </w:pPr>
            <w:r>
              <w:rPr>
                <w:b w:val="0"/>
                <w:i w:val="0"/>
                <w:sz w:val="18"/>
              </w:rPr>
              <w:t>NLS-ST (Cơ bản 1): GV thu phần ôn bài Múa lân kết hợp gõ đệm bằng điện thoại, mở lại ngay; HS nhận xét chỗ hát chưa đều, gõ phách chưa khớp</w:t>
            </w:r>
          </w:p>
          <w:p>
            <w:pPr>
              <w:spacing w:after="0"/>
            </w:pPr>
            <w:r>
              <w:rPr>
                <w:b w:val="0"/>
                <w:i w:val="0"/>
                <w:sz w:val="18"/>
              </w:rPr>
              <w:t>NLS-AT: Bản thu giọng hát chỉ nghe trong tiết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