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Miền 1 (Cơ bản, bậc 2): Ở bài “Yêu lao động”, GV chiếu bộ ảnh người lao động ở nhiều nghề và ảnh HS làm việc vừa sức như trực nhật, tưới cây, gấp quần áo; Năng lực số Miền 2 (Cơ bản, bậc 2): GV gõ lên màn hình những việc HS kể thành bảng hai cột việc ở nhà và việc ở trường; cả lớp cùng đọc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Năng lực số 5.2 CB2b: HS lập được bảng thu – chi đơn giản và phân biệt khoản cần thiết với khoản chỉ là muốn</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5.2 CB2b: HS lập được bảng thu – chi đơn giản và phân biệt khoản cần thiết với khoản chỉ là muốn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