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Hoạt động: Kiến tạo tri thức mới. -Tượng đài Mẹ Việt Nam Anh hùng tại núi Cấm (xã Tam Phú, thành phố Tam Kỳ, tỉnh Quảng Nam). *Tượng đài Mẹ Việt Nam Anh hùng tại núi Cấm (Phường Quảng Phú, Thành phố Đà Nẵng) -(mới); Năng lực số 1.1 CB2c: HS xem video bài hát về người có công với quê hương, đất nước rồi kể được một người mà em biết ơn</w:t>
            </w:r>
          </w:p>
          <w:p>
            <w:pPr>
              <w:spacing w:after="0"/>
            </w:pPr>
            <w:r>
              <w:rPr>
                <w:b w:val="0"/>
                <w:i w:val="0"/>
                <w:sz w:val="18"/>
              </w:rPr>
              <w:t>QPAN: Giáo dục ý thức bảo vệ chủ quyền biển, đảo; trách nhiệm công dân trong xây dựng và bảo vệ Tổ quốc; giới thiệu chủ quyền, quyền chủ quyền biển, đảo Việt Nam và gương dũng cảm cứu hộ, cứu nạn của cán bộ, chiến sĩ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NLS: Năng lực số 2.5 CB2a: HS viết lại bình luận ác ý thành lời góp ý tử tế</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GDVL: GD Việt Lào</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Miền 1 (Cơ bản, bậc 2): Ở bài “Vượt qua khó khăn”, GV chiếu một hai câu chuyện có thật về tấm gương vượt khó do thầy cô chọn từ nguồn tin cậy, kèm ảnh minh hoạ; HS đọc; Năng lực số Miền 2 (Cơ bản, bậc 2): GV gõ lên màn hình những khó khăn HS nêu cùng cách khắc phục mà các bạn góp ý, thành bảng hai cột; Học tập và làm theo Bác: Điều 5 “Khiêm tốn, thật thà, dũng cảm” (mạch 5): HS nêu một khó khăn của mình trong học tập và cách dũng cảm, kiên trì vượt qua; tự đặt một mục tiêu nhỏ cho tuần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GDĐP: GD địa phương</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1)</w:t>
            </w:r>
          </w:p>
        </w:tc>
        <w:tc>
          <w:tcPr>
            <w:tcW w:type="dxa" w:w="1474"/>
          </w:tcPr>
          <w:p>
            <w:pPr>
              <w:spacing w:after="0"/>
              <w:jc w:val="center"/>
            </w:pPr>
            <w:r/>
            <w:r>
              <w:rPr>
                <w:b w:val="0"/>
                <w:i w:val="0"/>
                <w:sz w:val="20"/>
              </w:rPr>
              <w:t>Tiết 16 (4 tiết)</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1)</w:t>
            </w:r>
          </w:p>
        </w:tc>
        <w:tc>
          <w:tcPr>
            <w:tcW w:type="dxa" w:w="1474"/>
          </w:tcPr>
          <w:p>
            <w:pPr>
              <w:spacing w:after="0"/>
              <w:jc w:val="center"/>
            </w:pPr>
            <w:r/>
            <w:r>
              <w:rPr>
                <w:b w:val="0"/>
                <w:i w:val="0"/>
                <w:sz w:val="20"/>
              </w:rPr>
              <w:t>Tiết 21 (4 tiết)</w:t>
            </w:r>
          </w:p>
        </w:tc>
        <w:tc>
          <w:tcPr>
            <w:tcW w:type="dxa" w:w="4195"/>
          </w:tcPr>
          <w:p>
            <w:pPr>
              <w:spacing w:after="0"/>
            </w:pPr>
            <w:r/>
            <w:r>
              <w:rPr>
                <w:b w:val="0"/>
                <w:i w:val="0"/>
                <w:sz w:val="18"/>
              </w:rPr>
              <w:t>NLS: Năng lực số 5.2 CB2b: HS lập kế hoạch cá nhân trên ứng dụng lịch hoặc danh sách việc</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1)</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NLS: Năng lực số 4.2 CB2a: HS nhận diện tình huống nguy hiểm qua mạng</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