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6. Một số nét văn hoá ở vùng Trung du và miền núi phía Bắc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GDĐP: Nội dung giáo dục địa phương</w:t>
            </w:r>
          </w:p>
          <w:p>
            <w:pPr>
              <w:spacing w:after="0"/>
            </w:pPr>
            <w:r>
              <w:rPr>
                <w:b w:val="0"/>
                <w:i w:val="0"/>
                <w:sz w:val="18"/>
              </w:rPr>
              <w:t>GDĐP: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nét văn hoá ở vùng Trung du và miền núi phía Bắc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7. Đền Hùng và lễ giỗ Tổ Hùng Vương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Đền Hùng và lễ giỗ Tổ Hùng Vương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Bổ sung bài còn thiếu theo mục lục SGK (Tổ CM đối chiếu SGK)</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NLS-KT (Cơ bản 2): Cho HS tham quan “Sông Hồng và văn minh Sông Hồng” qua bảo tàng số, ảnh 360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Một số nét văn hoá ở vùng Đồng bằng Bắc Bộ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14. Ôn tập</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1)</w:t>
            </w:r>
          </w:p>
        </w:tc>
        <w:tc>
          <w:tcPr>
            <w:tcW w:type="dxa" w:w="1474"/>
          </w:tcPr>
          <w:p>
            <w:pPr>
              <w:spacing w:after="0"/>
              <w:jc w:val="center"/>
            </w:pPr>
            <w:r/>
            <w:r>
              <w:rPr>
                <w:b w:val="0"/>
                <w:i w:val="0"/>
                <w:sz w:val="20"/>
              </w:rPr>
              <w:t>Tiết 35 (6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3)</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4)</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5)</w:t>
            </w:r>
          </w:p>
        </w:tc>
        <w:tc>
          <w:tcPr>
            <w:tcW w:type="dxa" w:w="1474"/>
          </w:tcPr>
          <w:p>
            <w:pPr>
              <w:spacing w:after="0"/>
              <w:jc w:val="center"/>
            </w:pPr>
            <w:r/>
            <w:r>
              <w:rPr>
                <w:b w:val="0"/>
                <w:i w:val="0"/>
                <w:sz w:val="20"/>
              </w:rPr>
              <w:t>Tiết 39</w:t>
            </w:r>
          </w:p>
        </w:tc>
        <w:tc>
          <w:tcPr>
            <w:tcW w:type="dxa" w:w="4195"/>
          </w:tcPr>
          <w:p>
            <w:pPr>
              <w:spacing w:after="0"/>
            </w:pPr>
            <w:r/>
            <w:r>
              <w:rPr>
                <w:b w:val="0"/>
                <w:i w:val="0"/>
                <w:sz w:val="18"/>
              </w:rPr>
              <w:t>NLS-KT (Cơ bản 2): Ở hoạt động Khám phá bài “Dân cư và hoạt động sản xuất ở vùng Bắc Trung Bộ và Nam Trung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6)</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41 (5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44</w:t>
            </w:r>
          </w:p>
        </w:tc>
        <w:tc>
          <w:tcPr>
            <w:tcW w:type="dxa" w:w="4195"/>
          </w:tcPr>
          <w:p>
            <w:pPr>
              <w:spacing w:after="0"/>
            </w:pPr>
            <w:r/>
            <w:r>
              <w:rPr>
                <w:b w:val="0"/>
                <w:i w:val="0"/>
                <w:sz w:val="18"/>
              </w:rPr>
              <w:t>NLS-GT (Cơ bản 2): Ở hoạt động nhóm, GV chiếu bảng chung “Di sản – Nơi có – Nét đặc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5)</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bảng tổng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18. Truyền thống yêu nước, cách mạng của đồng bào Bắc Trung Bộ và Nam Trung Bộ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1.2 CB2a: HS đối chiếu ảnh tư liệu về nhân vật, di tích đã sưu tầm với thông tin trong SGK, chọn ảnh có nguồn tin cậy và ghi rõ nguồn khi kể chuyện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21. Lễ hội Cồng chiêng Tây Nguyên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sơ đồ tư duy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Nam Bộ</w:t>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5: Nam Bộ</w:t>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5: Nam Bộ</w:t>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1.1 CB2c: HS mở bản đồ số Việt Nam trên máy chiếu, phóng to để chỉ vị trí và kể tên các tỉnh, thành phố của vùng Bắc Trung Bộ và Nam Trung Bộ rồi điền vào phiếu ôn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5: Nam Bộ</w:t>
            </w:r>
          </w:p>
        </w:tc>
        <w:tc>
          <w:tcPr>
            <w:tcW w:type="dxa" w:w="4365"/>
          </w:tcPr>
          <w:p>
            <w:pPr>
              <w:spacing w:after="0"/>
            </w:pPr>
            <w:r/>
            <w:r>
              <w:rPr>
                <w:b w:val="0"/>
                <w:i w:val="0"/>
                <w:sz w:val="20"/>
              </w:rPr>
              <w:t>Bài 27.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1.2 CB2a: HS chọn tranh ảnh về vùng Nam Bộ có nguồn tin cậy trong số tư liệu đã sưu tầm để làm bài giới thiệu và ghi rõ nguồn dưới mỗi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