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NLS-KT (Cơ bản 1): GV chiếu video mẫu bài “Chuyển đội hình hàng ngang thành đội hình vòng tròn và ngược lại”</w:t>
            </w:r>
          </w:p>
          <w:p>
            <w:pPr>
              <w:spacing w:after="0"/>
            </w:pPr>
            <w:r>
              <w:rPr>
                <w:b w:val="0"/>
                <w:i w:val="0"/>
                <w:sz w:val="18"/>
              </w:rPr>
              <w:t>NLS-GQVĐ (Cơ bản 1): Khi các tổ thi đua, GV dùng điện thoại quay một lượt chuyển đội hình rồi chiếu lại; HS chỉ ra chỗ vòng tròn còn méo</w:t>
            </w:r>
          </w:p>
          <w:p>
            <w:pPr>
              <w:spacing w:after="0"/>
            </w:pPr>
            <w:r>
              <w:rPr>
                <w:b w:val="0"/>
                <w:i w:val="0"/>
                <w:sz w:val="18"/>
              </w:rPr>
              <w:t>NLS-AT: GV hỏi ý kiến HS trước khi quay, clip chỉ mở trong giờ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