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Ở bài “Sử dụng đèn học”, GV chiếu phóng to ảnh các loại đèn học phổ biến và ảnh chụp một chiếc đèn có chú thích từng bộ</w:t>
            </w:r>
          </w:p>
          <w:p>
            <w:pPr>
              <w:spacing w:after="0"/>
            </w:pPr>
            <w:r>
              <w:rPr>
                <w:b w:val="0"/>
                <w:i w:val="0"/>
                <w:sz w:val="18"/>
              </w:rPr>
              <w:t>NLS-GQVĐ (Cơ bản 1): GV chiếu hai ảnh cùng một góc học tập, một ảnh đặt đèn bên trái, một ảnh đặt bên phải người viết</w:t>
            </w:r>
          </w:p>
          <w:p>
            <w:pPr>
              <w:spacing w:after="0"/>
            </w:pPr>
            <w:r>
              <w:rPr>
                <w:b w:val="0"/>
                <w:i w:val="0"/>
                <w:sz w:val="18"/>
              </w:rPr>
              <w:t>NLS-AT: Đèn học chỉ được người lớn cắm điện; HS không tự cắm, rút phích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