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NLS-GQVĐ (Cơ bản 2): Ở tiết luyện tập về danh từ, GV mở bài tập tương tác kéo từ vào ba nhóm danh từ chỉ người, chỉ vật</w:t>
            </w:r>
          </w:p>
          <w:p>
            <w:pPr>
              <w:spacing w:after="0"/>
            </w:pPr>
            <w:r>
              <w:rPr>
                <w:b w:val="0"/>
                <w:i w:val="0"/>
                <w:sz w:val="18"/>
              </w:rPr>
              <w:t>NLS-KT (Cơ bản 2): Khi gặp từ chưa rõ nghĩa, GV mở từ điển tiếng Việt bản điện tử, gõ từ đó cho cả lớp cùng đọc nghĩa và ví dụ</w:t>
            </w:r>
          </w:p>
          <w:p>
            <w:pPr>
              <w:spacing w:after="0"/>
            </w:pPr>
            <w:r>
              <w:rPr>
                <w:b w:val="0"/>
                <w:i w:val="0"/>
                <w:sz w:val="18"/>
              </w:rPr>
              <w:t>NLS-AT: Máy của lớp do thầy cô điều khiển, HS chỉ tra từ theo yêu cầu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Trong tiết trả bài viết đoạn văn nêu ý kiến, sau khi nghe nhận xét chung</w:t>
            </w:r>
          </w:p>
          <w:p>
            <w:pPr>
              <w:spacing w:after="0"/>
            </w:pPr>
            <w:r>
              <w:rPr>
                <w:b w:val="0"/>
                <w:i w:val="0"/>
                <w:sz w:val="18"/>
              </w:rPr>
              <w:t>NLS-KT (Cơ bản 2): GV chiếu một đoạn văn mẫu và đoạn văn còn lỗi cạnh nhau, tô màu câu chủ đề ở mỗi đoạn</w:t>
            </w:r>
          </w:p>
          <w:p>
            <w:pPr>
              <w:spacing w:after="0"/>
            </w:pPr>
            <w:r>
              <w:rPr>
                <w:b w:val="0"/>
                <w:i w:val="0"/>
                <w:sz w:val="18"/>
              </w:rPr>
              <w:t>NLS-AT: Bài của bạn chỉ được chiếu khi bạn đồng ý và nên che tên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chiếu bài mẫu cho “Tìm hiểu cách viết báo cáo, thảo luận nhóm” lên màn hình rồi dùng công cụ tô màu</w:t>
            </w:r>
          </w:p>
          <w:p>
            <w:pPr>
              <w:spacing w:after="0"/>
            </w:pPr>
            <w:r>
              <w:rPr>
                <w:b w:val="0"/>
                <w:i w:val="0"/>
                <w:sz w:val="18"/>
              </w:rPr>
              <w:t>NLS-KT (Cơ bản 2): HS so sánh hai bài mẫu chiếu cạnh nhau để tìm điểm giống và khác về bố cục, cách mở đầu, cách kết thúc</w:t>
            </w:r>
          </w:p>
          <w:p>
            <w:pPr>
              <w:spacing w:after="0"/>
            </w:pPr>
            <w:r>
              <w:rPr>
                <w:b w:val="0"/>
                <w:i w:val="0"/>
                <w:sz w:val="18"/>
              </w:rPr>
              <w:t>NLS-AT: Bài mẫu chỉ để học cách viết, không chép lại thành bài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HS tự ghi âm hoặc quay lại phần kể chuyện “Bốn anh tài” của mình, nghe lại và tự nhận xét: giọng đã rõ chưa</w:t>
            </w:r>
          </w:p>
          <w:p>
            <w:pPr>
              <w:spacing w:after="0"/>
            </w:pPr>
            <w:r>
              <w:rPr>
                <w:b w:val="0"/>
                <w:i w:val="0"/>
                <w:sz w:val="18"/>
              </w:rPr>
              <w:t>NLS-GT (Cơ bản 2): HS kể trước nhóm, các bạn nghe và góp ý theo hai câu hỏi: bạn kể có đủ ý không, chỗ nào làm em nhớ nhất</w:t>
            </w:r>
          </w:p>
          <w:p>
            <w:pPr>
              <w:spacing w:after="0"/>
            </w:pPr>
            <w:r>
              <w:rPr>
                <w:b w:val="0"/>
                <w:i w:val="0"/>
                <w:sz w:val="18"/>
              </w:rPr>
              <w:t>NLS-AT: Xin phép bạn trước khi quay hoặc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