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2): Ở tiết bảo vệ môi trường đất, GV chiếu ảnh một sườn đồi bị xói mòn và một sườn đồi đã trồng cây phủ xanh kèm vài số</w:t>
            </w:r>
          </w:p>
          <w:p>
            <w:pPr>
              <w:spacing w:after="0"/>
            </w:pPr>
            <w:r>
              <w:rPr>
                <w:b w:val="0"/>
                <w:i w:val="0"/>
                <w:sz w:val="18"/>
              </w:rPr>
              <w:t>NLS-GQVĐ (Cơ bản 2): GV chiếu các việc làm như trồng cây chắn gió, làm ruộng bậc thang, bón phân hữu cơ, đổ rác thải ra đất</w:t>
            </w:r>
          </w:p>
          <w:p>
            <w:pPr>
              <w:spacing w:after="0"/>
            </w:pPr>
            <w:r>
              <w:rPr>
                <w:b w:val="0"/>
                <w:i w:val="0"/>
                <w:sz w:val="18"/>
              </w:rPr>
              <w:t>NLS-AT: HS chỉ quan sát mẫu đất theo hướng dẫn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 hỗn hợp cát và nước</w:t>
            </w:r>
          </w:p>
          <w:p>
            <w:pPr>
              <w:spacing w:after="0"/>
            </w:pPr>
            <w:r>
              <w:rPr>
                <w:b w:val="0"/>
                <w:i w:val="0"/>
                <w:sz w:val="18"/>
              </w:rPr>
              <w:t>NLS-GQVĐ (Cơ bản 2): Sau thí nghiệm thật, HS ghi kết quả bốn cốc nước vào bảng chiếu trên màn hình rồi cùng đối chiếu; khi kết quả các nhóm khác nhau</w:t>
            </w:r>
          </w:p>
          <w:p>
            <w:pPr>
              <w:spacing w:after="0"/>
            </w:pPr>
            <w:r>
              <w:rPr>
                <w:b w:val="0"/>
                <w:i w:val="0"/>
                <w:sz w:val="18"/>
              </w:rPr>
              <w:t>NLS-AT: Chất dùng trong thí nghiệm chỉ là đường, muối, cát do thầy cô chuẩn bị; HS không nếm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