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Nơi có; Nét đặc sắc”; các nhóm lên điền rồi đọc bảng của nhau</w:t>
            </w:r>
          </w:p>
          <w:p>
            <w:pPr>
              <w:spacing w:after="0"/>
            </w:pPr>
            <w:r>
              <w:rPr>
                <w:b w:val="0"/>
                <w:i w:val="0"/>
                <w:sz w:val="18"/>
              </w:rPr>
              <w:t>NLS: Năng lực số Miền 2 (Cơ bản, bậc 2): Ở hoạt động nhóm, GV chiếu bảng chung “Di sản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Nơi có;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