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2): Ở bài “Vật liệu và dụng cụ trồng hoa, cây cảnh trong chậu”, GV chiếu ảnh phóng to từng loại giá thể.</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2): Ở bài “Chậu hoa và cây cảnh mini”, GV chiếu ảnh phóng to nhiều kiểu chậu mini.</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NLS-KT (Cơ bản 2): Ở hoạt động Khởi động bài “Làm đèn lồng”, GV chiếu đoạn phim ngắn về phố đèn lồng.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NLS-GQVĐ (Cơ bản 2): Ở hoạt động Thực hành, khi chuồn chuồn chưa đứng được, GV chiếu lại hình dừng ở phần mỏ.</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