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vị trí nốt Đô đến La, bấm từng nốt cho HS nghe cao độ; HS lên chỉ một nốt, đọc tên</w:t>
            </w:r>
          </w:p>
          <w:p>
            <w:pPr>
              <w:spacing w:after="0"/>
            </w:pPr>
            <w:r>
              <w:rPr>
                <w:b w:val="0"/>
                <w:i w:val="0"/>
                <w:sz w:val="18"/>
              </w:rPr>
              <w:t>NLS-GQVĐ (Cơ bản 2): HS làm bài tập tương tác trên máy tính lớp: kéo nốt vào đúng dòng, khe; chọn tên nốt theo âm thanh; máy báo sai thì sửa</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“Chuông gió leng keng” trên máy tính lớp, hiện lời ca chia câu; HS nghe từng câu, hát nối tiếp</w:t>
            </w:r>
          </w:p>
          <w:p>
            <w:pPr>
              <w:spacing w:after="0"/>
            </w:pPr>
            <w:r>
              <w:rPr>
                <w:b w:val="0"/>
                <w:i w:val="0"/>
                <w:sz w:val="18"/>
              </w:rPr>
              <w:t>NLS-ST (Cơ bản 2): Mỗi tổ dùng điện thoại GV thu âm phần hát vỗ tay theo phách, nghe lại qua loa, sửa chỗ vào chưa đều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